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0D2CC" w14:textId="77777777" w:rsidR="003F7537" w:rsidRDefault="00000000">
      <w:pPr>
        <w:spacing w:after="480"/>
        <w:jc w:val="center"/>
      </w:pPr>
      <w:r>
        <w:rPr>
          <w:b/>
          <w:sz w:val="32"/>
        </w:rPr>
        <w:t>Commercial Strategy and Marketing Performance in Modern Organizations</w:t>
      </w:r>
    </w:p>
    <w:p w14:paraId="55E3BFEA" w14:textId="77777777" w:rsidR="003F7537" w:rsidRDefault="00000000">
      <w:pPr>
        <w:spacing w:line="480" w:lineRule="auto"/>
        <w:jc w:val="center"/>
      </w:pPr>
      <w:r>
        <w:t>M16 Commercial and Marketing Management</w:t>
      </w:r>
    </w:p>
    <w:p w14:paraId="1D464BC0" w14:textId="77777777" w:rsidR="003F7537" w:rsidRDefault="00000000">
      <w:pPr>
        <w:spacing w:line="480" w:lineRule="auto"/>
        <w:jc w:val="center"/>
      </w:pPr>
      <w:r>
        <w:t>Option 1: Commercial Strategy and Marketing Performance in Modern Organizations</w:t>
      </w:r>
    </w:p>
    <w:p w14:paraId="2CD4D320" w14:textId="77777777" w:rsidR="003F7537" w:rsidRDefault="00000000">
      <w:pPr>
        <w:spacing w:line="480" w:lineRule="auto"/>
        <w:jc w:val="center"/>
      </w:pPr>
      <w:r>
        <w:t>Detailed Project Report</w:t>
      </w:r>
    </w:p>
    <w:p w14:paraId="2FEC1185" w14:textId="2EB1F919" w:rsidR="003F7537" w:rsidRDefault="00000000" w:rsidP="00247F12">
      <w:pPr>
        <w:spacing w:line="480" w:lineRule="auto"/>
        <w:jc w:val="center"/>
      </w:pPr>
      <w:r>
        <w:t xml:space="preserve">Student Name: </w:t>
      </w:r>
      <w:r>
        <w:br w:type="page"/>
      </w:r>
    </w:p>
    <w:p w14:paraId="0E68EE1E" w14:textId="77777777" w:rsidR="003F7537" w:rsidRDefault="00000000">
      <w:pPr>
        <w:pStyle w:val="Heading1"/>
        <w:spacing w:before="240" w:after="120" w:line="480" w:lineRule="auto"/>
      </w:pPr>
      <w:r>
        <w:rPr>
          <w:rFonts w:ascii="Times New Roman" w:hAnsi="Times New Roman"/>
        </w:rPr>
        <w:lastRenderedPageBreak/>
        <w:t>Table of Contents</w:t>
      </w:r>
    </w:p>
    <w:p w14:paraId="6A839D5C" w14:textId="77777777" w:rsidR="003F7537" w:rsidRDefault="00000000">
      <w:pPr>
        <w:spacing w:after="120" w:line="480" w:lineRule="auto"/>
      </w:pPr>
      <w:r>
        <w:t>Abstract ........................................................ 3</w:t>
      </w:r>
    </w:p>
    <w:p w14:paraId="5638AF8F" w14:textId="77777777" w:rsidR="003F7537" w:rsidRDefault="00000000">
      <w:pPr>
        <w:spacing w:after="120" w:line="480" w:lineRule="auto"/>
      </w:pPr>
      <w:r>
        <w:t>Introduction .................................................... 3</w:t>
      </w:r>
    </w:p>
    <w:p w14:paraId="57B3D252" w14:textId="77777777" w:rsidR="003F7537" w:rsidRDefault="00000000">
      <w:pPr>
        <w:spacing w:after="120" w:line="480" w:lineRule="auto"/>
      </w:pPr>
      <w:r>
        <w:t>Literature Review ............................................... 5</w:t>
      </w:r>
    </w:p>
    <w:p w14:paraId="289877AC" w14:textId="77777777" w:rsidR="003F7537" w:rsidRDefault="00000000">
      <w:pPr>
        <w:spacing w:after="120" w:line="480" w:lineRule="auto"/>
      </w:pPr>
      <w:r>
        <w:t>Methodology ..................................................... 9</w:t>
      </w:r>
    </w:p>
    <w:p w14:paraId="7C33B9D4" w14:textId="77777777" w:rsidR="003F7537" w:rsidRDefault="00000000">
      <w:pPr>
        <w:spacing w:after="120" w:line="480" w:lineRule="auto"/>
      </w:pPr>
      <w:r>
        <w:t>Findings ........................................................ 11</w:t>
      </w:r>
    </w:p>
    <w:p w14:paraId="676CEAA1" w14:textId="77777777" w:rsidR="003F7537" w:rsidRDefault="00000000">
      <w:pPr>
        <w:spacing w:after="120" w:line="480" w:lineRule="auto"/>
      </w:pPr>
      <w:r>
        <w:t>Discussion ...................................................... 16</w:t>
      </w:r>
    </w:p>
    <w:p w14:paraId="587222FD" w14:textId="77777777" w:rsidR="003F7537" w:rsidRDefault="00000000">
      <w:pPr>
        <w:spacing w:after="120" w:line="480" w:lineRule="auto"/>
      </w:pPr>
      <w:r>
        <w:t>Conclusion ...................................................... 18</w:t>
      </w:r>
    </w:p>
    <w:p w14:paraId="2DB53175" w14:textId="77777777" w:rsidR="003F7537" w:rsidRDefault="00000000">
      <w:pPr>
        <w:spacing w:after="120" w:line="480" w:lineRule="auto"/>
      </w:pPr>
      <w:r>
        <w:t>References ...................................................... 19</w:t>
      </w:r>
    </w:p>
    <w:p w14:paraId="1B371E69" w14:textId="77777777" w:rsidR="003F7537" w:rsidRDefault="00000000">
      <w:pPr>
        <w:spacing w:after="120" w:line="480" w:lineRule="auto"/>
      </w:pPr>
      <w:r>
        <w:t>Appendices ...................................................... 20</w:t>
      </w:r>
    </w:p>
    <w:p w14:paraId="2C9671DF" w14:textId="77777777" w:rsidR="003F7537" w:rsidRDefault="00000000">
      <w:r>
        <w:br w:type="page"/>
      </w:r>
    </w:p>
    <w:p w14:paraId="229B35AE" w14:textId="77777777" w:rsidR="003F7537" w:rsidRDefault="00000000">
      <w:pPr>
        <w:pStyle w:val="Heading1"/>
        <w:spacing w:before="240" w:after="120" w:line="480" w:lineRule="auto"/>
      </w:pPr>
      <w:r>
        <w:rPr>
          <w:rFonts w:ascii="Times New Roman" w:hAnsi="Times New Roman"/>
        </w:rPr>
        <w:lastRenderedPageBreak/>
        <w:t>Abstract</w:t>
      </w:r>
    </w:p>
    <w:p w14:paraId="37671A7F" w14:textId="77777777" w:rsidR="003F7537" w:rsidRDefault="00000000">
      <w:pPr>
        <w:spacing w:after="120" w:line="480" w:lineRule="auto"/>
      </w:pPr>
      <w:r>
        <w:t>This report examines how commercial strategy and marketing management contribute to organisational performance in modern markets. It argues that commercial management converts organisational capabilities into revenue, while marketing management creates and communicates value to defined customer groups. When both functions are aligned, they improve growth through clearer segmentation, stronger positioning, disciplined pricing, higher sales conversion and better customer retention. The report uses a qualitative secondary research method, drawing on academic marketing theory, company reports and recent market evidence from retail, technology, hospitality and sportswear organisations. Findings show that Amazon, Apple, Starbucks and Nike use different combinations of pricing, distribution, brand positioning, loyalty systems and revenue model design to shape performance. The analysis also shows that commercial success is not produced by promotion alone. It depends on the fit between customer insight, channel design, value proposition, pricing architecture and operational delivery. The discussion highlights that modern marketing performance must be assessed through both short term sales results and long term customer value. The report concludes that organisations achieve stronger and more sustainable performance when commercial and marketing decisions are integrated around customer value rather than treated as separate functional activities. It also provides practical recommendations for managers who need to balance growth, margins, channel reach and trust.</w:t>
      </w:r>
    </w:p>
    <w:p w14:paraId="09703C27" w14:textId="77777777" w:rsidR="003F7537" w:rsidRDefault="00000000">
      <w:pPr>
        <w:pStyle w:val="Heading1"/>
        <w:spacing w:before="240" w:after="120" w:line="480" w:lineRule="auto"/>
      </w:pPr>
      <w:r>
        <w:rPr>
          <w:rFonts w:ascii="Times New Roman" w:hAnsi="Times New Roman"/>
        </w:rPr>
        <w:t>Introduction</w:t>
      </w:r>
    </w:p>
    <w:p w14:paraId="31C0589E" w14:textId="77777777" w:rsidR="003F7537" w:rsidRDefault="00000000">
      <w:pPr>
        <w:spacing w:after="120" w:line="480" w:lineRule="auto"/>
      </w:pPr>
      <w:r>
        <w:t xml:space="preserve">Commercial and marketing management have become central to organisational performance because customers now compare alternatives instantly, switch brands easily and expect </w:t>
      </w:r>
      <w:r>
        <w:lastRenderedPageBreak/>
        <w:t>consistent value across physical and digital channels. In this environment, commercial strategy is concerned with how the organisation earns revenue, manages pricing, allocates resources and captures market opportunities. Marketing management is concerned with how the organisation understands customers, defines the value proposition, builds relationships and communicates benefits. The assignment brief requires analysis of market analysis, pricing, branding, distribution, promotion, sales planning, revenue generation and ethical marketing practices. Therefore, this report focuses on the link between commercial strategy, marketing activity and measurable business growth.</w:t>
      </w:r>
    </w:p>
    <w:p w14:paraId="3B1484EF" w14:textId="77777777" w:rsidR="003F7537" w:rsidRDefault="00000000">
      <w:pPr>
        <w:spacing w:after="120" w:line="480" w:lineRule="auto"/>
      </w:pPr>
      <w:r>
        <w:t>The main argument is that commercial performance is strongest when marketing choices are commercially disciplined and commercial decisions are customer led. A firm can have a strong product but weak growth if it prices poorly, targets too broadly, or fails to reach customers through convenient channels. Equally, a firm can generate short term revenue through aggressive discounting but weaken profitability and brand equity if pricing is not aligned with positioning. Marketing theory therefore treats value creation and value capture as connected activities, because the firm must both satisfy customers and earn sufficient returns to reinvest in innovation and service quality (Kotler et al., 2022; Porter, 1985).</w:t>
      </w:r>
    </w:p>
    <w:p w14:paraId="1D3C8F01" w14:textId="77777777" w:rsidR="003F7537" w:rsidRDefault="00000000">
      <w:pPr>
        <w:spacing w:after="120" w:line="480" w:lineRule="auto"/>
      </w:pPr>
      <w:r>
        <w:t xml:space="preserve">The report addresses 3 questions. First, how do commercial management, marketing management and business growth relate to each other? Second, how do pricing, segmentation, targeting, positioning and revenue generation strategies influence performance? Third, how do marketing decisions affect sales performance, customer acquisition and profitability? The analysis uses real world examples from Amazon, Apple, Starbucks and Nike because these organisations operate in different sectors and show different performance challenges. The report </w:t>
      </w:r>
      <w:r>
        <w:lastRenderedPageBreak/>
        <w:t>does not treat them as perfect models. Instead, it uses them to show how marketing decisions can strengthen or weaken commercial outcomes depending on fit, execution and market context.</w:t>
      </w:r>
    </w:p>
    <w:p w14:paraId="3746EC76" w14:textId="77777777" w:rsidR="003F7537" w:rsidRDefault="00000000">
      <w:pPr>
        <w:spacing w:after="120" w:line="480" w:lineRule="auto"/>
      </w:pPr>
      <w:r>
        <w:t>The issue is especially relevant in 2026 because organisations face slower customer loyalty, higher media costs, stronger platform competition and greater scrutiny of data use. Marketing managers therefore need to justify spending through business outcomes, while commercial managers need to understand that revenue quality depends on customer experience and brand trust. A campaign that attracts customers at a high acquisition cost but fails to retain them can create visible sales but weak value. A pricing action that improves margin for 1 quarter but damages perceived fairness can reduce future demand. This is why the report treats performance as both financial and relational.</w:t>
      </w:r>
    </w:p>
    <w:p w14:paraId="36EA2F34" w14:textId="77777777" w:rsidR="003F7537" w:rsidRDefault="00000000">
      <w:pPr>
        <w:pStyle w:val="Heading1"/>
        <w:spacing w:before="240" w:after="120" w:line="480" w:lineRule="auto"/>
      </w:pPr>
      <w:r>
        <w:rPr>
          <w:rFonts w:ascii="Times New Roman" w:hAnsi="Times New Roman"/>
        </w:rPr>
        <w:t>Literature Review</w:t>
      </w:r>
    </w:p>
    <w:p w14:paraId="5121AA8B" w14:textId="77777777" w:rsidR="003F7537" w:rsidRDefault="00000000">
      <w:pPr>
        <w:spacing w:after="120" w:line="480" w:lineRule="auto"/>
      </w:pPr>
      <w:r>
        <w:t>Commercial management can be understood as the managerial process of converting market opportunity into profitable revenue. It includes pricing, sales planning, account management, channel management, contract decisions, margin control and revenue model design. Marketing management overlaps with these activities but begins with market sensing, customer insight and value proposition design. Kotler et al. (2022) define marketing as the process of identifying and satisfying customer needs profitably, which means that marketing is not only communication but also a strategic bridge between customer value and commercial return.</w:t>
      </w:r>
    </w:p>
    <w:p w14:paraId="1398695F" w14:textId="77777777" w:rsidR="003F7537" w:rsidRDefault="00000000">
      <w:pPr>
        <w:spacing w:after="120" w:line="480" w:lineRule="auto"/>
      </w:pPr>
      <w:r>
        <w:t xml:space="preserve">The relationship between marketing and organisational performance is explained by the market orientation literature. Narver and Slater (1990) argue that a market oriented organisation collects customer and competitor intelligence and uses it across functions to create superior value. This is important because marketing performance does not depend only on an advertising department. It </w:t>
      </w:r>
      <w:r>
        <w:lastRenderedPageBreak/>
        <w:t>depends on cross functional coordination among product design, operations, finance, sales and customer service. In commercial terms, market orientation supports better fit between offer, price, channel and customer segment.</w:t>
      </w:r>
    </w:p>
    <w:p w14:paraId="590F10F1" w14:textId="77777777" w:rsidR="003F7537" w:rsidRDefault="00000000">
      <w:pPr>
        <w:spacing w:after="120" w:line="480" w:lineRule="auto"/>
      </w:pPr>
      <w:r>
        <w:t>Segmentation, targeting and positioning are core marketing decisions because they prevent firms from treating the market as a single group. Segmentation divides heterogeneous markets into groups with similar needs, behaviours or value expectations. Targeting selects the segments that the organisation can serve profitably. Positioning defines the distinctive place the offer should occupy in customers' minds relative to competitors (Kotler et al., 2022). These choices influence sales productivity because sales teams convert more effectively when the offer is designed around a specific customer problem rather than a general claim.</w:t>
      </w:r>
    </w:p>
    <w:p w14:paraId="3209C691" w14:textId="77777777" w:rsidR="003F7537" w:rsidRDefault="00000000">
      <w:pPr>
        <w:spacing w:after="120" w:line="480" w:lineRule="auto"/>
      </w:pPr>
      <w:r>
        <w:t>Pricing is one of the most direct connections between marketing and commercial management. Price communicates value, affects demand, influences margins and shapes brand perception. Nagle and Muller (2018) argue that pricing should be based on economic value to the customer rather than simply cost plus a mark up. Value based pricing requires an understanding of willingness to pay, competitor alternatives and the benefits customers perceive. However, pricing is also strategic because premium pricing can support differentiation, while dynamic or penetration pricing can support volume, adoption and market entry.</w:t>
      </w:r>
    </w:p>
    <w:p w14:paraId="3C137A6C" w14:textId="77777777" w:rsidR="003F7537" w:rsidRDefault="00000000">
      <w:pPr>
        <w:spacing w:after="120" w:line="480" w:lineRule="auto"/>
      </w:pPr>
      <w:r>
        <w:t xml:space="preserve">Revenue generation strategy includes more than unit sales. Modern organisations use recurring subscriptions, advertising revenue, services, marketplace commissions, licensing, bundles, loyalty programmes and ecosystem based revenues. This is visible in technology and retail platforms where the customer relationship produces multiple revenue streams. Amazon's model links retail sales, third party seller services, subscriptions, advertising and cloud services, </w:t>
      </w:r>
      <w:r>
        <w:lastRenderedPageBreak/>
        <w:t>showing how a commercial system can monetise customer reach, infrastructure and data driven services (Amazon.com, Inc., 2025).</w:t>
      </w:r>
    </w:p>
    <w:p w14:paraId="524C6197" w14:textId="77777777" w:rsidR="003F7537" w:rsidRDefault="00000000">
      <w:pPr>
        <w:spacing w:after="120" w:line="480" w:lineRule="auto"/>
      </w:pPr>
      <w:r>
        <w:t>Marketing decisions affect customer acquisition because customers respond to relevance, convenience, trust and perceived value. The customer lifetime value literature argues that not all customers contribute equally to profitability, and that firms should evaluate acquisition cost against expected retention and contribution margin (Kumar &amp; Reinartz, 2018). This approach changes marketing from a spending activity into an investment discipline. It also explains why loyalty systems, service quality and customer relationship management are commercially important rather than simply promotional.</w:t>
      </w:r>
    </w:p>
    <w:p w14:paraId="5748CE52" w14:textId="77777777" w:rsidR="003F7537" w:rsidRDefault="00000000">
      <w:pPr>
        <w:spacing w:after="120" w:line="480" w:lineRule="auto"/>
      </w:pPr>
      <w:r>
        <w:t>Branding also contributes to performance by reducing perceived risk and supporting differentiation. Keller (1993) argues that customer based brand equity exists when customers respond more favourably to marketing because of brand knowledge. This means brand identity and positioning can improve conversion, justify price premiums and reduce dependence on constant discounting. Strong brands do not guarantee growth, but they create strategic options by increasing trust, mental availability and customer preference in competitive markets.</w:t>
      </w:r>
    </w:p>
    <w:p w14:paraId="1F201248" w14:textId="77777777" w:rsidR="003F7537" w:rsidRDefault="00000000">
      <w:pPr>
        <w:spacing w:after="120" w:line="480" w:lineRule="auto"/>
      </w:pPr>
      <w:r>
        <w:t>Distribution and channel decisions shape commercial performance because they determine availability, customer experience and cost to serve. Apple, for example, reports sales through both direct and indirect distribution channels, which shows that premium positioning can coexist with selective control over direct retail and digital experiences (Apple Inc., 2024). Channel design involves trade offs. Direct channels provide stronger data and experience control, while indirect channels can increase reach and reduce fixed costs. Commercial strategy must therefore evaluate channel economics as well as brand control.</w:t>
      </w:r>
    </w:p>
    <w:p w14:paraId="2C6A1C9D" w14:textId="77777777" w:rsidR="003F7537" w:rsidRDefault="00000000">
      <w:pPr>
        <w:spacing w:after="120" w:line="480" w:lineRule="auto"/>
      </w:pPr>
      <w:r>
        <w:lastRenderedPageBreak/>
        <w:t>Marketing performance measurement has developed from simple sales tracking toward broader performance dashboards. Rust et al. (2004) argue that marketing productivity should connect marketing actions to customer attitudes, customer behaviour and financial outcomes. This matters because promotion may increase awareness but fail to improve profit if discount depth is excessive or retention is weak. Modern performance assessment should therefore combine sales growth, gross margin, acquisition cost, retention, brand equity, customer satisfaction and customer lifetime value.</w:t>
      </w:r>
    </w:p>
    <w:p w14:paraId="7DD87F4F" w14:textId="77777777" w:rsidR="003F7537" w:rsidRDefault="00000000">
      <w:pPr>
        <w:spacing w:after="120" w:line="480" w:lineRule="auto"/>
      </w:pPr>
      <w:r>
        <w:t>The literature also warns against separating short term activation from long term brand building. Sales promotions can improve immediate conversion, but excessive reliance on price incentives may train customers to wait for discounts and reduce perceived quality. Binet and Field's work on marketing effectiveness is often used to argue that firms need a balance between long term brand building and short term sales activation. Although the exact balance varies by sector, the principle is commercially relevant because performance depends on both present revenue and future demand.</w:t>
      </w:r>
    </w:p>
    <w:p w14:paraId="7598F674" w14:textId="77777777" w:rsidR="003F7537" w:rsidRDefault="00000000">
      <w:pPr>
        <w:spacing w:after="120" w:line="480" w:lineRule="auto"/>
      </w:pPr>
      <w:r>
        <w:t>Sales planning is another important connection between commercial and marketing management. Sales teams need clear propositions, defined customer profiles, objection handling material and channel priorities. Marketing provides lead generation, content, brand awareness and customer insight, while sales converts opportunities into revenue. The alignment between marketing qualified leads, sales qualified leads and actual customer profitability is therefore essential. If marketing targets the wrong segment, sales effort becomes inefficient. If sales promises benefits that operations cannot deliver, customer satisfaction and repeat purchase decline.</w:t>
      </w:r>
    </w:p>
    <w:p w14:paraId="0833AA9E" w14:textId="77777777" w:rsidR="003F7537" w:rsidRDefault="00000000">
      <w:pPr>
        <w:spacing w:after="120" w:line="480" w:lineRule="auto"/>
      </w:pPr>
      <w:r>
        <w:t xml:space="preserve">Omnichannel marketing also expands the relationship between value creation and value capture. Customers frequently move between websites, apps, stores, social media, marketplaces and </w:t>
      </w:r>
      <w:r>
        <w:lastRenderedPageBreak/>
        <w:t>customer service before purchasing. This means that distribution is no longer only a logistics function. It is part of the customer experience and the brand promise. Verhoef et al. (2015) argue that customer experience is shaped across multiple touchpoints, which means commercial managers must consider how channel convenience, inventory visibility, delivery options and returns policies influence conversion and loyalty.</w:t>
      </w:r>
    </w:p>
    <w:p w14:paraId="41252738" w14:textId="77777777" w:rsidR="003F7537" w:rsidRDefault="00000000">
      <w:pPr>
        <w:spacing w:after="120" w:line="480" w:lineRule="auto"/>
      </w:pPr>
      <w:r>
        <w:t>Customer acquisition theory also stresses the difference between traffic and profitable demand. A campaign can increase website visits or store footfall without improving performance if the acquired customers have low repeat purchase or require heavy discounts. This is why marketing strategy must define the quality of demand it seeks to create, not only the volume of demand.</w:t>
      </w:r>
    </w:p>
    <w:p w14:paraId="495E758C" w14:textId="77777777" w:rsidR="003F7537" w:rsidRDefault="00000000">
      <w:pPr>
        <w:pStyle w:val="Heading1"/>
        <w:spacing w:before="240" w:after="120" w:line="480" w:lineRule="auto"/>
      </w:pPr>
      <w:r>
        <w:rPr>
          <w:rFonts w:ascii="Times New Roman" w:hAnsi="Times New Roman"/>
        </w:rPr>
        <w:t>Methodology</w:t>
      </w:r>
    </w:p>
    <w:p w14:paraId="47D04C68" w14:textId="77777777" w:rsidR="003F7537" w:rsidRDefault="00000000">
      <w:pPr>
        <w:spacing w:after="120" w:line="480" w:lineRule="auto"/>
      </w:pPr>
      <w:r>
        <w:t>This report uses a qualitative secondary research methodology. The method is suitable because the task requires strategic analysis rather than primary measurement of a single company. Secondary research allows comparison across sectors and enables the report to connect academic theory with current commercial examples. Sources include marketing management textbooks, peer reviewed journal articles, official company reports, investor releases and recent industry research on customer expectations and trust. The method is topic based because the analysis is organised around commercial strategy, marketing performance, pricing, segmentation, revenue generation and customer outcomes.</w:t>
      </w:r>
    </w:p>
    <w:p w14:paraId="1D1015BD" w14:textId="77777777" w:rsidR="003F7537" w:rsidRDefault="00000000">
      <w:pPr>
        <w:spacing w:after="120" w:line="480" w:lineRule="auto"/>
      </w:pPr>
      <w:r>
        <w:t xml:space="preserve">The case examples were selected purposively rather than statistically. Amazon was selected because it illustrates platform based revenue generation, dynamic retailing and advertising monetisation. Apple was selected because it illustrates premium positioning, ecosystem value and direct versus indirect channel strategy. Starbucks was selected because it shows the </w:t>
      </w:r>
      <w:r>
        <w:lastRenderedPageBreak/>
        <w:t>commercial role of loyalty, customer experience and store based service delivery. Nike was selected because it demonstrates the risks of channel strategy and brand led direct to consumer growth when demand conditions change. These cases provide sector diversity across retail, technology, hospitality and sportswear.</w:t>
      </w:r>
    </w:p>
    <w:p w14:paraId="0D1EB2FA" w14:textId="77777777" w:rsidR="003F7537" w:rsidRDefault="00000000">
      <w:pPr>
        <w:spacing w:after="120" w:line="480" w:lineRule="auto"/>
      </w:pPr>
      <w:r>
        <w:t>The analytical framework has 4 stages. Stage 1 identifies each organisation's value proposition and main target customers. Stage 2 evaluates commercial strategy through pricing logic, revenue streams and channel design. Stage 3 evaluates marketing strategy through segmentation, targeting, positioning, brand communication and customer relationship mechanisms. Stage 4 links these choices to performance outcomes such as sales growth, profitability, customer acquisition, retention and brand strength. The framework follows the logic that organisational performance is produced by the alignment between value creation and value capture.</w:t>
      </w:r>
    </w:p>
    <w:p w14:paraId="6DC4E6F3" w14:textId="77777777" w:rsidR="003F7537" w:rsidRDefault="00000000">
      <w:pPr>
        <w:spacing w:after="120" w:line="480" w:lineRule="auto"/>
      </w:pPr>
      <w:r>
        <w:t>The methodology has limitations. Company reports present management selected information and may emphasise positive performance. Industry reports often use proprietary survey methods, while academic theories may be broad and not always tailored to a specific firm. To reduce these limitations, the report triangulates different source types and focuses on patterns rather than isolated claims. The purpose is not to calculate exact causal effects but to develop a balanced strategic interpretation of how commercial and marketing decisions influence performance.</w:t>
      </w:r>
    </w:p>
    <w:p w14:paraId="35DCF914" w14:textId="77777777" w:rsidR="003F7537" w:rsidRDefault="00000000">
      <w:pPr>
        <w:spacing w:after="120" w:line="480" w:lineRule="auto"/>
      </w:pPr>
      <w:r>
        <w:t xml:space="preserve">The evidence was interpreted through thematic analysis. Repeated themes in the literature and cases were coded under 6 categories: customer value, pricing logic, positioning, channel design, revenue generation and performance measurement. Each theme was then assessed for its commercial implication. For example, pricing was not coded only as a number or percentage increase. It was interpreted in relation to value perception, brand positioning, willingness to pay </w:t>
      </w:r>
      <w:r>
        <w:lastRenderedPageBreak/>
        <w:t>and customer trust. This coding approach helped avoid a purely descriptive report and supported critical comparison across sectors.</w:t>
      </w:r>
    </w:p>
    <w:p w14:paraId="794C5765" w14:textId="77777777" w:rsidR="003F7537" w:rsidRDefault="00000000">
      <w:pPr>
        <w:spacing w:after="120" w:line="480" w:lineRule="auto"/>
      </w:pPr>
      <w:r>
        <w:t>Performance implications were assessed using a balanced view of outcomes. The report considered revenue growth, margin quality, customer acquisition, retention, customer experience and strategic risk. This avoided treating any single financial indicator as a complete measure of marketing success.</w:t>
      </w:r>
    </w:p>
    <w:p w14:paraId="00C1A373" w14:textId="77777777" w:rsidR="003F7537" w:rsidRDefault="00000000">
      <w:pPr>
        <w:pStyle w:val="Heading1"/>
        <w:spacing w:before="240" w:after="120" w:line="480" w:lineRule="auto"/>
      </w:pPr>
      <w:r>
        <w:rPr>
          <w:rFonts w:ascii="Times New Roman" w:hAnsi="Times New Roman"/>
        </w:rPr>
        <w:t>Findings</w:t>
      </w:r>
    </w:p>
    <w:p w14:paraId="1FA819AB" w14:textId="77777777" w:rsidR="003F7537" w:rsidRDefault="00000000">
      <w:pPr>
        <w:spacing w:after="120" w:line="480" w:lineRule="auto"/>
      </w:pPr>
      <w:r>
        <w:t>The first finding is that commercial management and marketing management are mutually dependent. Commercial management gives marketing a financial discipline by setting revenue, margin and channel priorities. Marketing management gives commercial strategy a customer discipline by clarifying which needs, segments and benefits should guide the offer. Amazon illustrates this integration because the retail platform attracts customers through convenience, range and delivery speed, while the commercial model captures value through retail sales, Prime subscriptions, seller services, advertising and AWS. Its 2024 annual report shows a diversified model in which customer traffic, seller participation and infrastructure scale support multiple revenue lines (Amazon.com, Inc., 2025).</w:t>
      </w:r>
    </w:p>
    <w:p w14:paraId="0EED7304" w14:textId="77777777" w:rsidR="003F7537" w:rsidRDefault="00000000">
      <w:pPr>
        <w:spacing w:after="120" w:line="480" w:lineRule="auto"/>
      </w:pPr>
      <w:r>
        <w:t xml:space="preserve">The second finding is that segmentation and targeting improve performance by concentrating resources on customers with different value expectations. Apple targets customers who value design, reliability, privacy, ecosystem convenience and service integration. This supports premium pricing and recurring service revenue because the customer is not buying a single device only. The customer is buying an integrated system of hardware, software, services, retail support and brand trust. Apple's 2024 reporting shows the strategic importance of both product </w:t>
      </w:r>
      <w:r>
        <w:lastRenderedPageBreak/>
        <w:t>sales and services, indicating that ecosystem strategy extends the revenue relationship beyond initial device purchase (Apple Inc., 2024).</w:t>
      </w:r>
    </w:p>
    <w:p w14:paraId="466220C7" w14:textId="77777777" w:rsidR="003F7537" w:rsidRDefault="00000000">
      <w:pPr>
        <w:spacing w:after="120" w:line="480" w:lineRule="auto"/>
      </w:pPr>
      <w:r>
        <w:t>The third finding is that positioning is commercially powerful when it is operationally delivered. Starbucks positions itself around experience, convenience and personal routine rather than coffee alone. Its rewards programme and mobile ordering system turn repeated visits into data rich relationships, while stores deliver social and sensory value. Starbucks reported 33.8 million active Starbucks Rewards members in the United States at the end of fiscal 2024, showing that loyalty infrastructure is a commercial asset when it increases frequency and retention (Starbucks Corporation, 2024). However, loyalty value depends on perceived fairness, because reward changes can create customer frustration if benefits feel diluted.</w:t>
      </w:r>
    </w:p>
    <w:p w14:paraId="3D905CF4" w14:textId="77777777" w:rsidR="003F7537" w:rsidRDefault="00000000">
      <w:pPr>
        <w:spacing w:after="120" w:line="480" w:lineRule="auto"/>
      </w:pPr>
      <w:r>
        <w:t>The fourth finding is that pricing strategy must fit both customer value and brand meaning. Apple uses premium pricing because its positioning is based on quality, ecosystem integration and perceived innovation. Amazon uses frequent price comparison, marketplace competition and dynamic retail mechanisms because its positioning is based on value, convenience and availability. Starbucks uses premium everyday pricing supported by experience, store location and personalisation. Nike uses brand premium pricing but also faces pressure when product innovation, wholesale availability and digital demand are not aligned. These examples show that no single pricing model is universally superior. The correct model depends on willingness to pay, differentiation and cost to serve.</w:t>
      </w:r>
    </w:p>
    <w:p w14:paraId="664AD8F3" w14:textId="77777777" w:rsidR="003F7537" w:rsidRDefault="00000000">
      <w:pPr>
        <w:spacing w:line="480" w:lineRule="auto"/>
      </w:pPr>
      <w:r>
        <w:rPr>
          <w:b/>
        </w:rPr>
        <w:t>Table 1. Commercial and marketing strategy comparison</w:t>
      </w:r>
    </w:p>
    <w:tbl>
      <w:tblPr>
        <w:tblStyle w:val="TableGrid"/>
        <w:tblW w:w="0" w:type="auto"/>
        <w:jc w:val="center"/>
        <w:tblLook w:val="04A0" w:firstRow="1" w:lastRow="0" w:firstColumn="1" w:lastColumn="0" w:noHBand="0" w:noVBand="1"/>
      </w:tblPr>
      <w:tblGrid>
        <w:gridCol w:w="2340"/>
        <w:gridCol w:w="2340"/>
        <w:gridCol w:w="2340"/>
        <w:gridCol w:w="2340"/>
      </w:tblGrid>
      <w:tr w:rsidR="003F7537" w14:paraId="5DEF78C9" w14:textId="77777777">
        <w:trPr>
          <w:tblHeader/>
          <w:jc w:val="center"/>
        </w:trPr>
        <w:tc>
          <w:tcPr>
            <w:tcW w:w="2340" w:type="dxa"/>
            <w:vAlign w:val="center"/>
          </w:tcPr>
          <w:p w14:paraId="6071DA16" w14:textId="77777777" w:rsidR="003F7537" w:rsidRDefault="00000000">
            <w:r>
              <w:rPr>
                <w:b/>
                <w:sz w:val="21"/>
              </w:rPr>
              <w:t>Organisation</w:t>
            </w:r>
          </w:p>
        </w:tc>
        <w:tc>
          <w:tcPr>
            <w:tcW w:w="2340" w:type="dxa"/>
            <w:vAlign w:val="center"/>
          </w:tcPr>
          <w:p w14:paraId="0AC868D8" w14:textId="77777777" w:rsidR="003F7537" w:rsidRDefault="00000000">
            <w:r>
              <w:rPr>
                <w:b/>
                <w:sz w:val="21"/>
              </w:rPr>
              <w:t>Main marketing logic</w:t>
            </w:r>
          </w:p>
        </w:tc>
        <w:tc>
          <w:tcPr>
            <w:tcW w:w="2340" w:type="dxa"/>
            <w:vAlign w:val="center"/>
          </w:tcPr>
          <w:p w14:paraId="456ADAB2" w14:textId="77777777" w:rsidR="003F7537" w:rsidRDefault="00000000">
            <w:r>
              <w:rPr>
                <w:b/>
                <w:sz w:val="21"/>
              </w:rPr>
              <w:t>Commercial logic</w:t>
            </w:r>
          </w:p>
        </w:tc>
        <w:tc>
          <w:tcPr>
            <w:tcW w:w="2340" w:type="dxa"/>
            <w:vAlign w:val="center"/>
          </w:tcPr>
          <w:p w14:paraId="2F54A94B" w14:textId="77777777" w:rsidR="003F7537" w:rsidRDefault="00000000">
            <w:r>
              <w:rPr>
                <w:b/>
                <w:sz w:val="21"/>
              </w:rPr>
              <w:t>Performance implication</w:t>
            </w:r>
          </w:p>
        </w:tc>
      </w:tr>
      <w:tr w:rsidR="003F7537" w14:paraId="2E927D7E" w14:textId="77777777">
        <w:trPr>
          <w:jc w:val="center"/>
        </w:trPr>
        <w:tc>
          <w:tcPr>
            <w:tcW w:w="2340" w:type="dxa"/>
            <w:vAlign w:val="center"/>
          </w:tcPr>
          <w:p w14:paraId="46F9AF5B" w14:textId="77777777" w:rsidR="003F7537" w:rsidRDefault="00000000">
            <w:r>
              <w:rPr>
                <w:sz w:val="21"/>
              </w:rPr>
              <w:t>Amazon</w:t>
            </w:r>
          </w:p>
        </w:tc>
        <w:tc>
          <w:tcPr>
            <w:tcW w:w="2340" w:type="dxa"/>
            <w:vAlign w:val="center"/>
          </w:tcPr>
          <w:p w14:paraId="73C904F5" w14:textId="77777777" w:rsidR="003F7537" w:rsidRDefault="00000000">
            <w:r>
              <w:rPr>
                <w:sz w:val="21"/>
              </w:rPr>
              <w:t>Convenience, choice and marketplace scale</w:t>
            </w:r>
          </w:p>
        </w:tc>
        <w:tc>
          <w:tcPr>
            <w:tcW w:w="2340" w:type="dxa"/>
            <w:vAlign w:val="center"/>
          </w:tcPr>
          <w:p w14:paraId="01D00F1D" w14:textId="77777777" w:rsidR="003F7537" w:rsidRDefault="00000000">
            <w:r>
              <w:rPr>
                <w:sz w:val="21"/>
              </w:rPr>
              <w:t xml:space="preserve">Multiple revenue streams from retail, sellers, subscriptions, </w:t>
            </w:r>
            <w:r>
              <w:rPr>
                <w:sz w:val="21"/>
              </w:rPr>
              <w:lastRenderedPageBreak/>
              <w:t>advertising and AWS</w:t>
            </w:r>
          </w:p>
        </w:tc>
        <w:tc>
          <w:tcPr>
            <w:tcW w:w="2340" w:type="dxa"/>
            <w:vAlign w:val="center"/>
          </w:tcPr>
          <w:p w14:paraId="25E0726D" w14:textId="77777777" w:rsidR="003F7537" w:rsidRDefault="00000000">
            <w:r>
              <w:rPr>
                <w:sz w:val="21"/>
              </w:rPr>
              <w:lastRenderedPageBreak/>
              <w:t xml:space="preserve">Scale supports acquisition and monetisation beyond </w:t>
            </w:r>
            <w:r>
              <w:rPr>
                <w:sz w:val="21"/>
              </w:rPr>
              <w:lastRenderedPageBreak/>
              <w:t>direct product margins</w:t>
            </w:r>
          </w:p>
        </w:tc>
      </w:tr>
      <w:tr w:rsidR="003F7537" w14:paraId="53C50BF2" w14:textId="77777777">
        <w:trPr>
          <w:jc w:val="center"/>
        </w:trPr>
        <w:tc>
          <w:tcPr>
            <w:tcW w:w="2340" w:type="dxa"/>
            <w:vAlign w:val="center"/>
          </w:tcPr>
          <w:p w14:paraId="44E5169A" w14:textId="77777777" w:rsidR="003F7537" w:rsidRDefault="00000000">
            <w:r>
              <w:rPr>
                <w:sz w:val="21"/>
              </w:rPr>
              <w:lastRenderedPageBreak/>
              <w:t>Apple</w:t>
            </w:r>
          </w:p>
        </w:tc>
        <w:tc>
          <w:tcPr>
            <w:tcW w:w="2340" w:type="dxa"/>
            <w:vAlign w:val="center"/>
          </w:tcPr>
          <w:p w14:paraId="23A0E4E5" w14:textId="77777777" w:rsidR="003F7537" w:rsidRDefault="00000000">
            <w:r>
              <w:rPr>
                <w:sz w:val="21"/>
              </w:rPr>
              <w:t>Premium ecosystem and design led positioning</w:t>
            </w:r>
          </w:p>
        </w:tc>
        <w:tc>
          <w:tcPr>
            <w:tcW w:w="2340" w:type="dxa"/>
            <w:vAlign w:val="center"/>
          </w:tcPr>
          <w:p w14:paraId="6E79DB96" w14:textId="77777777" w:rsidR="003F7537" w:rsidRDefault="00000000">
            <w:r>
              <w:rPr>
                <w:sz w:val="21"/>
              </w:rPr>
              <w:t>High margin products plus recurring services</w:t>
            </w:r>
          </w:p>
        </w:tc>
        <w:tc>
          <w:tcPr>
            <w:tcW w:w="2340" w:type="dxa"/>
            <w:vAlign w:val="center"/>
          </w:tcPr>
          <w:p w14:paraId="53EA04C0" w14:textId="77777777" w:rsidR="003F7537" w:rsidRDefault="00000000">
            <w:r>
              <w:rPr>
                <w:sz w:val="21"/>
              </w:rPr>
              <w:t>Brand and ecosystem reduce price sensitivity</w:t>
            </w:r>
          </w:p>
        </w:tc>
      </w:tr>
      <w:tr w:rsidR="003F7537" w14:paraId="74155356" w14:textId="77777777">
        <w:trPr>
          <w:jc w:val="center"/>
        </w:trPr>
        <w:tc>
          <w:tcPr>
            <w:tcW w:w="2340" w:type="dxa"/>
            <w:vAlign w:val="center"/>
          </w:tcPr>
          <w:p w14:paraId="496826B8" w14:textId="77777777" w:rsidR="003F7537" w:rsidRDefault="00000000">
            <w:r>
              <w:rPr>
                <w:sz w:val="21"/>
              </w:rPr>
              <w:t>Starbucks</w:t>
            </w:r>
          </w:p>
        </w:tc>
        <w:tc>
          <w:tcPr>
            <w:tcW w:w="2340" w:type="dxa"/>
            <w:vAlign w:val="center"/>
          </w:tcPr>
          <w:p w14:paraId="3BA23896" w14:textId="77777777" w:rsidR="003F7537" w:rsidRDefault="00000000">
            <w:r>
              <w:rPr>
                <w:sz w:val="21"/>
              </w:rPr>
              <w:t>Experience, loyalty and daily routine</w:t>
            </w:r>
          </w:p>
        </w:tc>
        <w:tc>
          <w:tcPr>
            <w:tcW w:w="2340" w:type="dxa"/>
            <w:vAlign w:val="center"/>
          </w:tcPr>
          <w:p w14:paraId="5961A0DE" w14:textId="77777777" w:rsidR="003F7537" w:rsidRDefault="00000000">
            <w:r>
              <w:rPr>
                <w:sz w:val="21"/>
              </w:rPr>
              <w:t>Premium pricing, rewards and store density</w:t>
            </w:r>
          </w:p>
        </w:tc>
        <w:tc>
          <w:tcPr>
            <w:tcW w:w="2340" w:type="dxa"/>
            <w:vAlign w:val="center"/>
          </w:tcPr>
          <w:p w14:paraId="11653E57" w14:textId="77777777" w:rsidR="003F7537" w:rsidRDefault="00000000">
            <w:r>
              <w:rPr>
                <w:sz w:val="21"/>
              </w:rPr>
              <w:t>Retention and frequency support revenue but must preserve perceived value</w:t>
            </w:r>
          </w:p>
        </w:tc>
      </w:tr>
      <w:tr w:rsidR="003F7537" w14:paraId="2FD5EC3D" w14:textId="77777777">
        <w:trPr>
          <w:jc w:val="center"/>
        </w:trPr>
        <w:tc>
          <w:tcPr>
            <w:tcW w:w="2340" w:type="dxa"/>
            <w:vAlign w:val="center"/>
          </w:tcPr>
          <w:p w14:paraId="712B123C" w14:textId="77777777" w:rsidR="003F7537" w:rsidRDefault="00000000">
            <w:r>
              <w:rPr>
                <w:sz w:val="21"/>
              </w:rPr>
              <w:t>Nike</w:t>
            </w:r>
          </w:p>
        </w:tc>
        <w:tc>
          <w:tcPr>
            <w:tcW w:w="2340" w:type="dxa"/>
            <w:vAlign w:val="center"/>
          </w:tcPr>
          <w:p w14:paraId="1C677BB7" w14:textId="77777777" w:rsidR="003F7537" w:rsidRDefault="00000000">
            <w:r>
              <w:rPr>
                <w:sz w:val="21"/>
              </w:rPr>
              <w:t>Sports identity, innovation and cultural relevance</w:t>
            </w:r>
          </w:p>
        </w:tc>
        <w:tc>
          <w:tcPr>
            <w:tcW w:w="2340" w:type="dxa"/>
            <w:vAlign w:val="center"/>
          </w:tcPr>
          <w:p w14:paraId="4901CEF5" w14:textId="77777777" w:rsidR="003F7537" w:rsidRDefault="00000000">
            <w:r>
              <w:rPr>
                <w:sz w:val="21"/>
              </w:rPr>
              <w:t>Direct, digital and wholesale channel mix</w:t>
            </w:r>
          </w:p>
        </w:tc>
        <w:tc>
          <w:tcPr>
            <w:tcW w:w="2340" w:type="dxa"/>
            <w:vAlign w:val="center"/>
          </w:tcPr>
          <w:p w14:paraId="656D5EAC" w14:textId="77777777" w:rsidR="003F7537" w:rsidRDefault="00000000">
            <w:r>
              <w:rPr>
                <w:sz w:val="21"/>
              </w:rPr>
              <w:t>Channel balance affects reach, availability and sales resilience</w:t>
            </w:r>
          </w:p>
        </w:tc>
      </w:tr>
    </w:tbl>
    <w:p w14:paraId="3CD4AE63" w14:textId="77777777" w:rsidR="003F7537" w:rsidRDefault="003F7537"/>
    <w:p w14:paraId="4632D7B8" w14:textId="77777777" w:rsidR="003F7537" w:rsidRDefault="00000000">
      <w:pPr>
        <w:spacing w:after="120" w:line="480" w:lineRule="auto"/>
      </w:pPr>
      <w:r>
        <w:t>The fifth finding is that channel strategy can directly affect sales performance and customer acquisition. Direct channels can improve customer data, margin control and brand experience, but they may limit reach if the brand withdraws too aggressively from third party channels. Nike's fiscal 2025 results show pressure in NIKE Direct and digital revenue, which indicates that direct to consumer strategy must be balanced with wholesale partnerships and product availability (NIKE, Inc., 2025). The finding is commercially important because channel control is valuable only when it also supports demand generation and customer convenience.</w:t>
      </w:r>
    </w:p>
    <w:p w14:paraId="278A79D3" w14:textId="77777777" w:rsidR="003F7537" w:rsidRDefault="00000000">
      <w:pPr>
        <w:spacing w:after="120" w:line="480" w:lineRule="auto"/>
      </w:pPr>
      <w:r>
        <w:t>The sixth finding is that revenue generation increasingly depends on relationship depth rather than one time transactions. Amazon Prime, Apple Services, Starbucks Rewards and Nike membership all attempt to extend the customer relationship over time. This creates data, repeat purchase opportunities and cross selling potential. It also supports more accurate targeting because firms can observe purchase patterns and preferences. Nevertheless, relationship revenue has limits. Customers can resist subscription fatigue, privacy intrusion or loyalty schemes that appear manipulative. Therefore, relationship based commercial strategy must offer visible value rather than simply extracting more data or spend from existing customers.</w:t>
      </w:r>
    </w:p>
    <w:p w14:paraId="06704E2D" w14:textId="77777777" w:rsidR="003F7537" w:rsidRDefault="00000000">
      <w:pPr>
        <w:spacing w:after="120" w:line="480" w:lineRule="auto"/>
      </w:pPr>
      <w:r>
        <w:t xml:space="preserve">The seventh finding is that marketing decisions influence profitability through both demand and cost. Clear positioning can reduce wasted promotional spend because messages are directed </w:t>
      </w:r>
      <w:r>
        <w:lastRenderedPageBreak/>
        <w:t>toward customers most likely to value the offer. Strong brand equity can reduce price sensitivity and support higher margins. Effective customer relationship management can reduce acquisition dependence by increasing repeat purchase. At the same time, poor marketing decisions create commercial costs through excess discounting, stock imbalance, confusing communications, weak conversion and customer churn. Marketing performance should therefore be evaluated through return on marketing investment rather than promotional reach alone.</w:t>
      </w:r>
    </w:p>
    <w:p w14:paraId="1D73C282" w14:textId="77777777" w:rsidR="003F7537" w:rsidRDefault="00000000">
      <w:pPr>
        <w:spacing w:after="120" w:line="480" w:lineRule="auto"/>
      </w:pPr>
      <w:r>
        <w:t>The eighth finding is that customer trust has become a performance variable. Salesforce's State of the AI Connected Customer report emphasises rising customer expectations and the importance of trust in technology enabled relationships (Salesforce, 2025). Accenture's Life Trends 2025 similarly highlights hesitation and scepticism in digital interactions, especially where customers question the authenticity of content, reviews or brand promises (Accenture, 2024). These findings mean that marketing cannot separate performance from transparency. If customers distrust the brand, acquisition costs rise and loyalty becomes weaker.</w:t>
      </w:r>
    </w:p>
    <w:p w14:paraId="7CF9A481" w14:textId="77777777" w:rsidR="003F7537" w:rsidRDefault="00000000">
      <w:pPr>
        <w:spacing w:after="120" w:line="480" w:lineRule="auto"/>
      </w:pPr>
      <w:r>
        <w:t>The ninth finding is that sales planning must be connected to brand promise and pricing discipline. In hospitality and retail, front line staff often translate marketing promises into customer experience. In technology and manufacturing, account managers often explain product value and negotiate contract terms. If these teams are not aligned with positioning, the customer receives inconsistent signals. Commercial leaders should therefore ensure that sales scripts, training, incentives and customer service standards reinforce the same value proposition used in marketing communications.</w:t>
      </w:r>
    </w:p>
    <w:p w14:paraId="1028DA4F" w14:textId="77777777" w:rsidR="003F7537" w:rsidRDefault="00000000">
      <w:pPr>
        <w:spacing w:after="120" w:line="480" w:lineRule="auto"/>
      </w:pPr>
      <w:r>
        <w:t xml:space="preserve">The tenth finding is that marketing decisions influence profitability by shaping the type of demand the organisation attracts. A premium positioned brand seeks customers who value quality and experience, while a value positioned platform seeks customers who prioritise price, </w:t>
      </w:r>
      <w:r>
        <w:lastRenderedPageBreak/>
        <w:t>speed and breadth. When a firm attracts customers who do not fit its economics, growth becomes expensive. Commercial strategy must therefore ask whether new customers are profitable to serve and likely to stay.</w:t>
      </w:r>
    </w:p>
    <w:p w14:paraId="0A4BBC7A" w14:textId="77777777" w:rsidR="003F7537" w:rsidRDefault="00000000">
      <w:pPr>
        <w:pStyle w:val="Heading1"/>
        <w:spacing w:before="240" w:after="120" w:line="480" w:lineRule="auto"/>
      </w:pPr>
      <w:r>
        <w:rPr>
          <w:rFonts w:ascii="Times New Roman" w:hAnsi="Times New Roman"/>
        </w:rPr>
        <w:t>Discussion</w:t>
      </w:r>
    </w:p>
    <w:p w14:paraId="168A5B81" w14:textId="77777777" w:rsidR="003F7537" w:rsidRDefault="00000000">
      <w:pPr>
        <w:spacing w:after="120" w:line="480" w:lineRule="auto"/>
      </w:pPr>
      <w:r>
        <w:t>The findings support the view that commercial and marketing management should be integrated rather than separated. A finance led commercial strategy that ignores customer perception can damage brand equity through excessive price increases or hidden charges. A communication led marketing strategy that ignores margin can create attractive campaigns that fail to generate profitable revenue. The strongest organisations connect market insight, value proposition, pricing, channel design and sales execution into one system. This is consistent with the market orientation view that superior customer value requires coordinated activity across the organisation (Narver &amp; Slater, 1990).</w:t>
      </w:r>
    </w:p>
    <w:p w14:paraId="54E52CC4" w14:textId="77777777" w:rsidR="003F7537" w:rsidRDefault="00000000">
      <w:pPr>
        <w:spacing w:after="120" w:line="480" w:lineRule="auto"/>
      </w:pPr>
      <w:r>
        <w:t>The cases also show that performance requires strategic fit. Amazon's broad value proposition works because its scale, logistics, marketplace and technology infrastructure support convenience and choice. Apple can sustain premium pricing because its brand, ecosystem and service experience reinforce each other. Starbucks can use loyalty effectively because coffee is a high frequency purchase and the store experience is part of the product. Nike's recent performance pressure shows the opposite lesson. Brand strength alone cannot protect performance if product pipeline, digital execution and channel reach become misaligned.</w:t>
      </w:r>
    </w:p>
    <w:p w14:paraId="76F35149" w14:textId="77777777" w:rsidR="003F7537" w:rsidRDefault="00000000">
      <w:pPr>
        <w:spacing w:after="120" w:line="480" w:lineRule="auto"/>
      </w:pPr>
      <w:r>
        <w:t xml:space="preserve">Pricing deserves particular attention because it is often treated as a finance decision after marketing strategy has been set. In reality, price is part of the value proposition. A high price can signal quality and exclusivity, but only if customers perceive superior value. A low price can </w:t>
      </w:r>
      <w:r>
        <w:lastRenderedPageBreak/>
        <w:t>increase acquisition, but only if margins and operations can support scale. Value based pricing provides a better framework than simple cost based pricing because it links price to customer benefit and competitive alternatives (Nagle &amp; Muller, 2018). However, value based pricing also requires ethical restraint because firms can damage trust when prices appear unfair or opaque.</w:t>
      </w:r>
    </w:p>
    <w:p w14:paraId="6F8267E9" w14:textId="77777777" w:rsidR="003F7537" w:rsidRDefault="00000000">
      <w:pPr>
        <w:spacing w:after="120" w:line="480" w:lineRule="auto"/>
      </w:pPr>
      <w:r>
        <w:t>The discussion also highlights the need for balanced marketing metrics. Sales growth is important, but it can be misleading if it depends on unsustainable discounting, rising acquisition costs or weak retention. Customer lifetime value, repeat purchase, gross margin, brand consideration and customer satisfaction provide a fuller view. Rust et al. (2004) argue that marketing productivity should connect customer perceptions to financial outcomes, which is particularly relevant in digital markets where firms can measure many activities but still misinterpret performance if they focus only on clicks and impressions.</w:t>
      </w:r>
    </w:p>
    <w:p w14:paraId="78D9425D" w14:textId="77777777" w:rsidR="003F7537" w:rsidRDefault="00000000">
      <w:pPr>
        <w:spacing w:after="120" w:line="480" w:lineRule="auto"/>
      </w:pPr>
      <w:r>
        <w:t>Finally, modern commercial strategy must manage the tension between data driven personalisation and customer trust. Personalisation can increase relevance and conversion, but customers increasingly expect responsible use of data and transparent communication. Commercial and marketing managers should therefore design customer journeys that are convenient, respectful and easy to understand. Performance should not be achieved by dark patterns, confusing subscriptions or excessive data capture. Sustainable growth depends on customers feeling that the organisation creates value before it captures value.</w:t>
      </w:r>
    </w:p>
    <w:p w14:paraId="41D3D934" w14:textId="77777777" w:rsidR="003F7537" w:rsidRDefault="00000000">
      <w:pPr>
        <w:spacing w:after="120" w:line="480" w:lineRule="auto"/>
      </w:pPr>
      <w:r>
        <w:t xml:space="preserve">An additional implication is that ethical and relational outcomes should be included in commercial reviews. Marketing performance can be distorted when managers celebrate revenue without asking whether it was gained through sustainable means. Aggressive promotions, unclear subscription terms or excessive personalisation may improve immediate numbers but harm trust. A more mature performance system would ask whether growth is profitable, </w:t>
      </w:r>
      <w:r>
        <w:lastRenderedPageBreak/>
        <w:t>repeatable, brand consistent and respectful of customers. This approach is especially important in digital markets where customer journeys can be optimised for conversion but still feel confusing or manipulative.</w:t>
      </w:r>
    </w:p>
    <w:p w14:paraId="77407D9F" w14:textId="77777777" w:rsidR="003F7537" w:rsidRDefault="00000000">
      <w:pPr>
        <w:spacing w:after="120" w:line="480" w:lineRule="auto"/>
      </w:pPr>
      <w:r>
        <w:t>A further issue is that organisations should not copy visible marketing tactics without copying the supporting capabilities. Many firms imitate loyalty apps, influencer campaigns or dynamic pricing because competitors use them. The case evidence suggests that these tools work only when they fit the wider commercial system. A loyalty programme without meaningful rewards becomes noise. Dynamic pricing without transparency becomes a trust risk. Direct channels without strong fulfilment create frustration rather than advantage.</w:t>
      </w:r>
    </w:p>
    <w:p w14:paraId="002045E2" w14:textId="77777777" w:rsidR="003F7537" w:rsidRDefault="00000000">
      <w:pPr>
        <w:pStyle w:val="Heading1"/>
        <w:spacing w:before="240" w:after="120" w:line="480" w:lineRule="auto"/>
      </w:pPr>
      <w:r>
        <w:rPr>
          <w:rFonts w:ascii="Times New Roman" w:hAnsi="Times New Roman"/>
        </w:rPr>
        <w:t>Conclusion</w:t>
      </w:r>
    </w:p>
    <w:p w14:paraId="7125B229" w14:textId="77777777" w:rsidR="003F7537" w:rsidRDefault="00000000">
      <w:pPr>
        <w:spacing w:after="120" w:line="480" w:lineRule="auto"/>
      </w:pPr>
      <w:r>
        <w:t>This report has shown that commercial and marketing strategies contribute to organisational performance by linking customer value with revenue generation. Commercial management focuses on value capture through pricing, sales planning, revenue models and channel economics. Marketing management focuses on value creation through customer insight, segmentation, positioning, branding, communication and relationship management. These functions become most powerful when they are aligned around the same target customers and value proposition.</w:t>
      </w:r>
    </w:p>
    <w:p w14:paraId="4E30BE8A" w14:textId="77777777" w:rsidR="003F7537" w:rsidRDefault="00000000">
      <w:pPr>
        <w:spacing w:after="120" w:line="480" w:lineRule="auto"/>
      </w:pPr>
      <w:r>
        <w:t xml:space="preserve">The analysis of Amazon, Apple, Starbucks and Nike demonstrates that pricing, segmentation, targeting, positioning and channel decisions directly influence sales performance, acquisition, profitability and retention. The cases also show that strong performance depends on fit. Premium pricing must be supported by superior value, loyalty programmes must feel fair, direct channels must preserve convenience and data based marketing must maintain trust. The overall conclusion </w:t>
      </w:r>
      <w:r>
        <w:lastRenderedPageBreak/>
        <w:t>is that modern organisations should treat marketing as a commercial growth discipline and treat commercial strategy as a customer led discipline. Sustainable performance is achieved when the firm can create, communicate, deliver and capture value in a coherent and ethical way.</w:t>
      </w:r>
    </w:p>
    <w:p w14:paraId="3F0A8EB9" w14:textId="77777777" w:rsidR="003F7537" w:rsidRDefault="00000000">
      <w:pPr>
        <w:spacing w:after="120" w:line="480" w:lineRule="auto"/>
      </w:pPr>
      <w:r>
        <w:t>For managers, the practical implication is to build shared dashboards and shared accountability. Marketing should not be judged only by awareness or engagement. Commercial teams should not be judged only by revenue volume. Both should be assessed through profitable growth, retention, customer satisfaction, margin quality and brand trust. This integrated view provides a stronger route to organisational performance than treating marketing as a cost centre or treating commercial management as a pricing function only.</w:t>
      </w:r>
    </w:p>
    <w:p w14:paraId="131219D7" w14:textId="77777777" w:rsidR="003F7537" w:rsidRDefault="00000000">
      <w:pPr>
        <w:spacing w:after="120" w:line="480" w:lineRule="auto"/>
      </w:pPr>
      <w:r>
        <w:t>Overall, the strongest organisations are those that define growth carefully. Growth should mean profitable, repeatable and trusted demand from customers the organisation can serve well. This interpretation links commercial strategy to marketing management and gives managers a practical basis for decisions across pricing, promotion, sales and channels.</w:t>
      </w:r>
    </w:p>
    <w:p w14:paraId="3A7BBDE0" w14:textId="77777777" w:rsidR="00247F12" w:rsidRDefault="00247F12">
      <w:pPr>
        <w:spacing w:after="120" w:line="480" w:lineRule="auto"/>
      </w:pPr>
    </w:p>
    <w:p w14:paraId="267BDF8D" w14:textId="77777777" w:rsidR="00247F12" w:rsidRDefault="00247F12">
      <w:pPr>
        <w:spacing w:after="120" w:line="480" w:lineRule="auto"/>
      </w:pPr>
    </w:p>
    <w:p w14:paraId="0CD0C606" w14:textId="77777777" w:rsidR="00247F12" w:rsidRDefault="00247F12">
      <w:pPr>
        <w:spacing w:after="120" w:line="480" w:lineRule="auto"/>
      </w:pPr>
    </w:p>
    <w:p w14:paraId="60590487" w14:textId="77777777" w:rsidR="00247F12" w:rsidRDefault="00247F12">
      <w:pPr>
        <w:spacing w:after="120" w:line="480" w:lineRule="auto"/>
      </w:pPr>
    </w:p>
    <w:p w14:paraId="3CFCA9FE" w14:textId="77777777" w:rsidR="00247F12" w:rsidRDefault="00247F12">
      <w:pPr>
        <w:spacing w:after="120" w:line="480" w:lineRule="auto"/>
      </w:pPr>
    </w:p>
    <w:p w14:paraId="0D385FCC" w14:textId="77777777" w:rsidR="00247F12" w:rsidRDefault="00247F12">
      <w:pPr>
        <w:spacing w:after="120" w:line="480" w:lineRule="auto"/>
      </w:pPr>
    </w:p>
    <w:p w14:paraId="3875FD49" w14:textId="77777777" w:rsidR="003F7537" w:rsidRDefault="00000000">
      <w:pPr>
        <w:pStyle w:val="Heading1"/>
        <w:spacing w:before="240" w:after="120" w:line="480" w:lineRule="auto"/>
      </w:pPr>
      <w:r>
        <w:rPr>
          <w:rFonts w:ascii="Times New Roman" w:hAnsi="Times New Roman"/>
        </w:rPr>
        <w:lastRenderedPageBreak/>
        <w:t>References</w:t>
      </w:r>
    </w:p>
    <w:p w14:paraId="2182AB7E" w14:textId="77777777" w:rsidR="003F7537" w:rsidRDefault="00000000">
      <w:pPr>
        <w:spacing w:after="120" w:line="480" w:lineRule="auto"/>
        <w:ind w:left="720" w:hanging="720"/>
      </w:pPr>
      <w:r>
        <w:t>Accenture. (2024). Accenture life trends 2025. https://www.accenture.com/in-en/insights/song/accenture-life-trends</w:t>
      </w:r>
    </w:p>
    <w:p w14:paraId="2CF9CFAD" w14:textId="77777777" w:rsidR="003F7537" w:rsidRDefault="00000000">
      <w:pPr>
        <w:spacing w:after="120" w:line="480" w:lineRule="auto"/>
        <w:ind w:left="720" w:hanging="720"/>
      </w:pPr>
      <w:r>
        <w:t>Amazon.com, Inc. (2025). 2024 annual report. https://ir.aboutamazon.com/annual-reports-proxies-and-shareholder-letters/default.aspx</w:t>
      </w:r>
    </w:p>
    <w:p w14:paraId="06A0DD98" w14:textId="77777777" w:rsidR="003F7537" w:rsidRDefault="00000000">
      <w:pPr>
        <w:spacing w:after="120" w:line="480" w:lineRule="auto"/>
        <w:ind w:left="720" w:hanging="720"/>
      </w:pPr>
      <w:r>
        <w:t>Apple Inc. (2024). Form 10-K for the fiscal year ended September 28, 2024. https://s2.q4cdn.com/470004039/files/doc_earnings/2024/q4/filing/10-Q4-2024-As-Filed.pdf</w:t>
      </w:r>
    </w:p>
    <w:p w14:paraId="6461B71B" w14:textId="77777777" w:rsidR="003F7537" w:rsidRDefault="00000000">
      <w:pPr>
        <w:spacing w:after="120" w:line="480" w:lineRule="auto"/>
        <w:ind w:left="720" w:hanging="720"/>
      </w:pPr>
      <w:r>
        <w:t>Barney, J. (1991). Firm resources and sustained competitive advantage. Journal of Management, 17(1), 99-120.</w:t>
      </w:r>
    </w:p>
    <w:p w14:paraId="13BA6B11" w14:textId="77777777" w:rsidR="003F7537" w:rsidRDefault="00000000">
      <w:pPr>
        <w:spacing w:after="120" w:line="480" w:lineRule="auto"/>
        <w:ind w:left="720" w:hanging="720"/>
      </w:pPr>
      <w:r>
        <w:t>Keller, K. L. (1993). Conceptualizing, measuring, and managing customer based brand equity. Journal of Marketing, 57(1), 1-22.</w:t>
      </w:r>
    </w:p>
    <w:p w14:paraId="71AA1FFF" w14:textId="77777777" w:rsidR="003F7537" w:rsidRDefault="00000000">
      <w:pPr>
        <w:spacing w:after="120" w:line="480" w:lineRule="auto"/>
        <w:ind w:left="720" w:hanging="720"/>
      </w:pPr>
      <w:r>
        <w:t>Kotler, P., Keller, K. L., &amp; Chernev, A. (2022). Marketing management (16th ed.). Pearson.</w:t>
      </w:r>
    </w:p>
    <w:p w14:paraId="269A7C04" w14:textId="77777777" w:rsidR="003F7537" w:rsidRDefault="00000000">
      <w:pPr>
        <w:spacing w:after="120" w:line="480" w:lineRule="auto"/>
        <w:ind w:left="720" w:hanging="720"/>
      </w:pPr>
      <w:r>
        <w:t>Kumar, V., &amp; Reinartz, W. (2018). Customer relationship management: Concept, strategy, and tools (3rd ed.). Springer.</w:t>
      </w:r>
    </w:p>
    <w:p w14:paraId="0F945B08" w14:textId="77777777" w:rsidR="003F7537" w:rsidRDefault="00000000">
      <w:pPr>
        <w:spacing w:after="120" w:line="480" w:lineRule="auto"/>
        <w:ind w:left="720" w:hanging="720"/>
      </w:pPr>
      <w:r>
        <w:t>Nagle, T. T., &amp; Muller, G. (2018). The strategy and tactics of pricing (6th ed.). Routledge.</w:t>
      </w:r>
    </w:p>
    <w:p w14:paraId="4974F083" w14:textId="77777777" w:rsidR="003F7537" w:rsidRDefault="00000000">
      <w:pPr>
        <w:spacing w:after="120" w:line="480" w:lineRule="auto"/>
        <w:ind w:left="720" w:hanging="720"/>
      </w:pPr>
      <w:r>
        <w:t>Narver, J. C., &amp; Slater, S. F. (1990). The effect of a market orientation on business profitability. Journal of Marketing, 54(4), 20-35.</w:t>
      </w:r>
    </w:p>
    <w:p w14:paraId="263BAAAE" w14:textId="77777777" w:rsidR="003F7537" w:rsidRDefault="00000000">
      <w:pPr>
        <w:spacing w:after="120" w:line="480" w:lineRule="auto"/>
        <w:ind w:left="720" w:hanging="720"/>
      </w:pPr>
      <w:r>
        <w:t>NIKE, Inc. (2025). NIKE, Inc. reports fiscal 2025 fourth quarter and full year results. https://investors.nike.com/investors/news-events-and-reports/investor-news/investor-</w:t>
      </w:r>
      <w:r>
        <w:lastRenderedPageBreak/>
        <w:t>news-details/2025/NIKE-Inc--Reports-Fiscal-2025-Fourth-Quarter-and-Full-Year-Results/default.aspx</w:t>
      </w:r>
    </w:p>
    <w:p w14:paraId="5A0FADED" w14:textId="77777777" w:rsidR="003F7537" w:rsidRDefault="00000000">
      <w:pPr>
        <w:spacing w:after="120" w:line="480" w:lineRule="auto"/>
        <w:ind w:left="720" w:hanging="720"/>
      </w:pPr>
      <w:r>
        <w:t>Porter, M. E. (1985). Competitive advantage: Creating and sustaining superior performance. Free Press.</w:t>
      </w:r>
    </w:p>
    <w:p w14:paraId="26903956" w14:textId="77777777" w:rsidR="003F7537" w:rsidRDefault="00000000">
      <w:pPr>
        <w:spacing w:after="120" w:line="480" w:lineRule="auto"/>
        <w:ind w:left="720" w:hanging="720"/>
      </w:pPr>
      <w:r>
        <w:t>Rust, R. T., Ambler, T., Carpenter, G. S., Kumar, V., &amp; Srivastava, R. K. (2004). Measuring marketing productivity: Current knowledge and future directions. Journal of Marketing, 68(4), 76-89.</w:t>
      </w:r>
    </w:p>
    <w:p w14:paraId="05F462BA" w14:textId="77777777" w:rsidR="003F7537" w:rsidRDefault="00000000">
      <w:pPr>
        <w:spacing w:after="120" w:line="480" w:lineRule="auto"/>
        <w:ind w:left="720" w:hanging="720"/>
      </w:pPr>
      <w:r>
        <w:t>Salesforce. (2025). State of the AI connected customer. https://www.salesforce.com/in/resources/research-reports/state-of-the-connected-customer/</w:t>
      </w:r>
    </w:p>
    <w:p w14:paraId="0B7C1BD1" w14:textId="77777777" w:rsidR="003F7537" w:rsidRDefault="00000000">
      <w:pPr>
        <w:spacing w:after="120" w:line="480" w:lineRule="auto"/>
        <w:ind w:left="720" w:hanging="720"/>
      </w:pPr>
      <w:r>
        <w:t>Verhoef, P. C., Kannan, P. K., &amp; Inman, J. J. (2015). From multi channel retailing to omni channel retailing: Introduction to the special issue on multi channel retailing. Journal of Retailing, 91(2), 174-181.</w:t>
      </w:r>
    </w:p>
    <w:p w14:paraId="3343D4C7" w14:textId="0B0C6FF5" w:rsidR="003F7537" w:rsidRDefault="00000000">
      <w:pPr>
        <w:spacing w:after="120" w:line="480" w:lineRule="auto"/>
        <w:ind w:left="720" w:hanging="720"/>
      </w:pPr>
      <w:r>
        <w:t xml:space="preserve">Starbucks Corporation. (2024). Starbucks fiscal 2024 annual report. </w:t>
      </w:r>
      <w:hyperlink r:id="rId8" w:history="1">
        <w:r w:rsidR="00247F12" w:rsidRPr="00AA4F20">
          <w:rPr>
            <w:rStyle w:val="Hyperlink"/>
          </w:rPr>
          <w:t>https://s203.q4cdn.com/326826266/files/doc_financials/2024/ar/Starbucks-Fiscal-2024-Annual-Report.pdf</w:t>
        </w:r>
      </w:hyperlink>
    </w:p>
    <w:p w14:paraId="47482B1C" w14:textId="77777777" w:rsidR="00247F12" w:rsidRDefault="00247F12">
      <w:pPr>
        <w:spacing w:after="120" w:line="480" w:lineRule="auto"/>
        <w:ind w:left="720" w:hanging="720"/>
      </w:pPr>
    </w:p>
    <w:p w14:paraId="7E87AC17" w14:textId="77777777" w:rsidR="00247F12" w:rsidRDefault="00247F12">
      <w:pPr>
        <w:spacing w:after="120" w:line="480" w:lineRule="auto"/>
        <w:ind w:left="720" w:hanging="720"/>
      </w:pPr>
    </w:p>
    <w:p w14:paraId="4C46A471" w14:textId="77777777" w:rsidR="003F7537" w:rsidRDefault="00000000">
      <w:pPr>
        <w:pStyle w:val="Heading1"/>
        <w:spacing w:before="240" w:after="120" w:line="480" w:lineRule="auto"/>
      </w:pPr>
      <w:r>
        <w:rPr>
          <w:rFonts w:ascii="Times New Roman" w:hAnsi="Times New Roman"/>
        </w:rPr>
        <w:lastRenderedPageBreak/>
        <w:t>Appendices</w:t>
      </w:r>
    </w:p>
    <w:p w14:paraId="4D1F6E33" w14:textId="77777777" w:rsidR="003F7537" w:rsidRDefault="00000000">
      <w:pPr>
        <w:pStyle w:val="Heading2"/>
        <w:spacing w:before="240" w:after="120" w:line="480" w:lineRule="auto"/>
      </w:pPr>
      <w:r>
        <w:rPr>
          <w:rFonts w:ascii="Times New Roman" w:hAnsi="Times New Roman"/>
          <w:sz w:val="24"/>
        </w:rPr>
        <w:t>Appendix A: Analytical framework used in the report</w:t>
      </w:r>
    </w:p>
    <w:p w14:paraId="49D36AA0" w14:textId="77777777" w:rsidR="003F7537" w:rsidRDefault="00000000">
      <w:pPr>
        <w:spacing w:after="120" w:line="480" w:lineRule="auto"/>
      </w:pPr>
      <w:r>
        <w:t>The analysis considered 4 dimensions for each organisation: target customer and value proposition, pricing and revenue model, channel and distribution design, and performance implications. This framework was used to compare firms consistently across sectors without assuming that all sectors require the same marketing mix.</w:t>
      </w:r>
    </w:p>
    <w:p w14:paraId="4EAE5CA2" w14:textId="77777777" w:rsidR="003F7537" w:rsidRDefault="00000000">
      <w:pPr>
        <w:spacing w:after="120" w:line="480" w:lineRule="auto"/>
      </w:pPr>
      <w:r>
        <w:t>Indicative performance indicators include sales growth, gross margin, customer acquisition cost, customer lifetime value, repeat purchase, loyalty participation, brand consideration, digital conversion and channel profitability.</w:t>
      </w:r>
    </w:p>
    <w:p w14:paraId="12248AE5" w14:textId="539AB200" w:rsidR="003F7537" w:rsidRDefault="003F7537">
      <w:pPr>
        <w:spacing w:after="120" w:line="480" w:lineRule="auto"/>
      </w:pPr>
    </w:p>
    <w:sectPr w:rsidR="003F7537" w:rsidSect="00034616">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8781B" w14:textId="77777777" w:rsidR="00681848" w:rsidRDefault="00681848">
      <w:pPr>
        <w:spacing w:after="0" w:line="240" w:lineRule="auto"/>
      </w:pPr>
      <w:r>
        <w:separator/>
      </w:r>
    </w:p>
  </w:endnote>
  <w:endnote w:type="continuationSeparator" w:id="0">
    <w:p w14:paraId="6C4E4171" w14:textId="77777777" w:rsidR="00681848" w:rsidRDefault="00681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ABB8C" w14:textId="77777777" w:rsidR="003F7537" w:rsidRDefault="00000000">
    <w:pPr>
      <w:pStyle w:val="Footer"/>
      <w:jc w:val="center"/>
    </w:pPr>
    <w:r>
      <w:fldChar w:fldCharType="begin"/>
    </w:r>
    <w:r>
      <w:instrText>PAGE</w:instrText>
    </w:r>
    <w:r w:rsidR="00247F12">
      <w:fldChar w:fldCharType="separate"/>
    </w:r>
    <w:r w:rsidR="00247F1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E60A3" w14:textId="77777777" w:rsidR="00681848" w:rsidRDefault="00681848">
      <w:pPr>
        <w:spacing w:after="0" w:line="240" w:lineRule="auto"/>
      </w:pPr>
      <w:r>
        <w:separator/>
      </w:r>
    </w:p>
  </w:footnote>
  <w:footnote w:type="continuationSeparator" w:id="0">
    <w:p w14:paraId="59ECB455" w14:textId="77777777" w:rsidR="00681848" w:rsidRDefault="006818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AA49" w14:textId="77777777" w:rsidR="003F7537" w:rsidRDefault="00000000">
    <w:pPr>
      <w:pStyle w:val="Header"/>
      <w:jc w:val="right"/>
    </w:pPr>
    <w:r>
      <w:rPr>
        <w:sz w:val="20"/>
      </w:rPr>
      <w:t>Option 1: Commercial Strategy and Marketing Performance in Modern Organizations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38463659">
    <w:abstractNumId w:val="8"/>
  </w:num>
  <w:num w:numId="2" w16cid:durableId="1208101344">
    <w:abstractNumId w:val="6"/>
  </w:num>
  <w:num w:numId="3" w16cid:durableId="398091099">
    <w:abstractNumId w:val="5"/>
  </w:num>
  <w:num w:numId="4" w16cid:durableId="1987003070">
    <w:abstractNumId w:val="4"/>
  </w:num>
  <w:num w:numId="5" w16cid:durableId="755059273">
    <w:abstractNumId w:val="7"/>
  </w:num>
  <w:num w:numId="6" w16cid:durableId="532497511">
    <w:abstractNumId w:val="3"/>
  </w:num>
  <w:num w:numId="7" w16cid:durableId="1030498837">
    <w:abstractNumId w:val="2"/>
  </w:num>
  <w:num w:numId="8" w16cid:durableId="1872067995">
    <w:abstractNumId w:val="1"/>
  </w:num>
  <w:num w:numId="9" w16cid:durableId="418992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47F12"/>
    <w:rsid w:val="0029639D"/>
    <w:rsid w:val="00326F90"/>
    <w:rsid w:val="003F7537"/>
    <w:rsid w:val="00660CD0"/>
    <w:rsid w:val="0068184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202140"/>
  <w14:defaultImageDpi w14:val="300"/>
  <w15:docId w15:val="{BE0A8303-EEF6-43C0-A41D-080758D6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47F12"/>
    <w:rPr>
      <w:color w:val="0000FF" w:themeColor="hyperlink"/>
      <w:u w:val="single"/>
    </w:rPr>
  </w:style>
  <w:style w:type="character" w:styleId="UnresolvedMention">
    <w:name w:val="Unresolved Mention"/>
    <w:basedOn w:val="DefaultParagraphFont"/>
    <w:uiPriority w:val="99"/>
    <w:semiHidden/>
    <w:unhideWhenUsed/>
    <w:rsid w:val="00247F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s203.q4cdn.com/326826266/files/doc_financials/2024/ar/Starbucks-Fiscal-2024-Annual-Repor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5029</Words>
  <Characters>28667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33629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2026-05-19T08:24:00Z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f45d9b69-befd-4214-84ed-50332858b822</vt:lpwstr>
  </property>
</Properties>
</file>