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31A806" w14:textId="31176B1F" w:rsidR="000D4D79" w:rsidRPr="006F4A72" w:rsidRDefault="000D4D79" w:rsidP="000D4D79">
      <w:pPr>
        <w:spacing w:line="480" w:lineRule="auto"/>
        <w:jc w:val="center"/>
        <w:rPr>
          <w:rFonts w:ascii="Times New Roman" w:hAnsi="Times New Roman" w:cs="Times New Roman"/>
          <w:color w:val="000000" w:themeColor="text1"/>
          <w:szCs w:val="24"/>
        </w:rPr>
      </w:pPr>
    </w:p>
    <w:p w14:paraId="1CC28812" w14:textId="6A754C31" w:rsidR="000D4D79" w:rsidRPr="006F4A72" w:rsidRDefault="000D4D79" w:rsidP="000D4D79">
      <w:pPr>
        <w:spacing w:line="480" w:lineRule="auto"/>
        <w:jc w:val="center"/>
        <w:rPr>
          <w:rFonts w:ascii="Times New Roman" w:hAnsi="Times New Roman" w:cs="Times New Roman"/>
          <w:color w:val="000000" w:themeColor="text1"/>
          <w:szCs w:val="24"/>
        </w:rPr>
      </w:pPr>
      <w:r w:rsidRPr="006F4A72">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505EB8CD" wp14:editId="43D35BF7">
            <wp:simplePos x="0" y="0"/>
            <wp:positionH relativeFrom="margin">
              <wp:posOffset>2505075</wp:posOffset>
            </wp:positionH>
            <wp:positionV relativeFrom="paragraph">
              <wp:posOffset>280670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007BF79" w14:textId="77777777" w:rsidR="000D4D79" w:rsidRPr="006F4A72" w:rsidRDefault="000D4D79" w:rsidP="000D4D79">
      <w:pPr>
        <w:spacing w:line="480" w:lineRule="auto"/>
        <w:jc w:val="center"/>
        <w:rPr>
          <w:rFonts w:ascii="Times New Roman" w:hAnsi="Times New Roman" w:cs="Times New Roman"/>
          <w:color w:val="000000" w:themeColor="text1"/>
          <w:szCs w:val="24"/>
        </w:rPr>
      </w:pPr>
    </w:p>
    <w:p w14:paraId="64EE159D" w14:textId="77777777" w:rsidR="000D4D79" w:rsidRPr="006F4A72" w:rsidRDefault="000D4D79" w:rsidP="000D4D79">
      <w:pPr>
        <w:spacing w:line="480" w:lineRule="auto"/>
        <w:jc w:val="center"/>
        <w:rPr>
          <w:rFonts w:ascii="Times New Roman" w:hAnsi="Times New Roman" w:cs="Times New Roman"/>
          <w:b/>
          <w:bCs/>
          <w:color w:val="000000" w:themeColor="text1"/>
          <w:szCs w:val="24"/>
        </w:rPr>
      </w:pPr>
    </w:p>
    <w:p w14:paraId="7449883B" w14:textId="6DEAD4AE" w:rsidR="000D4D79" w:rsidRPr="006F4A72" w:rsidRDefault="000D4D79" w:rsidP="000D4D79">
      <w:pPr>
        <w:spacing w:line="480" w:lineRule="auto"/>
        <w:jc w:val="center"/>
        <w:rPr>
          <w:rFonts w:ascii="Times New Roman" w:hAnsi="Times New Roman" w:cs="Times New Roman"/>
          <w:b/>
          <w:bCs/>
          <w:color w:val="000000" w:themeColor="text1"/>
          <w:szCs w:val="24"/>
        </w:rPr>
      </w:pPr>
      <w:r w:rsidRPr="006F4A72">
        <w:rPr>
          <w:rFonts w:ascii="Times New Roman" w:hAnsi="Times New Roman" w:cs="Times New Roman"/>
          <w:b/>
          <w:bCs/>
          <w:color w:val="000000" w:themeColor="text1"/>
          <w:szCs w:val="24"/>
        </w:rPr>
        <w:t>Masters in Tourism and Recreation</w:t>
      </w:r>
    </w:p>
    <w:p w14:paraId="43FC2244" w14:textId="77777777" w:rsidR="000D4D79" w:rsidRPr="006F4A72" w:rsidRDefault="000D4D79" w:rsidP="000D4D79">
      <w:pPr>
        <w:spacing w:line="480" w:lineRule="auto"/>
        <w:jc w:val="center"/>
        <w:rPr>
          <w:rFonts w:ascii="Times New Roman" w:hAnsi="Times New Roman" w:cs="Times New Roman"/>
          <w:b/>
          <w:bCs/>
          <w:color w:val="000000" w:themeColor="text1"/>
          <w:szCs w:val="24"/>
        </w:rPr>
      </w:pPr>
      <w:proofErr w:type="spellStart"/>
      <w:r w:rsidRPr="006F4A72">
        <w:rPr>
          <w:rFonts w:ascii="Times New Roman" w:hAnsi="Times New Roman" w:cs="Times New Roman"/>
          <w:b/>
          <w:bCs/>
          <w:color w:val="000000" w:themeColor="text1"/>
          <w:szCs w:val="24"/>
        </w:rPr>
        <w:t>Opera&amp;ons</w:t>
      </w:r>
      <w:proofErr w:type="spellEnd"/>
      <w:r w:rsidRPr="006F4A72">
        <w:rPr>
          <w:rFonts w:ascii="Times New Roman" w:hAnsi="Times New Roman" w:cs="Times New Roman"/>
          <w:b/>
          <w:bCs/>
          <w:color w:val="000000" w:themeColor="text1"/>
          <w:szCs w:val="24"/>
        </w:rPr>
        <w:t xml:space="preserve"> Management in Hospitality </w:t>
      </w:r>
    </w:p>
    <w:p w14:paraId="3ABB54A8" w14:textId="77777777" w:rsidR="000D4D79" w:rsidRPr="006F4A72" w:rsidRDefault="000D4D79" w:rsidP="000D4D79">
      <w:pPr>
        <w:spacing w:line="480" w:lineRule="auto"/>
        <w:jc w:val="center"/>
        <w:rPr>
          <w:rFonts w:ascii="Times New Roman" w:hAnsi="Times New Roman" w:cs="Times New Roman"/>
          <w:b/>
          <w:bCs/>
          <w:color w:val="000000" w:themeColor="text1"/>
          <w:szCs w:val="24"/>
        </w:rPr>
      </w:pPr>
      <w:r w:rsidRPr="006F4A72">
        <w:rPr>
          <w:rFonts w:ascii="Times New Roman" w:hAnsi="Times New Roman" w:cs="Times New Roman"/>
          <w:b/>
          <w:bCs/>
          <w:color w:val="000000" w:themeColor="text1"/>
          <w:szCs w:val="24"/>
        </w:rPr>
        <w:t xml:space="preserve">Assignment 12 </w:t>
      </w:r>
    </w:p>
    <w:p w14:paraId="3FAB9596" w14:textId="77777777" w:rsidR="000D4D79" w:rsidRPr="006F4A72" w:rsidRDefault="000D4D79" w:rsidP="000D4D79">
      <w:pPr>
        <w:spacing w:line="480" w:lineRule="auto"/>
        <w:jc w:val="center"/>
        <w:rPr>
          <w:rFonts w:ascii="Times New Roman" w:hAnsi="Times New Roman" w:cs="Times New Roman"/>
          <w:b/>
          <w:bCs/>
          <w:color w:val="000000" w:themeColor="text1"/>
          <w:szCs w:val="24"/>
        </w:rPr>
      </w:pPr>
      <w:r w:rsidRPr="006F4A72">
        <w:rPr>
          <w:rFonts w:ascii="Times New Roman" w:hAnsi="Times New Roman" w:cs="Times New Roman"/>
          <w:b/>
          <w:bCs/>
          <w:color w:val="000000" w:themeColor="text1"/>
          <w:szCs w:val="24"/>
        </w:rPr>
        <w:t>04.02.2026</w:t>
      </w:r>
    </w:p>
    <w:p w14:paraId="62F50B21" w14:textId="77777777" w:rsidR="000D4D79" w:rsidRPr="006F4A72" w:rsidRDefault="000D4D79">
      <w:pPr>
        <w:rPr>
          <w:rFonts w:ascii="Times New Roman" w:hAnsi="Times New Roman" w:cs="Times New Roman"/>
        </w:rPr>
      </w:pPr>
    </w:p>
    <w:p w14:paraId="561DC56B" w14:textId="77777777" w:rsidR="000D4D79" w:rsidRPr="006F4A72" w:rsidRDefault="000D4D79">
      <w:pPr>
        <w:rPr>
          <w:rFonts w:ascii="Times New Roman" w:hAnsi="Times New Roman" w:cs="Times New Roman"/>
        </w:rPr>
      </w:pPr>
    </w:p>
    <w:p w14:paraId="531986BC" w14:textId="77777777" w:rsidR="000D4D79" w:rsidRPr="006F4A72" w:rsidRDefault="000D4D79">
      <w:pPr>
        <w:rPr>
          <w:rFonts w:ascii="Times New Roman" w:hAnsi="Times New Roman" w:cs="Times New Roman"/>
        </w:rPr>
      </w:pPr>
    </w:p>
    <w:p w14:paraId="20E0F3DF" w14:textId="77777777" w:rsidR="000D4D79" w:rsidRPr="006F4A72" w:rsidRDefault="000D4D79">
      <w:pPr>
        <w:rPr>
          <w:rFonts w:ascii="Times New Roman" w:hAnsi="Times New Roman" w:cs="Times New Roman"/>
        </w:rPr>
      </w:pPr>
    </w:p>
    <w:p w14:paraId="07905919" w14:textId="77777777" w:rsidR="000D4D79" w:rsidRPr="006F4A72" w:rsidRDefault="000D4D79">
      <w:pPr>
        <w:rPr>
          <w:rFonts w:ascii="Times New Roman" w:hAnsi="Times New Roman" w:cs="Times New Roman"/>
        </w:rPr>
      </w:pPr>
    </w:p>
    <w:p w14:paraId="2EC7EDCE" w14:textId="77777777" w:rsidR="006F4A72" w:rsidRPr="006F4A72" w:rsidRDefault="006F4A72">
      <w:pPr>
        <w:rPr>
          <w:rFonts w:ascii="Times New Roman" w:hAnsi="Times New Roman" w:cs="Times New Roman"/>
        </w:rPr>
      </w:pPr>
    </w:p>
    <w:p w14:paraId="2016C257" w14:textId="77777777" w:rsidR="006F4A72" w:rsidRPr="006F4A72" w:rsidRDefault="006F4A72">
      <w:pPr>
        <w:rPr>
          <w:rFonts w:ascii="Times New Roman" w:hAnsi="Times New Roman" w:cs="Times New Roman"/>
        </w:rPr>
      </w:pPr>
    </w:p>
    <w:p w14:paraId="04A3BA61" w14:textId="77777777" w:rsidR="006F4A72" w:rsidRPr="006F4A72" w:rsidRDefault="006F4A72">
      <w:pPr>
        <w:rPr>
          <w:rFonts w:ascii="Times New Roman" w:hAnsi="Times New Roman" w:cs="Times New Roman"/>
        </w:rPr>
      </w:pPr>
    </w:p>
    <w:p w14:paraId="4A7DAC86" w14:textId="77777777" w:rsidR="006F4A72" w:rsidRPr="006F4A72" w:rsidRDefault="006F4A72">
      <w:pPr>
        <w:rPr>
          <w:rFonts w:ascii="Times New Roman" w:hAnsi="Times New Roman" w:cs="Times New Roman"/>
        </w:rPr>
      </w:pPr>
    </w:p>
    <w:p w14:paraId="7010B923" w14:textId="77777777" w:rsidR="006F4A72" w:rsidRPr="006F4A72" w:rsidRDefault="006F4A72">
      <w:pPr>
        <w:rPr>
          <w:rFonts w:ascii="Times New Roman" w:hAnsi="Times New Roman" w:cs="Times New Roman"/>
        </w:rPr>
      </w:pPr>
    </w:p>
    <w:p w14:paraId="7E3A240D" w14:textId="77777777" w:rsidR="006F4A72" w:rsidRPr="006F4A72" w:rsidRDefault="006F4A72">
      <w:pPr>
        <w:rPr>
          <w:rFonts w:ascii="Times New Roman" w:hAnsi="Times New Roman" w:cs="Times New Roman"/>
        </w:rPr>
      </w:pPr>
    </w:p>
    <w:p w14:paraId="087A49D1" w14:textId="77777777" w:rsidR="006F4A72" w:rsidRPr="006F4A72" w:rsidRDefault="006F4A72">
      <w:pPr>
        <w:rPr>
          <w:rFonts w:ascii="Times New Roman" w:hAnsi="Times New Roman" w:cs="Times New Roman"/>
        </w:rPr>
      </w:pPr>
    </w:p>
    <w:p w14:paraId="68C08E99" w14:textId="77777777" w:rsidR="006F4A72" w:rsidRPr="006F4A72" w:rsidRDefault="006F4A72">
      <w:pPr>
        <w:rPr>
          <w:rFonts w:ascii="Times New Roman" w:hAnsi="Times New Roman" w:cs="Times New Roman"/>
        </w:rPr>
      </w:pPr>
    </w:p>
    <w:p w14:paraId="23D38591" w14:textId="77777777" w:rsidR="006F4A72" w:rsidRPr="006F4A72" w:rsidRDefault="006F4A72">
      <w:pPr>
        <w:rPr>
          <w:rFonts w:ascii="Times New Roman" w:hAnsi="Times New Roman" w:cs="Times New Roman"/>
        </w:rPr>
      </w:pPr>
    </w:p>
    <w:p w14:paraId="27490A72" w14:textId="77777777" w:rsidR="006F4A72" w:rsidRPr="006F4A72" w:rsidRDefault="006F4A72" w:rsidP="006F4A72">
      <w:pPr>
        <w:rPr>
          <w:rFonts w:ascii="Times New Roman" w:hAnsi="Times New Roman" w:cs="Times New Roman"/>
          <w:b/>
          <w:bCs/>
        </w:rPr>
      </w:pPr>
      <w:proofErr w:type="gramStart"/>
      <w:r w:rsidRPr="006F4A72">
        <w:rPr>
          <w:rFonts w:ascii="Times New Roman" w:hAnsi="Times New Roman" w:cs="Times New Roman"/>
          <w:b/>
          <w:bCs/>
        </w:rPr>
        <w:lastRenderedPageBreak/>
        <w:t>How</w:t>
      </w:r>
      <w:proofErr w:type="gramEnd"/>
      <w:r w:rsidRPr="006F4A72">
        <w:rPr>
          <w:rFonts w:ascii="Times New Roman" w:hAnsi="Times New Roman" w:cs="Times New Roman"/>
          <w:b/>
          <w:bCs/>
        </w:rPr>
        <w:t xml:space="preserve"> Non-Pricing Revenue Management Tools Help Hotels Maximize Revenue Without Changing Room Rates</w:t>
      </w:r>
    </w:p>
    <w:p w14:paraId="382275FB" w14:textId="77777777" w:rsidR="006F4A72" w:rsidRPr="006F4A72" w:rsidRDefault="006F4A72" w:rsidP="006F4A72">
      <w:pPr>
        <w:rPr>
          <w:rFonts w:ascii="Times New Roman" w:hAnsi="Times New Roman" w:cs="Times New Roman"/>
        </w:rPr>
      </w:pPr>
    </w:p>
    <w:p w14:paraId="1D14EB5D" w14:textId="77777777" w:rsidR="006F4A72" w:rsidRPr="006F4A72" w:rsidRDefault="006F4A72" w:rsidP="006F4A72">
      <w:pPr>
        <w:rPr>
          <w:rFonts w:ascii="Times New Roman" w:hAnsi="Times New Roman" w:cs="Times New Roman"/>
        </w:rPr>
      </w:pPr>
      <w:r w:rsidRPr="006F4A72">
        <w:rPr>
          <w:rFonts w:ascii="Times New Roman" w:hAnsi="Times New Roman" w:cs="Times New Roman"/>
        </w:rPr>
        <w:t>Non-pricing revenue management tools enable hotels to increase total revenue without adjusting room prices by optimising demand, capacity utilisation, customer behaviour, and ancillary spending. These tools focus on when, to whom, and how rooms and services are sold, rather than altering the price itself, making them particularly useful in highly competitive or rate-sensitive markets.</w:t>
      </w:r>
    </w:p>
    <w:p w14:paraId="469605B5" w14:textId="77777777" w:rsidR="006F4A72" w:rsidRPr="006F4A72" w:rsidRDefault="006F4A72" w:rsidP="006F4A72">
      <w:pPr>
        <w:rPr>
          <w:rFonts w:ascii="Times New Roman" w:hAnsi="Times New Roman" w:cs="Times New Roman"/>
        </w:rPr>
      </w:pPr>
    </w:p>
    <w:p w14:paraId="0465D011" w14:textId="77777777" w:rsidR="006F4A72" w:rsidRPr="006F4A72" w:rsidRDefault="006F4A72" w:rsidP="006F4A72">
      <w:pPr>
        <w:rPr>
          <w:rFonts w:ascii="Times New Roman" w:hAnsi="Times New Roman" w:cs="Times New Roman"/>
        </w:rPr>
      </w:pPr>
      <w:r w:rsidRPr="006F4A72">
        <w:rPr>
          <w:rFonts w:ascii="Times New Roman" w:hAnsi="Times New Roman" w:cs="Times New Roman"/>
        </w:rPr>
        <w:t>One of the most effective non-pricing tools is length-of-stay (LOS) control. By setting minimum or maximum stay requirements during high-demand periods, hotels can reduce short, low-value stays and prioritise bookings that maximise total revenue per available room (</w:t>
      </w:r>
      <w:proofErr w:type="spellStart"/>
      <w:r w:rsidRPr="006F4A72">
        <w:rPr>
          <w:rFonts w:ascii="Times New Roman" w:hAnsi="Times New Roman" w:cs="Times New Roman"/>
        </w:rPr>
        <w:t>TRevPAR</w:t>
      </w:r>
      <w:proofErr w:type="spellEnd"/>
      <w:r w:rsidRPr="006F4A72">
        <w:rPr>
          <w:rFonts w:ascii="Times New Roman" w:hAnsi="Times New Roman" w:cs="Times New Roman"/>
        </w:rPr>
        <w:t>). LOS controls help smooth demand across peak and shoulder periods while reducing operational inefficiencies such as frequent room turnovers (Talluri &amp; Van Ryzin, 2004).</w:t>
      </w:r>
    </w:p>
    <w:p w14:paraId="50EBD173" w14:textId="77777777" w:rsidR="006F4A72" w:rsidRPr="006F4A72" w:rsidRDefault="006F4A72" w:rsidP="006F4A72">
      <w:pPr>
        <w:rPr>
          <w:rFonts w:ascii="Times New Roman" w:hAnsi="Times New Roman" w:cs="Times New Roman"/>
        </w:rPr>
      </w:pPr>
    </w:p>
    <w:p w14:paraId="01CF083D" w14:textId="77777777" w:rsidR="006F4A72" w:rsidRPr="006F4A72" w:rsidRDefault="006F4A72" w:rsidP="006F4A72">
      <w:pPr>
        <w:rPr>
          <w:rFonts w:ascii="Times New Roman" w:hAnsi="Times New Roman" w:cs="Times New Roman"/>
        </w:rPr>
      </w:pPr>
      <w:r w:rsidRPr="006F4A72">
        <w:rPr>
          <w:rFonts w:ascii="Times New Roman" w:hAnsi="Times New Roman" w:cs="Times New Roman"/>
        </w:rPr>
        <w:t>Inventory control and room type optimisation are also critical. Hotels strategically allocate limited room inventory across segments (business, leisure, group, OTA, or direct bookings) based on expected profitability rather than price alone. For example, closing low-value distribution channels during peak demand ensures availability for higher-yield customers, improving revenue quality without changing rates (Kimes, 2011).</w:t>
      </w:r>
    </w:p>
    <w:p w14:paraId="7E7BCF5E" w14:textId="77777777" w:rsidR="006F4A72" w:rsidRPr="006F4A72" w:rsidRDefault="006F4A72" w:rsidP="006F4A72">
      <w:pPr>
        <w:rPr>
          <w:rFonts w:ascii="Times New Roman" w:hAnsi="Times New Roman" w:cs="Times New Roman"/>
        </w:rPr>
      </w:pPr>
    </w:p>
    <w:p w14:paraId="6ECF46BA" w14:textId="77777777" w:rsidR="006F4A72" w:rsidRPr="006F4A72" w:rsidRDefault="006F4A72" w:rsidP="006F4A72">
      <w:pPr>
        <w:rPr>
          <w:rFonts w:ascii="Times New Roman" w:hAnsi="Times New Roman" w:cs="Times New Roman"/>
        </w:rPr>
      </w:pPr>
      <w:r w:rsidRPr="006F4A72">
        <w:rPr>
          <w:rFonts w:ascii="Times New Roman" w:hAnsi="Times New Roman" w:cs="Times New Roman"/>
        </w:rPr>
        <w:t>Another key non-pricing tool is overbooking management. Because cancellations and no-shows are common in hospitality, controlled overbooking allows hotels to achieve higher occupancy levels while managing the risk of guest displacement. When applied using historical data and forecasting models, overbooking significantly increases realised revenue without affecting published prices (Ivanov, 2007).</w:t>
      </w:r>
    </w:p>
    <w:p w14:paraId="20D94EF9" w14:textId="77777777" w:rsidR="006F4A72" w:rsidRPr="006F4A72" w:rsidRDefault="006F4A72" w:rsidP="006F4A72">
      <w:pPr>
        <w:rPr>
          <w:rFonts w:ascii="Times New Roman" w:hAnsi="Times New Roman" w:cs="Times New Roman"/>
        </w:rPr>
      </w:pPr>
    </w:p>
    <w:p w14:paraId="4BB7749B" w14:textId="77777777" w:rsidR="006F4A72" w:rsidRPr="006F4A72" w:rsidRDefault="006F4A72" w:rsidP="006F4A72">
      <w:pPr>
        <w:rPr>
          <w:rFonts w:ascii="Times New Roman" w:hAnsi="Times New Roman" w:cs="Times New Roman"/>
        </w:rPr>
      </w:pPr>
      <w:r w:rsidRPr="006F4A72">
        <w:rPr>
          <w:rFonts w:ascii="Times New Roman" w:hAnsi="Times New Roman" w:cs="Times New Roman"/>
        </w:rPr>
        <w:t>Hotels also maximise revenue through ancillary revenue optimisation, such as promoting upgrades, food and beverage, spa services, parking, and late check-outs. Targeted upselling and cross-selling—especially through digital pre-arrival communication and front-desk techniques—can substantially increase total guest spend without altering room rates (Noone &amp; McGuire, 2013).</w:t>
      </w:r>
    </w:p>
    <w:p w14:paraId="58014974" w14:textId="77777777" w:rsidR="006F4A72" w:rsidRPr="006F4A72" w:rsidRDefault="006F4A72" w:rsidP="006F4A72">
      <w:pPr>
        <w:rPr>
          <w:rFonts w:ascii="Times New Roman" w:hAnsi="Times New Roman" w:cs="Times New Roman"/>
        </w:rPr>
      </w:pPr>
    </w:p>
    <w:p w14:paraId="446BDD9A" w14:textId="77777777" w:rsidR="006F4A72" w:rsidRPr="006F4A72" w:rsidRDefault="006F4A72" w:rsidP="006F4A72">
      <w:pPr>
        <w:rPr>
          <w:rFonts w:ascii="Times New Roman" w:hAnsi="Times New Roman" w:cs="Times New Roman"/>
        </w:rPr>
      </w:pPr>
      <w:r w:rsidRPr="006F4A72">
        <w:rPr>
          <w:rFonts w:ascii="Times New Roman" w:hAnsi="Times New Roman" w:cs="Times New Roman"/>
        </w:rPr>
        <w:lastRenderedPageBreak/>
        <w:t>Finally, customer segmentation and demand forecasting play a foundational role. By analysing booking patterns, lead times, and customer behaviour, hotels can tailor availability rules, marketing offers, and service bundles to specific segments. This improves demand capture efficiency and enhances overall revenue performance without reliance on price changes (Cross, Higbie, &amp; Cross, 2009).</w:t>
      </w:r>
    </w:p>
    <w:p w14:paraId="79213D73" w14:textId="77777777" w:rsidR="006F4A72" w:rsidRPr="006F4A72" w:rsidRDefault="006F4A72" w:rsidP="006F4A72">
      <w:pPr>
        <w:rPr>
          <w:rFonts w:ascii="Times New Roman" w:hAnsi="Times New Roman" w:cs="Times New Roman"/>
        </w:rPr>
      </w:pPr>
    </w:p>
    <w:p w14:paraId="0B3F632F" w14:textId="77777777" w:rsidR="006F4A72" w:rsidRPr="006F4A72" w:rsidRDefault="006F4A72" w:rsidP="006F4A72">
      <w:pPr>
        <w:rPr>
          <w:rFonts w:ascii="Times New Roman" w:hAnsi="Times New Roman" w:cs="Times New Roman"/>
        </w:rPr>
      </w:pPr>
      <w:r w:rsidRPr="006F4A72">
        <w:rPr>
          <w:rFonts w:ascii="Times New Roman" w:hAnsi="Times New Roman" w:cs="Times New Roman"/>
        </w:rPr>
        <w:t>In summary, non-pricing revenue management tools allow hotels to enhance revenue by improving capacity utilisation, demand timing, customer mix, and ancillary spending. These strategies are particularly valuable when price increases are constrained by competition, brand positioning, or customer sensitivity, making them essential components of modern hotel revenue management.</w:t>
      </w:r>
    </w:p>
    <w:p w14:paraId="19CCC609" w14:textId="77777777" w:rsidR="006F4A72" w:rsidRPr="006F4A72" w:rsidRDefault="006F4A72" w:rsidP="006F4A72">
      <w:pPr>
        <w:rPr>
          <w:rFonts w:ascii="Times New Roman" w:hAnsi="Times New Roman" w:cs="Times New Roman"/>
        </w:rPr>
      </w:pPr>
    </w:p>
    <w:p w14:paraId="5FD61771" w14:textId="6AEE5A11" w:rsidR="006F4A72" w:rsidRPr="006F4A72" w:rsidRDefault="006F4A72" w:rsidP="006F4A72">
      <w:pPr>
        <w:rPr>
          <w:rFonts w:ascii="Times New Roman" w:hAnsi="Times New Roman" w:cs="Times New Roman"/>
        </w:rPr>
      </w:pPr>
      <w:r w:rsidRPr="006F4A72">
        <w:rPr>
          <w:rFonts w:ascii="Times New Roman" w:hAnsi="Times New Roman" w:cs="Times New Roman"/>
        </w:rPr>
        <w:t xml:space="preserve">References </w:t>
      </w:r>
    </w:p>
    <w:p w14:paraId="334E3187" w14:textId="77777777" w:rsidR="006F4A72" w:rsidRPr="006F4A72" w:rsidRDefault="006F4A72" w:rsidP="006F4A72">
      <w:pPr>
        <w:rPr>
          <w:rFonts w:ascii="Times New Roman" w:hAnsi="Times New Roman" w:cs="Times New Roman"/>
        </w:rPr>
      </w:pPr>
    </w:p>
    <w:p w14:paraId="6FD956FD" w14:textId="55021EE8" w:rsidR="006F4A72" w:rsidRPr="006F4A72" w:rsidRDefault="006F4A72" w:rsidP="006F4A72">
      <w:pPr>
        <w:rPr>
          <w:rFonts w:ascii="Times New Roman" w:hAnsi="Times New Roman" w:cs="Times New Roman"/>
          <w:b/>
          <w:bCs/>
        </w:rPr>
      </w:pPr>
      <w:r w:rsidRPr="006F4A72">
        <w:rPr>
          <w:rFonts w:ascii="Times New Roman" w:hAnsi="Times New Roman" w:cs="Times New Roman"/>
          <w:b/>
          <w:bCs/>
        </w:rPr>
        <w:t>Cross, R. G., Higbie, J. A., &amp; Cross, Z. N. (2009). Revenue management’s renaissance: A rebirth of the art and science of profitable revenue generation. Cornell Hospitality Quarterly, 50(1), 56–81. https://doi.org/10.1177/1938965508328716</w:t>
      </w:r>
    </w:p>
    <w:p w14:paraId="78697524" w14:textId="4D68974D" w:rsidR="006F4A72" w:rsidRPr="006F4A72" w:rsidRDefault="006F4A72" w:rsidP="006F4A72">
      <w:pPr>
        <w:rPr>
          <w:rFonts w:ascii="Times New Roman" w:hAnsi="Times New Roman" w:cs="Times New Roman"/>
          <w:b/>
          <w:bCs/>
        </w:rPr>
      </w:pPr>
      <w:r w:rsidRPr="006F4A72">
        <w:rPr>
          <w:rFonts w:ascii="Times New Roman" w:hAnsi="Times New Roman" w:cs="Times New Roman"/>
          <w:b/>
          <w:bCs/>
        </w:rPr>
        <w:t>Ivanov, S. (2007). Optimal overbooking policies for accommodation establishments. Tourism Economics, 13(1), 67–88. https://doi.org/10.5367/000000007779784498</w:t>
      </w:r>
    </w:p>
    <w:p w14:paraId="5E621959" w14:textId="408149D4" w:rsidR="006F4A72" w:rsidRPr="006F4A72" w:rsidRDefault="006F4A72" w:rsidP="006F4A72">
      <w:pPr>
        <w:rPr>
          <w:rFonts w:ascii="Times New Roman" w:hAnsi="Times New Roman" w:cs="Times New Roman"/>
          <w:b/>
          <w:bCs/>
        </w:rPr>
      </w:pPr>
      <w:r w:rsidRPr="006F4A72">
        <w:rPr>
          <w:rFonts w:ascii="Times New Roman" w:hAnsi="Times New Roman" w:cs="Times New Roman"/>
          <w:b/>
          <w:bCs/>
        </w:rPr>
        <w:t>Kimes, S. E. (2011). The future of hotel revenue management. Journal of Revenue and Pricing Management, 10(1), 62–72. https://doi.org/10.1057/rpm.2010.47</w:t>
      </w:r>
    </w:p>
    <w:p w14:paraId="079B8A52" w14:textId="3AFA1039" w:rsidR="006F4A72" w:rsidRPr="006F4A72" w:rsidRDefault="006F4A72" w:rsidP="006F4A72">
      <w:pPr>
        <w:rPr>
          <w:rFonts w:ascii="Times New Roman" w:hAnsi="Times New Roman" w:cs="Times New Roman"/>
          <w:b/>
          <w:bCs/>
        </w:rPr>
      </w:pPr>
      <w:r w:rsidRPr="006F4A72">
        <w:rPr>
          <w:rFonts w:ascii="Times New Roman" w:hAnsi="Times New Roman" w:cs="Times New Roman"/>
          <w:b/>
          <w:bCs/>
        </w:rPr>
        <w:t>Noone, B. M., &amp; McGuire, K. A. (2013). Pricing in hotel revenue management: A behavioural perspective. International Journal of Hospitality Management, 34, 387–397. https://doi.org/10.1016/j.ijhm.2012.11.008</w:t>
      </w:r>
    </w:p>
    <w:p w14:paraId="27C432B3" w14:textId="75161346" w:rsidR="006F4A72" w:rsidRPr="006F4A72" w:rsidRDefault="006F4A72" w:rsidP="006F4A72">
      <w:pPr>
        <w:rPr>
          <w:rFonts w:ascii="Times New Roman" w:hAnsi="Times New Roman" w:cs="Times New Roman"/>
          <w:b/>
          <w:bCs/>
        </w:rPr>
      </w:pPr>
      <w:r w:rsidRPr="006F4A72">
        <w:rPr>
          <w:rFonts w:ascii="Times New Roman" w:hAnsi="Times New Roman" w:cs="Times New Roman"/>
          <w:b/>
          <w:bCs/>
        </w:rPr>
        <w:t>Talluri, K. T., &amp; Van Ryzin, G. J. (2004). The theory and practice of revenue management. Manufacturing &amp; Service Operations Management, 6(3), 262–264. https://doi.org/10.1287/msom.1040.0056</w:t>
      </w:r>
    </w:p>
    <w:sectPr w:rsidR="006F4A72" w:rsidRPr="006F4A7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D79"/>
    <w:rsid w:val="000D4D79"/>
    <w:rsid w:val="006F4A72"/>
    <w:rsid w:val="00CB2166"/>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6121D"/>
  <w15:chartTrackingRefBased/>
  <w15:docId w15:val="{D95AA28E-B9BF-4DB8-9004-BF286321C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4D79"/>
  </w:style>
  <w:style w:type="paragraph" w:styleId="Heading1">
    <w:name w:val="heading 1"/>
    <w:basedOn w:val="Normal"/>
    <w:next w:val="Normal"/>
    <w:link w:val="Heading1Char"/>
    <w:uiPriority w:val="9"/>
    <w:qFormat/>
    <w:rsid w:val="000D4D79"/>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0D4D79"/>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4D79"/>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4D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4D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4D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4D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4D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4D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4D79"/>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0D4D79"/>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4D79"/>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4D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4D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4D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4D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4D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4D79"/>
    <w:rPr>
      <w:rFonts w:eastAsiaTheme="majorEastAsia" w:cstheme="majorBidi"/>
      <w:color w:val="272727" w:themeColor="text1" w:themeTint="D8"/>
    </w:rPr>
  </w:style>
  <w:style w:type="paragraph" w:styleId="Title">
    <w:name w:val="Title"/>
    <w:basedOn w:val="Normal"/>
    <w:next w:val="Normal"/>
    <w:link w:val="TitleChar"/>
    <w:uiPriority w:val="10"/>
    <w:qFormat/>
    <w:rsid w:val="000D4D79"/>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4D79"/>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4D79"/>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4D79"/>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4D79"/>
    <w:pPr>
      <w:spacing w:before="160"/>
      <w:jc w:val="center"/>
    </w:pPr>
    <w:rPr>
      <w:i/>
      <w:iCs/>
      <w:color w:val="404040" w:themeColor="text1" w:themeTint="BF"/>
    </w:rPr>
  </w:style>
  <w:style w:type="character" w:customStyle="1" w:styleId="QuoteChar">
    <w:name w:val="Quote Char"/>
    <w:basedOn w:val="DefaultParagraphFont"/>
    <w:link w:val="Quote"/>
    <w:uiPriority w:val="29"/>
    <w:rsid w:val="000D4D79"/>
    <w:rPr>
      <w:i/>
      <w:iCs/>
      <w:color w:val="404040" w:themeColor="text1" w:themeTint="BF"/>
    </w:rPr>
  </w:style>
  <w:style w:type="paragraph" w:styleId="ListParagraph">
    <w:name w:val="List Paragraph"/>
    <w:basedOn w:val="Normal"/>
    <w:uiPriority w:val="34"/>
    <w:qFormat/>
    <w:rsid w:val="000D4D79"/>
    <w:pPr>
      <w:ind w:left="720"/>
      <w:contextualSpacing/>
    </w:pPr>
  </w:style>
  <w:style w:type="character" w:styleId="IntenseEmphasis">
    <w:name w:val="Intense Emphasis"/>
    <w:basedOn w:val="DefaultParagraphFont"/>
    <w:uiPriority w:val="21"/>
    <w:qFormat/>
    <w:rsid w:val="000D4D79"/>
    <w:rPr>
      <w:i/>
      <w:iCs/>
      <w:color w:val="0F4761" w:themeColor="accent1" w:themeShade="BF"/>
    </w:rPr>
  </w:style>
  <w:style w:type="paragraph" w:styleId="IntenseQuote">
    <w:name w:val="Intense Quote"/>
    <w:basedOn w:val="Normal"/>
    <w:next w:val="Normal"/>
    <w:link w:val="IntenseQuoteChar"/>
    <w:uiPriority w:val="30"/>
    <w:qFormat/>
    <w:rsid w:val="000D4D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4D79"/>
    <w:rPr>
      <w:i/>
      <w:iCs/>
      <w:color w:val="0F4761" w:themeColor="accent1" w:themeShade="BF"/>
    </w:rPr>
  </w:style>
  <w:style w:type="character" w:styleId="IntenseReference">
    <w:name w:val="Intense Reference"/>
    <w:basedOn w:val="DefaultParagraphFont"/>
    <w:uiPriority w:val="32"/>
    <w:qFormat/>
    <w:rsid w:val="000D4D79"/>
    <w:rPr>
      <w:b/>
      <w:bCs/>
      <w:smallCaps/>
      <w:color w:val="0F4761" w:themeColor="accent1" w:themeShade="BF"/>
      <w:spacing w:val="5"/>
    </w:rPr>
  </w:style>
  <w:style w:type="character" w:styleId="Hyperlink">
    <w:name w:val="Hyperlink"/>
    <w:basedOn w:val="DefaultParagraphFont"/>
    <w:uiPriority w:val="99"/>
    <w:unhideWhenUsed/>
    <w:rsid w:val="006F4A72"/>
    <w:rPr>
      <w:color w:val="467886" w:themeColor="hyperlink"/>
      <w:u w:val="single"/>
    </w:rPr>
  </w:style>
  <w:style w:type="character" w:styleId="UnresolvedMention">
    <w:name w:val="Unresolved Mention"/>
    <w:basedOn w:val="DefaultParagraphFont"/>
    <w:uiPriority w:val="99"/>
    <w:semiHidden/>
    <w:unhideWhenUsed/>
    <w:rsid w:val="006F4A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595</Words>
  <Characters>3393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Vanshika (24134918)</dc:creator>
  <cp:keywords/>
  <dc:description/>
  <cp:lastModifiedBy>Vanshika (24134918)</cp:lastModifiedBy>
  <cp:revision>1</cp:revision>
  <dcterms:created xsi:type="dcterms:W3CDTF">2026-02-08T10:19:00Z</dcterms:created>
  <dcterms:modified xsi:type="dcterms:W3CDTF">2026-02-08T10:21:00Z</dcterms:modified>
</cp:coreProperties>
</file>