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Pr>
        <w:jc w:val="center"/>
      </w:pPr>
      <w:r>
        <w:rPr>
          <w:rFonts w:ascii="Times New Roman" w:hAnsi="Times New Roman"/>
          <w:b/>
          <w:color w:val="1F4E79"/>
          <w:sz w:val="42"/>
        </w:rPr>
        <w:t>Repositioning Albania for High-Value, Year-Round Tourism</w:t>
      </w:r>
    </w:p>
    <w:p>
      <w:pPr>
        <w:jc w:val="center"/>
      </w:pPr>
      <w:r>
        <w:rPr>
          <w:rFonts w:ascii="Times New Roman" w:hAnsi="Times New Roman"/>
          <w:i/>
          <w:color w:val="505050"/>
          <w:sz w:val="28"/>
        </w:rPr>
        <w:t>Destination Rebranding and Market Segmentation Strategy</w:t>
      </w:r>
    </w:p>
    <w:p/>
    <w:tbl>
      <w:tblPr>
        <w:tblW w:type="auto" w:w="0"/>
        <w:jc w:val="center"/>
        <w:tblLayout w:type="fixed"/>
        <w:tblLook w:firstColumn="1" w:firstRow="1" w:lastColumn="0" w:lastRow="0" w:noHBand="0" w:noVBand="1" w:val="04A0"/>
      </w:tblPr>
      <w:tblGrid>
        <w:gridCol w:w="2304"/>
        <w:gridCol w:w="7056"/>
      </w:tblGrid>
      <w:tr>
        <w:tc>
          <w:tcPr>
            <w:tcW w:type="dxa" w:w="4896"/>
            <w:shd w:fill="EAF0F6"/>
            <w:tcMar>
              <w:top w:w="80" w:type="dxa"/>
              <w:start w:w="100" w:type="dxa"/>
              <w:bottom w:w="80" w:type="dxa"/>
              <w:end w:w="100" w:type="dxa"/>
            </w:tcMar>
            <w:vAlign w:val="center"/>
          </w:tcPr>
          <w:p>
            <w:pPr>
              <w:spacing w:line="240" w:lineRule="auto" w:after="0"/>
              <w:ind w:firstLine="0"/>
            </w:pPr>
            <w:r>
              <w:rPr>
                <w:rFonts w:ascii="Times New Roman" w:hAnsi="Times New Roman"/>
                <w:b/>
                <w:sz w:val="24"/>
              </w:rPr>
              <w:t>Module</w:t>
            </w:r>
          </w:p>
        </w:tc>
        <w:tc>
          <w:tcPr>
            <w:tcW w:type="dxa" w:w="4896"/>
            <w:tcMar>
              <w:top w:w="80" w:type="dxa"/>
              <w:start w:w="100" w:type="dxa"/>
              <w:bottom w:w="80" w:type="dxa"/>
              <w:end w:w="100" w:type="dxa"/>
            </w:tcMar>
            <w:vAlign w:val="center"/>
          </w:tcPr>
          <w:p>
            <w:pPr>
              <w:spacing w:line="240" w:lineRule="auto" w:after="0"/>
              <w:ind w:firstLine="0"/>
            </w:pPr>
            <w:r>
              <w:rPr>
                <w:rFonts w:ascii="Times New Roman" w:hAnsi="Times New Roman"/>
                <w:b w:val="0"/>
                <w:sz w:val="24"/>
              </w:rPr>
              <w:t>Marketing Fundamentals</w:t>
            </w:r>
          </w:p>
        </w:tc>
      </w:tr>
      <w:tr>
        <w:tc>
          <w:tcPr>
            <w:tcW w:type="dxa" w:w="4896"/>
            <w:shd w:fill="EAF0F6"/>
            <w:tcMar>
              <w:top w:w="80" w:type="dxa"/>
              <w:start w:w="100" w:type="dxa"/>
              <w:bottom w:w="80" w:type="dxa"/>
              <w:end w:w="100" w:type="dxa"/>
            </w:tcMar>
            <w:vAlign w:val="center"/>
          </w:tcPr>
          <w:p>
            <w:pPr>
              <w:spacing w:line="240" w:lineRule="auto" w:after="0"/>
              <w:ind w:firstLine="0"/>
            </w:pPr>
            <w:r>
              <w:rPr>
                <w:rFonts w:ascii="Times New Roman" w:hAnsi="Times New Roman"/>
                <w:b/>
                <w:sz w:val="24"/>
              </w:rPr>
              <w:t>Assessment</w:t>
            </w:r>
          </w:p>
        </w:tc>
        <w:tc>
          <w:tcPr>
            <w:tcW w:type="dxa" w:w="4896"/>
            <w:tcMar>
              <w:top w:w="80" w:type="dxa"/>
              <w:start w:w="100" w:type="dxa"/>
              <w:bottom w:w="80" w:type="dxa"/>
              <w:end w:w="100" w:type="dxa"/>
            </w:tcMar>
            <w:vAlign w:val="center"/>
          </w:tcPr>
          <w:p>
            <w:pPr>
              <w:spacing w:line="240" w:lineRule="auto" w:after="0"/>
              <w:ind w:firstLine="0"/>
            </w:pPr>
            <w:r>
              <w:rPr>
                <w:rFonts w:ascii="Times New Roman" w:hAnsi="Times New Roman"/>
                <w:b w:val="0"/>
                <w:sz w:val="24"/>
              </w:rPr>
              <w:t>Detailed Project Report</w:t>
            </w:r>
          </w:p>
        </w:tc>
      </w:tr>
      <w:tr>
        <w:tc>
          <w:tcPr>
            <w:tcW w:type="dxa" w:w="4896"/>
            <w:shd w:fill="EAF0F6"/>
            <w:tcMar>
              <w:top w:w="80" w:type="dxa"/>
              <w:start w:w="100" w:type="dxa"/>
              <w:bottom w:w="80" w:type="dxa"/>
              <w:end w:w="100" w:type="dxa"/>
            </w:tcMar>
            <w:vAlign w:val="center"/>
          </w:tcPr>
          <w:p>
            <w:pPr>
              <w:spacing w:line="240" w:lineRule="auto" w:after="0"/>
              <w:ind w:firstLine="0"/>
            </w:pPr>
            <w:r>
              <w:rPr>
                <w:rFonts w:ascii="Times New Roman" w:hAnsi="Times New Roman"/>
                <w:b/>
                <w:sz w:val="24"/>
              </w:rPr>
              <w:t>Assignment Option</w:t>
            </w:r>
          </w:p>
        </w:tc>
        <w:tc>
          <w:tcPr>
            <w:tcW w:type="dxa" w:w="4896"/>
            <w:tcMar>
              <w:top w:w="80" w:type="dxa"/>
              <w:start w:w="100" w:type="dxa"/>
              <w:bottom w:w="80" w:type="dxa"/>
              <w:end w:w="100" w:type="dxa"/>
            </w:tcMar>
            <w:vAlign w:val="center"/>
          </w:tcPr>
          <w:p>
            <w:pPr>
              <w:spacing w:line="240" w:lineRule="auto" w:after="0"/>
              <w:ind w:firstLine="0"/>
            </w:pPr>
            <w:r>
              <w:rPr>
                <w:rFonts w:ascii="Times New Roman" w:hAnsi="Times New Roman"/>
                <w:b w:val="0"/>
                <w:sz w:val="24"/>
              </w:rPr>
              <w:t>Option 1 - Destination Rebranding and Market Segmentation Strategy</w:t>
            </w:r>
          </w:p>
        </w:tc>
      </w:tr>
      <w:tr>
        <w:tc>
          <w:tcPr>
            <w:tcW w:type="dxa" w:w="4896"/>
            <w:shd w:fill="EAF0F6"/>
            <w:tcMar>
              <w:top w:w="80" w:type="dxa"/>
              <w:start w:w="100" w:type="dxa"/>
              <w:bottom w:w="80" w:type="dxa"/>
              <w:end w:w="100" w:type="dxa"/>
            </w:tcMar>
            <w:vAlign w:val="center"/>
          </w:tcPr>
          <w:p>
            <w:pPr>
              <w:spacing w:line="240" w:lineRule="auto" w:after="0"/>
              <w:ind w:firstLine="0"/>
            </w:pPr>
            <w:r>
              <w:rPr>
                <w:rFonts w:ascii="Times New Roman" w:hAnsi="Times New Roman"/>
                <w:b/>
                <w:sz w:val="24"/>
              </w:rPr>
              <w:t>Case Focus</w:t>
            </w:r>
          </w:p>
        </w:tc>
        <w:tc>
          <w:tcPr>
            <w:tcW w:type="dxa" w:w="4896"/>
            <w:tcMar>
              <w:top w:w="80" w:type="dxa"/>
              <w:start w:w="100" w:type="dxa"/>
              <w:bottom w:w="80" w:type="dxa"/>
              <w:end w:w="100" w:type="dxa"/>
            </w:tcMar>
            <w:vAlign w:val="center"/>
          </w:tcPr>
          <w:p>
            <w:pPr>
              <w:spacing w:line="240" w:lineRule="auto" w:after="0"/>
              <w:ind w:firstLine="0"/>
            </w:pPr>
            <w:r>
              <w:rPr>
                <w:rFonts w:ascii="Times New Roman" w:hAnsi="Times New Roman"/>
                <w:b w:val="0"/>
                <w:sz w:val="24"/>
              </w:rPr>
              <w:t>Albania: nature, culture and responsible Mediterranean travel</w:t>
            </w:r>
          </w:p>
        </w:tc>
      </w:tr>
      <w:tr>
        <w:tc>
          <w:tcPr>
            <w:tcW w:type="dxa" w:w="4896"/>
            <w:shd w:fill="EAF0F6"/>
            <w:tcMar>
              <w:top w:w="80" w:type="dxa"/>
              <w:start w:w="100" w:type="dxa"/>
              <w:bottom w:w="80" w:type="dxa"/>
              <w:end w:w="100" w:type="dxa"/>
            </w:tcMar>
            <w:vAlign w:val="center"/>
          </w:tcPr>
          <w:p>
            <w:pPr>
              <w:spacing w:line="240" w:lineRule="auto" w:after="0"/>
              <w:ind w:firstLine="0"/>
            </w:pPr>
            <w:r>
              <w:rPr>
                <w:rFonts w:ascii="Times New Roman" w:hAnsi="Times New Roman"/>
                <w:b/>
                <w:sz w:val="24"/>
              </w:rPr>
              <w:t>Student Name</w:t>
            </w:r>
          </w:p>
        </w:tc>
        <w:tc>
          <w:tcPr>
            <w:tcW w:type="dxa" w:w="4896"/>
            <w:tcMar>
              <w:top w:w="80" w:type="dxa"/>
              <w:start w:w="100" w:type="dxa"/>
              <w:bottom w:w="80" w:type="dxa"/>
              <w:end w:w="100" w:type="dxa"/>
            </w:tcMar>
            <w:vAlign w:val="center"/>
          </w:tcPr>
          <w:p>
            <w:pPr>
              <w:spacing w:line="240" w:lineRule="auto" w:after="0"/>
              <w:ind w:firstLine="0"/>
            </w:pPr>
            <w:r>
              <w:rPr>
                <w:rFonts w:ascii="Times New Roman" w:hAnsi="Times New Roman"/>
                <w:b w:val="0"/>
                <w:sz w:val="24"/>
              </w:rPr>
              <w:t>____________________________</w:t>
            </w:r>
          </w:p>
        </w:tc>
      </w:tr>
      <w:tr>
        <w:tc>
          <w:tcPr>
            <w:tcW w:type="dxa" w:w="4896"/>
            <w:shd w:fill="EAF0F6"/>
            <w:tcMar>
              <w:top w:w="80" w:type="dxa"/>
              <w:start w:w="100" w:type="dxa"/>
              <w:bottom w:w="80" w:type="dxa"/>
              <w:end w:w="100" w:type="dxa"/>
            </w:tcMar>
            <w:vAlign w:val="center"/>
          </w:tcPr>
          <w:p>
            <w:pPr>
              <w:spacing w:line="240" w:lineRule="auto" w:after="0"/>
              <w:ind w:firstLine="0"/>
            </w:pPr>
            <w:r>
              <w:rPr>
                <w:rFonts w:ascii="Times New Roman" w:hAnsi="Times New Roman"/>
                <w:b/>
                <w:sz w:val="24"/>
              </w:rPr>
              <w:t>Student ID</w:t>
            </w:r>
          </w:p>
        </w:tc>
        <w:tc>
          <w:tcPr>
            <w:tcW w:type="dxa" w:w="4896"/>
            <w:tcMar>
              <w:top w:w="80" w:type="dxa"/>
              <w:start w:w="100" w:type="dxa"/>
              <w:bottom w:w="80" w:type="dxa"/>
              <w:end w:w="100" w:type="dxa"/>
            </w:tcMar>
            <w:vAlign w:val="center"/>
          </w:tcPr>
          <w:p>
            <w:pPr>
              <w:spacing w:line="240" w:lineRule="auto" w:after="0"/>
              <w:ind w:firstLine="0"/>
            </w:pPr>
            <w:r>
              <w:rPr>
                <w:rFonts w:ascii="Times New Roman" w:hAnsi="Times New Roman"/>
                <w:b w:val="0"/>
                <w:sz w:val="24"/>
              </w:rPr>
              <w:t>____________________________</w:t>
            </w:r>
          </w:p>
        </w:tc>
      </w:tr>
      <w:tr>
        <w:tc>
          <w:tcPr>
            <w:tcW w:type="dxa" w:w="4896"/>
            <w:shd w:fill="EAF0F6"/>
            <w:tcMar>
              <w:top w:w="80" w:type="dxa"/>
              <w:start w:w="100" w:type="dxa"/>
              <w:bottom w:w="80" w:type="dxa"/>
              <w:end w:w="100" w:type="dxa"/>
            </w:tcMar>
            <w:vAlign w:val="center"/>
          </w:tcPr>
          <w:p>
            <w:pPr>
              <w:spacing w:line="240" w:lineRule="auto" w:after="0"/>
              <w:ind w:firstLine="0"/>
            </w:pPr>
            <w:r>
              <w:rPr>
                <w:rFonts w:ascii="Times New Roman" w:hAnsi="Times New Roman"/>
                <w:b/>
                <w:sz w:val="24"/>
              </w:rPr>
              <w:t>Submission Date</w:t>
            </w:r>
          </w:p>
        </w:tc>
        <w:tc>
          <w:tcPr>
            <w:tcW w:type="dxa" w:w="4896"/>
            <w:tcMar>
              <w:top w:w="80" w:type="dxa"/>
              <w:start w:w="100" w:type="dxa"/>
              <w:bottom w:w="80" w:type="dxa"/>
              <w:end w:w="100" w:type="dxa"/>
            </w:tcMar>
            <w:vAlign w:val="center"/>
          </w:tcPr>
          <w:p>
            <w:pPr>
              <w:spacing w:line="240" w:lineRule="auto" w:after="0"/>
              <w:ind w:firstLine="0"/>
            </w:pPr>
            <w:r>
              <w:rPr>
                <w:rFonts w:ascii="Times New Roman" w:hAnsi="Times New Roman"/>
                <w:b w:val="0"/>
                <w:sz w:val="24"/>
              </w:rPr>
              <w:t>____________________________</w:t>
            </w:r>
          </w:p>
        </w:tc>
      </w:tr>
    </w:tbl>
    <w:p/>
    <w:p>
      <w:r>
        <w:br w:type="page"/>
      </w:r>
    </w:p>
    <w:p>
      <w:pPr>
        <w:pStyle w:val="Heading1"/>
        <w:spacing w:before="0" w:after="200" w:line="240" w:lineRule="auto"/>
        <w:ind w:firstLine="0"/>
        <w:jc w:val="center"/>
      </w:pPr>
      <w:r>
        <w:rPr>
          <w:rFonts w:ascii="Times New Roman" w:hAnsi="Times New Roman"/>
          <w:b/>
          <w:sz w:val="28"/>
        </w:rPr>
        <w:t>Table of Contents</w:t>
      </w:r>
    </w:p>
    <w:p>
      <w:pPr>
        <w:keepLines/>
        <w:tabs>
          <w:tab w:pos="9734" w:val="right" w:leader="dot"/>
        </w:tabs>
        <w:spacing w:line="240" w:lineRule="auto" w:before="0" w:after="40"/>
        <w:ind w:left="0" w:firstLine="0"/>
      </w:pPr>
      <w:r>
        <w:rPr>
          <w:rFonts w:ascii="Times New Roman" w:hAnsi="Times New Roman"/>
          <w:b/>
          <w:sz w:val="22"/>
        </w:rPr>
        <w:t>Executive Summary</w:t>
      </w:r>
      <w:r>
        <w:rPr>
          <w:rFonts w:ascii="Times New Roman" w:hAnsi="Times New Roman"/>
          <w:b/>
          <w:sz w:val="22"/>
        </w:rPr>
        <w:tab/>
      </w:r>
      <w:r>
        <w:rPr>
          <w:rFonts w:ascii="Times New Roman" w:hAnsi="Times New Roman"/>
          <w:b/>
          <w:sz w:val="22"/>
        </w:rPr>
        <w:t>3</w:t>
      </w:r>
    </w:p>
    <w:p>
      <w:pPr>
        <w:keepLines/>
        <w:tabs>
          <w:tab w:pos="9734" w:val="right" w:leader="dot"/>
        </w:tabs>
        <w:spacing w:line="240" w:lineRule="auto" w:before="0" w:after="40"/>
        <w:ind w:left="0" w:firstLine="0"/>
      </w:pPr>
      <w:r>
        <w:rPr>
          <w:rFonts w:ascii="Times New Roman" w:hAnsi="Times New Roman"/>
          <w:b/>
          <w:sz w:val="22"/>
        </w:rPr>
        <w:t>Introduction</w:t>
      </w:r>
      <w:r>
        <w:rPr>
          <w:rFonts w:ascii="Times New Roman" w:hAnsi="Times New Roman"/>
          <w:b/>
          <w:sz w:val="22"/>
        </w:rPr>
        <w:tab/>
      </w:r>
      <w:r>
        <w:rPr>
          <w:rFonts w:ascii="Times New Roman" w:hAnsi="Times New Roman"/>
          <w:b/>
          <w:sz w:val="22"/>
        </w:rPr>
        <w:t>4</w:t>
      </w:r>
    </w:p>
    <w:p>
      <w:pPr>
        <w:keepLines/>
        <w:tabs>
          <w:tab w:pos="9734" w:val="right" w:leader="dot"/>
        </w:tabs>
        <w:spacing w:line="240" w:lineRule="auto" w:before="0" w:after="0"/>
        <w:ind w:left="403" w:firstLine="0"/>
      </w:pPr>
      <w:r>
        <w:rPr>
          <w:rFonts w:ascii="Times New Roman" w:hAnsi="Times New Roman"/>
          <w:b w:val="0"/>
          <w:sz w:val="22"/>
        </w:rPr>
        <w:t>Strategic Objective and Scope</w:t>
      </w:r>
      <w:r>
        <w:rPr>
          <w:rFonts w:ascii="Times New Roman" w:hAnsi="Times New Roman"/>
          <w:b w:val="0"/>
          <w:sz w:val="22"/>
        </w:rPr>
        <w:tab/>
      </w:r>
      <w:r>
        <w:rPr>
          <w:rFonts w:ascii="Times New Roman" w:hAnsi="Times New Roman"/>
          <w:b w:val="0"/>
          <w:sz w:val="22"/>
        </w:rPr>
        <w:t>4</w:t>
      </w:r>
    </w:p>
    <w:p>
      <w:pPr>
        <w:keepLines/>
        <w:tabs>
          <w:tab w:pos="9734" w:val="right" w:leader="dot"/>
        </w:tabs>
        <w:spacing w:line="240" w:lineRule="auto" w:before="0" w:after="40"/>
        <w:ind w:left="0" w:firstLine="0"/>
      </w:pPr>
      <w:r>
        <w:rPr>
          <w:rFonts w:ascii="Times New Roman" w:hAnsi="Times New Roman"/>
          <w:b/>
          <w:sz w:val="22"/>
        </w:rPr>
        <w:t>Market &amp; Consumer Behaviour Analysis</w:t>
      </w:r>
      <w:r>
        <w:rPr>
          <w:rFonts w:ascii="Times New Roman" w:hAnsi="Times New Roman"/>
          <w:b/>
          <w:sz w:val="22"/>
        </w:rPr>
        <w:tab/>
      </w:r>
      <w:r>
        <w:rPr>
          <w:rFonts w:ascii="Times New Roman" w:hAnsi="Times New Roman"/>
          <w:b/>
          <w:sz w:val="22"/>
        </w:rPr>
        <w:t>5</w:t>
      </w:r>
    </w:p>
    <w:p>
      <w:pPr>
        <w:keepLines/>
        <w:tabs>
          <w:tab w:pos="9734" w:val="right" w:leader="dot"/>
        </w:tabs>
        <w:spacing w:line="240" w:lineRule="auto" w:before="0" w:after="0"/>
        <w:ind w:left="403" w:firstLine="0"/>
      </w:pPr>
      <w:r>
        <w:rPr>
          <w:rFonts w:ascii="Times New Roman" w:hAnsi="Times New Roman"/>
          <w:b w:val="0"/>
          <w:sz w:val="22"/>
        </w:rPr>
        <w:t>PESTEL Analysis</w:t>
      </w:r>
      <w:r>
        <w:rPr>
          <w:rFonts w:ascii="Times New Roman" w:hAnsi="Times New Roman"/>
          <w:b w:val="0"/>
          <w:sz w:val="22"/>
        </w:rPr>
        <w:tab/>
      </w:r>
      <w:r>
        <w:rPr>
          <w:rFonts w:ascii="Times New Roman" w:hAnsi="Times New Roman"/>
          <w:b w:val="0"/>
          <w:sz w:val="22"/>
        </w:rPr>
        <w:t>5</w:t>
      </w:r>
    </w:p>
    <w:p>
      <w:pPr>
        <w:keepLines/>
        <w:tabs>
          <w:tab w:pos="9734" w:val="right" w:leader="dot"/>
        </w:tabs>
        <w:spacing w:line="240" w:lineRule="auto" w:before="0" w:after="0"/>
        <w:ind w:left="403" w:firstLine="0"/>
      </w:pPr>
      <w:r>
        <w:rPr>
          <w:rFonts w:ascii="Times New Roman" w:hAnsi="Times New Roman"/>
          <w:b w:val="0"/>
          <w:sz w:val="22"/>
        </w:rPr>
        <w:t>Consumer Trends and Decision Psychology</w:t>
      </w:r>
      <w:r>
        <w:rPr>
          <w:rFonts w:ascii="Times New Roman" w:hAnsi="Times New Roman"/>
          <w:b w:val="0"/>
          <w:sz w:val="22"/>
        </w:rPr>
        <w:tab/>
      </w:r>
      <w:r>
        <w:rPr>
          <w:rFonts w:ascii="Times New Roman" w:hAnsi="Times New Roman"/>
          <w:b w:val="0"/>
          <w:sz w:val="22"/>
        </w:rPr>
        <w:t>7</w:t>
      </w:r>
    </w:p>
    <w:p>
      <w:pPr>
        <w:keepLines/>
        <w:tabs>
          <w:tab w:pos="9734" w:val="right" w:leader="dot"/>
        </w:tabs>
        <w:spacing w:line="240" w:lineRule="auto" w:before="0" w:after="40"/>
        <w:ind w:left="0" w:firstLine="0"/>
      </w:pPr>
      <w:r>
        <w:rPr>
          <w:rFonts w:ascii="Times New Roman" w:hAnsi="Times New Roman"/>
          <w:b/>
          <w:sz w:val="22"/>
        </w:rPr>
        <w:t>Segmentation, Targeting, and Positioning (STP)</w:t>
      </w:r>
      <w:r>
        <w:rPr>
          <w:rFonts w:ascii="Times New Roman" w:hAnsi="Times New Roman"/>
          <w:b/>
          <w:sz w:val="22"/>
        </w:rPr>
        <w:tab/>
      </w:r>
      <w:r>
        <w:rPr>
          <w:rFonts w:ascii="Times New Roman" w:hAnsi="Times New Roman"/>
          <w:b/>
          <w:sz w:val="22"/>
        </w:rPr>
        <w:t>8</w:t>
      </w:r>
    </w:p>
    <w:p>
      <w:pPr>
        <w:keepLines/>
        <w:tabs>
          <w:tab w:pos="9734" w:val="right" w:leader="dot"/>
        </w:tabs>
        <w:spacing w:line="240" w:lineRule="auto" w:before="0" w:after="0"/>
        <w:ind w:left="403" w:firstLine="0"/>
      </w:pPr>
      <w:r>
        <w:rPr>
          <w:rFonts w:ascii="Times New Roman" w:hAnsi="Times New Roman"/>
          <w:b w:val="0"/>
          <w:sz w:val="22"/>
        </w:rPr>
        <w:t>Demographic Segmentation versus Modern Segmentation</w:t>
      </w:r>
      <w:r>
        <w:rPr>
          <w:rFonts w:ascii="Times New Roman" w:hAnsi="Times New Roman"/>
          <w:b w:val="0"/>
          <w:sz w:val="22"/>
        </w:rPr>
        <w:tab/>
      </w:r>
      <w:r>
        <w:rPr>
          <w:rFonts w:ascii="Times New Roman" w:hAnsi="Times New Roman"/>
          <w:b w:val="0"/>
          <w:sz w:val="22"/>
        </w:rPr>
        <w:t>8</w:t>
      </w:r>
    </w:p>
    <w:p>
      <w:pPr>
        <w:keepLines/>
        <w:tabs>
          <w:tab w:pos="9734" w:val="right" w:leader="dot"/>
        </w:tabs>
        <w:spacing w:line="240" w:lineRule="auto" w:before="0" w:after="0"/>
        <w:ind w:left="403" w:firstLine="0"/>
      </w:pPr>
      <w:r>
        <w:rPr>
          <w:rFonts w:ascii="Times New Roman" w:hAnsi="Times New Roman"/>
          <w:b w:val="0"/>
          <w:sz w:val="22"/>
        </w:rPr>
        <w:t>Priority Target Segments</w:t>
      </w:r>
      <w:r>
        <w:rPr>
          <w:rFonts w:ascii="Times New Roman" w:hAnsi="Times New Roman"/>
          <w:b w:val="0"/>
          <w:sz w:val="22"/>
        </w:rPr>
        <w:tab/>
      </w:r>
      <w:r>
        <w:rPr>
          <w:rFonts w:ascii="Times New Roman" w:hAnsi="Times New Roman"/>
          <w:b w:val="0"/>
          <w:sz w:val="22"/>
        </w:rPr>
        <w:t>9</w:t>
      </w:r>
    </w:p>
    <w:p>
      <w:pPr>
        <w:keepLines/>
        <w:tabs>
          <w:tab w:pos="9734" w:val="right" w:leader="dot"/>
        </w:tabs>
        <w:spacing w:line="240" w:lineRule="auto" w:before="0" w:after="0"/>
        <w:ind w:left="403" w:firstLine="0"/>
      </w:pPr>
      <w:r>
        <w:rPr>
          <w:rFonts w:ascii="Times New Roman" w:hAnsi="Times New Roman"/>
          <w:b w:val="0"/>
          <w:sz w:val="22"/>
        </w:rPr>
        <w:t>Strategic Positioning and Brand Promise</w:t>
      </w:r>
      <w:r>
        <w:rPr>
          <w:rFonts w:ascii="Times New Roman" w:hAnsi="Times New Roman"/>
          <w:b w:val="0"/>
          <w:sz w:val="22"/>
        </w:rPr>
        <w:tab/>
      </w:r>
      <w:r>
        <w:rPr>
          <w:rFonts w:ascii="Times New Roman" w:hAnsi="Times New Roman"/>
          <w:b w:val="0"/>
          <w:sz w:val="22"/>
        </w:rPr>
        <w:t>10</w:t>
      </w:r>
    </w:p>
    <w:p>
      <w:pPr>
        <w:keepLines/>
        <w:tabs>
          <w:tab w:pos="9734" w:val="right" w:leader="dot"/>
        </w:tabs>
        <w:spacing w:line="240" w:lineRule="auto" w:before="0" w:after="0"/>
        <w:ind w:left="403" w:firstLine="0"/>
      </w:pPr>
      <w:r>
        <w:rPr>
          <w:rFonts w:ascii="Times New Roman" w:hAnsi="Times New Roman"/>
          <w:b w:val="0"/>
          <w:sz w:val="22"/>
        </w:rPr>
        <w:t>Lessons from Rebranding and Overtourism</w:t>
      </w:r>
      <w:r>
        <w:rPr>
          <w:rFonts w:ascii="Times New Roman" w:hAnsi="Times New Roman"/>
          <w:b w:val="0"/>
          <w:sz w:val="22"/>
        </w:rPr>
        <w:tab/>
      </w:r>
      <w:r>
        <w:rPr>
          <w:rFonts w:ascii="Times New Roman" w:hAnsi="Times New Roman"/>
          <w:b w:val="0"/>
          <w:sz w:val="22"/>
        </w:rPr>
        <w:t>11</w:t>
      </w:r>
    </w:p>
    <w:p>
      <w:pPr>
        <w:keepLines/>
        <w:tabs>
          <w:tab w:pos="9734" w:val="right" w:leader="dot"/>
        </w:tabs>
        <w:spacing w:line="240" w:lineRule="auto" w:before="0" w:after="40"/>
        <w:ind w:left="0" w:firstLine="0"/>
      </w:pPr>
      <w:r>
        <w:rPr>
          <w:rFonts w:ascii="Times New Roman" w:hAnsi="Times New Roman"/>
          <w:b/>
          <w:sz w:val="22"/>
        </w:rPr>
        <w:t>Extended Tourism Marketing Mix (7 Ps)</w:t>
      </w:r>
      <w:r>
        <w:rPr>
          <w:rFonts w:ascii="Times New Roman" w:hAnsi="Times New Roman"/>
          <w:b/>
          <w:sz w:val="22"/>
        </w:rPr>
        <w:tab/>
      </w:r>
      <w:r>
        <w:rPr>
          <w:rFonts w:ascii="Times New Roman" w:hAnsi="Times New Roman"/>
          <w:b/>
          <w:sz w:val="22"/>
        </w:rPr>
        <w:t>12</w:t>
      </w:r>
    </w:p>
    <w:p>
      <w:pPr>
        <w:keepLines/>
        <w:tabs>
          <w:tab w:pos="9734" w:val="right" w:leader="dot"/>
        </w:tabs>
        <w:spacing w:line="240" w:lineRule="auto" w:before="0" w:after="0"/>
        <w:ind w:left="403" w:firstLine="0"/>
      </w:pPr>
      <w:r>
        <w:rPr>
          <w:rFonts w:ascii="Times New Roman" w:hAnsi="Times New Roman"/>
          <w:b w:val="0"/>
          <w:sz w:val="22"/>
        </w:rPr>
        <w:t>Product</w:t>
      </w:r>
      <w:r>
        <w:rPr>
          <w:rFonts w:ascii="Times New Roman" w:hAnsi="Times New Roman"/>
          <w:b w:val="0"/>
          <w:sz w:val="22"/>
        </w:rPr>
        <w:tab/>
      </w:r>
      <w:r>
        <w:rPr>
          <w:rFonts w:ascii="Times New Roman" w:hAnsi="Times New Roman"/>
          <w:b w:val="0"/>
          <w:sz w:val="22"/>
        </w:rPr>
        <w:t>12</w:t>
      </w:r>
    </w:p>
    <w:p>
      <w:pPr>
        <w:keepLines/>
        <w:tabs>
          <w:tab w:pos="9734" w:val="right" w:leader="dot"/>
        </w:tabs>
        <w:spacing w:line="240" w:lineRule="auto" w:before="0" w:after="0"/>
        <w:ind w:left="403" w:firstLine="0"/>
      </w:pPr>
      <w:r>
        <w:rPr>
          <w:rFonts w:ascii="Times New Roman" w:hAnsi="Times New Roman"/>
          <w:b w:val="0"/>
          <w:sz w:val="22"/>
        </w:rPr>
        <w:t>Price</w:t>
      </w:r>
      <w:r>
        <w:rPr>
          <w:rFonts w:ascii="Times New Roman" w:hAnsi="Times New Roman"/>
          <w:b w:val="0"/>
          <w:sz w:val="22"/>
        </w:rPr>
        <w:tab/>
      </w:r>
      <w:r>
        <w:rPr>
          <w:rFonts w:ascii="Times New Roman" w:hAnsi="Times New Roman"/>
          <w:b w:val="0"/>
          <w:sz w:val="22"/>
        </w:rPr>
        <w:t>12</w:t>
      </w:r>
    </w:p>
    <w:p>
      <w:pPr>
        <w:keepLines/>
        <w:tabs>
          <w:tab w:pos="9734" w:val="right" w:leader="dot"/>
        </w:tabs>
        <w:spacing w:line="240" w:lineRule="auto" w:before="0" w:after="0"/>
        <w:ind w:left="403" w:firstLine="0"/>
      </w:pPr>
      <w:r>
        <w:rPr>
          <w:rFonts w:ascii="Times New Roman" w:hAnsi="Times New Roman"/>
          <w:b w:val="0"/>
          <w:sz w:val="22"/>
        </w:rPr>
        <w:t>Place</w:t>
      </w:r>
      <w:r>
        <w:rPr>
          <w:rFonts w:ascii="Times New Roman" w:hAnsi="Times New Roman"/>
          <w:b w:val="0"/>
          <w:sz w:val="22"/>
        </w:rPr>
        <w:tab/>
      </w:r>
      <w:r>
        <w:rPr>
          <w:rFonts w:ascii="Times New Roman" w:hAnsi="Times New Roman"/>
          <w:b w:val="0"/>
          <w:sz w:val="22"/>
        </w:rPr>
        <w:t>13</w:t>
      </w:r>
    </w:p>
    <w:p>
      <w:pPr>
        <w:keepLines/>
        <w:tabs>
          <w:tab w:pos="9734" w:val="right" w:leader="dot"/>
        </w:tabs>
        <w:spacing w:line="240" w:lineRule="auto" w:before="0" w:after="0"/>
        <w:ind w:left="403" w:firstLine="0"/>
      </w:pPr>
      <w:r>
        <w:rPr>
          <w:rFonts w:ascii="Times New Roman" w:hAnsi="Times New Roman"/>
          <w:b w:val="0"/>
          <w:sz w:val="22"/>
        </w:rPr>
        <w:t>Promotion</w:t>
      </w:r>
      <w:r>
        <w:rPr>
          <w:rFonts w:ascii="Times New Roman" w:hAnsi="Times New Roman"/>
          <w:b w:val="0"/>
          <w:sz w:val="22"/>
        </w:rPr>
        <w:tab/>
      </w:r>
      <w:r>
        <w:rPr>
          <w:rFonts w:ascii="Times New Roman" w:hAnsi="Times New Roman"/>
          <w:b w:val="0"/>
          <w:sz w:val="22"/>
        </w:rPr>
        <w:t>13</w:t>
      </w:r>
    </w:p>
    <w:p>
      <w:pPr>
        <w:keepLines/>
        <w:tabs>
          <w:tab w:pos="9734" w:val="right" w:leader="dot"/>
        </w:tabs>
        <w:spacing w:line="240" w:lineRule="auto" w:before="0" w:after="0"/>
        <w:ind w:left="403" w:firstLine="0"/>
      </w:pPr>
      <w:r>
        <w:rPr>
          <w:rFonts w:ascii="Times New Roman" w:hAnsi="Times New Roman"/>
          <w:b w:val="0"/>
          <w:sz w:val="22"/>
        </w:rPr>
        <w:t>People</w:t>
      </w:r>
      <w:r>
        <w:rPr>
          <w:rFonts w:ascii="Times New Roman" w:hAnsi="Times New Roman"/>
          <w:b w:val="0"/>
          <w:sz w:val="22"/>
        </w:rPr>
        <w:tab/>
      </w:r>
      <w:r>
        <w:rPr>
          <w:rFonts w:ascii="Times New Roman" w:hAnsi="Times New Roman"/>
          <w:b w:val="0"/>
          <w:sz w:val="22"/>
        </w:rPr>
        <w:t>13</w:t>
      </w:r>
    </w:p>
    <w:p>
      <w:pPr>
        <w:keepLines/>
        <w:tabs>
          <w:tab w:pos="9734" w:val="right" w:leader="dot"/>
        </w:tabs>
        <w:spacing w:line="240" w:lineRule="auto" w:before="0" w:after="0"/>
        <w:ind w:left="403" w:firstLine="0"/>
      </w:pPr>
      <w:r>
        <w:rPr>
          <w:rFonts w:ascii="Times New Roman" w:hAnsi="Times New Roman"/>
          <w:b w:val="0"/>
          <w:sz w:val="22"/>
        </w:rPr>
        <w:t>Process</w:t>
      </w:r>
      <w:r>
        <w:rPr>
          <w:rFonts w:ascii="Times New Roman" w:hAnsi="Times New Roman"/>
          <w:b w:val="0"/>
          <w:sz w:val="22"/>
        </w:rPr>
        <w:tab/>
      </w:r>
      <w:r>
        <w:rPr>
          <w:rFonts w:ascii="Times New Roman" w:hAnsi="Times New Roman"/>
          <w:b w:val="0"/>
          <w:sz w:val="22"/>
        </w:rPr>
        <w:t>14</w:t>
      </w:r>
    </w:p>
    <w:p>
      <w:pPr>
        <w:keepLines/>
        <w:tabs>
          <w:tab w:pos="9734" w:val="right" w:leader="dot"/>
        </w:tabs>
        <w:spacing w:line="240" w:lineRule="auto" w:before="0" w:after="0"/>
        <w:ind w:left="403" w:firstLine="0"/>
      </w:pPr>
      <w:r>
        <w:rPr>
          <w:rFonts w:ascii="Times New Roman" w:hAnsi="Times New Roman"/>
          <w:b w:val="0"/>
          <w:sz w:val="22"/>
        </w:rPr>
        <w:t>Physical Evidence</w:t>
      </w:r>
      <w:r>
        <w:rPr>
          <w:rFonts w:ascii="Times New Roman" w:hAnsi="Times New Roman"/>
          <w:b w:val="0"/>
          <w:sz w:val="22"/>
        </w:rPr>
        <w:tab/>
      </w:r>
      <w:r>
        <w:rPr>
          <w:rFonts w:ascii="Times New Roman" w:hAnsi="Times New Roman"/>
          <w:b w:val="0"/>
          <w:sz w:val="22"/>
        </w:rPr>
        <w:t>14</w:t>
      </w:r>
    </w:p>
    <w:p>
      <w:pPr>
        <w:keepLines/>
        <w:tabs>
          <w:tab w:pos="9734" w:val="right" w:leader="dot"/>
        </w:tabs>
        <w:spacing w:line="240" w:lineRule="auto" w:before="0" w:after="40"/>
        <w:ind w:left="0" w:firstLine="0"/>
      </w:pPr>
      <w:r>
        <w:rPr>
          <w:rFonts w:ascii="Times New Roman" w:hAnsi="Times New Roman"/>
          <w:b/>
          <w:sz w:val="22"/>
        </w:rPr>
        <w:t>Implementation, Budgeting &amp; KPIs</w:t>
      </w:r>
      <w:r>
        <w:rPr>
          <w:rFonts w:ascii="Times New Roman" w:hAnsi="Times New Roman"/>
          <w:b/>
          <w:sz w:val="22"/>
        </w:rPr>
        <w:tab/>
      </w:r>
      <w:r>
        <w:rPr>
          <w:rFonts w:ascii="Times New Roman" w:hAnsi="Times New Roman"/>
          <w:b/>
          <w:sz w:val="22"/>
        </w:rPr>
        <w:t>15</w:t>
      </w:r>
    </w:p>
    <w:p>
      <w:pPr>
        <w:keepLines/>
        <w:tabs>
          <w:tab w:pos="9734" w:val="right" w:leader="dot"/>
        </w:tabs>
        <w:spacing w:line="240" w:lineRule="auto" w:before="0" w:after="0"/>
        <w:ind w:left="403" w:firstLine="0"/>
      </w:pPr>
      <w:r>
        <w:rPr>
          <w:rFonts w:ascii="Times New Roman" w:hAnsi="Times New Roman"/>
          <w:b w:val="0"/>
          <w:sz w:val="22"/>
        </w:rPr>
        <w:t>Twelve-Month Implementation Plan</w:t>
      </w:r>
      <w:r>
        <w:rPr>
          <w:rFonts w:ascii="Times New Roman" w:hAnsi="Times New Roman"/>
          <w:b w:val="0"/>
          <w:sz w:val="22"/>
        </w:rPr>
        <w:tab/>
      </w:r>
      <w:r>
        <w:rPr>
          <w:rFonts w:ascii="Times New Roman" w:hAnsi="Times New Roman"/>
          <w:b w:val="0"/>
          <w:sz w:val="22"/>
        </w:rPr>
        <w:t>15</w:t>
      </w:r>
    </w:p>
    <w:p>
      <w:pPr>
        <w:keepLines/>
        <w:tabs>
          <w:tab w:pos="9734" w:val="right" w:leader="dot"/>
        </w:tabs>
        <w:spacing w:line="240" w:lineRule="auto" w:before="0" w:after="0"/>
        <w:ind w:left="403" w:firstLine="0"/>
      </w:pPr>
      <w:r>
        <w:rPr>
          <w:rFonts w:ascii="Times New Roman" w:hAnsi="Times New Roman"/>
          <w:b w:val="0"/>
          <w:sz w:val="22"/>
        </w:rPr>
        <w:t>KPI Framework</w:t>
      </w:r>
      <w:r>
        <w:rPr>
          <w:rFonts w:ascii="Times New Roman" w:hAnsi="Times New Roman"/>
          <w:b w:val="0"/>
          <w:sz w:val="22"/>
        </w:rPr>
        <w:tab/>
      </w:r>
      <w:r>
        <w:rPr>
          <w:rFonts w:ascii="Times New Roman" w:hAnsi="Times New Roman"/>
          <w:b w:val="0"/>
          <w:sz w:val="22"/>
        </w:rPr>
        <w:t>16</w:t>
      </w:r>
    </w:p>
    <w:p>
      <w:pPr>
        <w:keepLines/>
        <w:tabs>
          <w:tab w:pos="9734" w:val="right" w:leader="dot"/>
        </w:tabs>
        <w:spacing w:line="240" w:lineRule="auto" w:before="0" w:after="40"/>
        <w:ind w:left="0" w:firstLine="0"/>
      </w:pPr>
      <w:r>
        <w:rPr>
          <w:rFonts w:ascii="Times New Roman" w:hAnsi="Times New Roman"/>
          <w:b/>
          <w:sz w:val="22"/>
        </w:rPr>
        <w:t>Conclusion &amp; Recommendations</w:t>
      </w:r>
      <w:r>
        <w:rPr>
          <w:rFonts w:ascii="Times New Roman" w:hAnsi="Times New Roman"/>
          <w:b/>
          <w:sz w:val="22"/>
        </w:rPr>
        <w:tab/>
      </w:r>
      <w:r>
        <w:rPr>
          <w:rFonts w:ascii="Times New Roman" w:hAnsi="Times New Roman"/>
          <w:b/>
          <w:sz w:val="22"/>
        </w:rPr>
        <w:t>17</w:t>
      </w:r>
    </w:p>
    <w:p>
      <w:pPr>
        <w:keepLines/>
        <w:tabs>
          <w:tab w:pos="9734" w:val="right" w:leader="dot"/>
        </w:tabs>
        <w:spacing w:line="240" w:lineRule="auto" w:before="0" w:after="40"/>
        <w:ind w:left="0" w:firstLine="0"/>
      </w:pPr>
      <w:r>
        <w:rPr>
          <w:rFonts w:ascii="Times New Roman" w:hAnsi="Times New Roman"/>
          <w:b/>
          <w:sz w:val="22"/>
        </w:rPr>
        <w:t>References</w:t>
      </w:r>
      <w:r>
        <w:rPr>
          <w:rFonts w:ascii="Times New Roman" w:hAnsi="Times New Roman"/>
          <w:b/>
          <w:sz w:val="22"/>
        </w:rPr>
        <w:tab/>
      </w:r>
      <w:r>
        <w:rPr>
          <w:rFonts w:ascii="Times New Roman" w:hAnsi="Times New Roman"/>
          <w:b/>
          <w:sz w:val="22"/>
        </w:rPr>
        <w:t>18</w:t>
      </w:r>
    </w:p>
    <w:p>
      <w:pPr>
        <w:keepLines/>
        <w:tabs>
          <w:tab w:pos="9734" w:val="right" w:leader="dot"/>
        </w:tabs>
        <w:spacing w:line="240" w:lineRule="auto" w:before="0" w:after="40"/>
        <w:ind w:left="0" w:firstLine="0"/>
      </w:pPr>
      <w:r>
        <w:rPr>
          <w:rFonts w:ascii="Times New Roman" w:hAnsi="Times New Roman"/>
          <w:b/>
          <w:sz w:val="22"/>
        </w:rPr>
        <w:t>Appendices</w:t>
      </w:r>
      <w:r>
        <w:rPr>
          <w:rFonts w:ascii="Times New Roman" w:hAnsi="Times New Roman"/>
          <w:b/>
          <w:sz w:val="22"/>
        </w:rPr>
        <w:tab/>
      </w:r>
      <w:r>
        <w:rPr>
          <w:rFonts w:ascii="Times New Roman" w:hAnsi="Times New Roman"/>
          <w:b/>
          <w:sz w:val="22"/>
        </w:rPr>
        <w:t>20</w:t>
      </w:r>
    </w:p>
    <w:p>
      <w:pPr>
        <w:keepLines/>
        <w:tabs>
          <w:tab w:pos="9734" w:val="right" w:leader="dot"/>
        </w:tabs>
        <w:spacing w:line="240" w:lineRule="auto" w:before="0" w:after="0"/>
        <w:ind w:left="403" w:firstLine="0"/>
      </w:pPr>
      <w:r>
        <w:rPr>
          <w:rFonts w:ascii="Times New Roman" w:hAnsi="Times New Roman"/>
          <w:b w:val="0"/>
          <w:sz w:val="22"/>
        </w:rPr>
        <w:t>Appendix A - Campaign Content Pillars</w:t>
      </w:r>
      <w:r>
        <w:rPr>
          <w:rFonts w:ascii="Times New Roman" w:hAnsi="Times New Roman"/>
          <w:b w:val="0"/>
          <w:sz w:val="22"/>
        </w:rPr>
        <w:tab/>
      </w:r>
      <w:r>
        <w:rPr>
          <w:rFonts w:ascii="Times New Roman" w:hAnsi="Times New Roman"/>
          <w:b w:val="0"/>
          <w:sz w:val="22"/>
        </w:rPr>
        <w:t>20</w:t>
      </w:r>
    </w:p>
    <w:p>
      <w:pPr>
        <w:keepLines/>
        <w:tabs>
          <w:tab w:pos="9734" w:val="right" w:leader="dot"/>
        </w:tabs>
        <w:spacing w:line="240" w:lineRule="auto" w:before="0" w:after="0"/>
        <w:ind w:left="403" w:firstLine="0"/>
      </w:pPr>
      <w:r>
        <w:rPr>
          <w:rFonts w:ascii="Times New Roman" w:hAnsi="Times New Roman"/>
          <w:b w:val="0"/>
          <w:sz w:val="22"/>
        </w:rPr>
        <w:t>Appendix B - Governance Checklist</w:t>
      </w:r>
      <w:r>
        <w:rPr>
          <w:rFonts w:ascii="Times New Roman" w:hAnsi="Times New Roman"/>
          <w:b w:val="0"/>
          <w:sz w:val="22"/>
        </w:rPr>
        <w:tab/>
      </w:r>
      <w:r>
        <w:rPr>
          <w:rFonts w:ascii="Times New Roman" w:hAnsi="Times New Roman"/>
          <w:b w:val="0"/>
          <w:sz w:val="22"/>
        </w:rPr>
        <w:t>20</w:t>
      </w:r>
    </w:p>
    <w:p>
      <w:pPr>
        <w:spacing w:before="0" w:after="0" w:line="240" w:lineRule="auto"/>
      </w:pPr>
      <w:r>
        <w:br w:type="page"/>
      </w:r>
    </w:p>
    <w:p>
      <w:pPr>
        <w:pStyle w:val="Heading1"/>
        <w:ind w:firstLine="0"/>
      </w:pPr>
      <w:r>
        <w:t>Executive Summary</w:t>
      </w:r>
    </w:p>
    <w:p>
      <w:pPr/>
      <w:r>
        <w:rPr>
          <w:rFonts w:ascii="Times New Roman" w:hAnsi="Times New Roman"/>
          <w:sz w:val="24"/>
        </w:rPr>
        <w:t>Albania has moved from relative obscurity to rapid tourism growth, supported by social media visibility, improved air connectivity and a strong value proposition. The strategic challenge is no longer simply to attract more visitors; it is to shape demand so that tourism produces higher value, lower seasonal concentration and stronger benefits for communities outside the most congested coastal areas. Official data show continuing expansion in accommodation demand, while recent research identifies strong opportunities in nature, cultural, rural and digital tourism (INSTAT, 2025; Lusha &amp; Hasani, 2025). This report therefore proposes a rebrand around the promise “Albania: Wild Mediterranean, Living Culture,” positioning the country as a compact, authentic and responsible alternative to crowded Mediterranean destinations.</w:t>
      </w:r>
    </w:p>
    <w:p>
      <w:pPr/>
      <w:r>
        <w:rPr>
          <w:rFonts w:ascii="Times New Roman" w:hAnsi="Times New Roman"/>
          <w:sz w:val="24"/>
        </w:rPr>
        <w:t>The analysis combines PESTEL, consumer behaviour, segmentation, positioning and the extended 7Ps. It recommends prioritising three high-value segments: eco-conscious experience seekers, culture-and-food explorers, and flexible remote workers who can travel outside the summer peak. The strategy deliberately avoids competing only on low price, because excessive price-led growth can intensify crowding and weaken service quality. Instead, the proposed offer uses itineraries linking the Albanian Alps, UNESCO heritage cities, agritourism, the Vjosa Valley and selected coastal experiences. Marketing would rely on credible creator partnerships, searchable itinerary content, regional storytelling and booking partnerships that make lesser-known places easier to purchase. The first-year illustrative implementation budget is EUR 3.60 million, with success assessed through yield, seasonality, regional dispersion, conversion, length of stay, sentiment and sustainability indicators. The central recommendation is to treat branding as a demand-management tool: the destination should sell a distinctive pattern of travel, not merely a collection of scenic images.</w:t>
      </w:r>
    </w:p>
    <w:p>
      <w:pPr>
        <w:pStyle w:val="Heading1"/>
        <w:ind w:firstLine="0"/>
      </w:pPr>
      <w:r>
        <w:t>Introduction</w:t>
      </w:r>
    </w:p>
    <w:p>
      <w:pPr/>
      <w:r>
        <w:rPr>
          <w:rFonts w:ascii="Times New Roman" w:hAnsi="Times New Roman"/>
          <w:sz w:val="24"/>
        </w:rPr>
        <w:t>Tourism marketing has a strategic role because destination demand is influenced by expectations formed before travel, by the physical and social experience at the destination, and by the stories visitors share afterwards. In Albania, this is particularly important because recent growth has been accelerated by digital discovery. Uka and Balla (2025) argue that influencer marketing has become important in the promotion of emerging Albanian destinations, while Vela and Feimi (2024) find a positive relationship between digital marketing and tourism promotion in southern Albania. These dynamics create an opportunity for rapid brand-building, but they also increase exposure to viral demand that can concentrate visitors in a small number of photogenic locations.</w:t>
      </w:r>
    </w:p>
    <w:p>
      <w:pPr/>
      <w:r>
        <w:rPr>
          <w:rFonts w:ascii="Times New Roman" w:hAnsi="Times New Roman"/>
          <w:sz w:val="24"/>
        </w:rPr>
        <w:t>The strategic question is: how can Albania convert fast growth into a higher-value, more resilient tourism economy while protecting the authenticity and landscapes that make the destination attractive?</w:t>
      </w:r>
    </w:p>
    <w:p>
      <w:pPr/>
      <w:r>
        <w:rPr>
          <w:rFonts w:ascii="Times New Roman" w:hAnsi="Times New Roman"/>
          <w:sz w:val="24"/>
        </w:rPr>
        <w:t>A rebranding strategy cannot substitute for infrastructure, visitor management or service quality. Hall (2000) noted long ago that Albanian tourism development needed to balance economic opportunity with sustainable rural development and environmental constraints. That observation remains relevant. The proposed strategy therefore treats marketing, product design and destination governance as mutually dependent. The brand promise must be credible in transport, cleanliness, information, local hospitality, protected-area management and digital booking. Otherwise, communications may accelerate demand faster than the experience can absorb.</w:t>
      </w:r>
    </w:p>
    <w:p>
      <w:pPr>
        <w:pStyle w:val="Heading2"/>
        <w:ind w:firstLine="0"/>
      </w:pPr>
      <w:r>
        <w:t>Strategic Objective and Scope</w:t>
      </w:r>
    </w:p>
    <w:p>
      <w:pPr/>
      <w:r>
        <w:rPr>
          <w:rFonts w:ascii="Times New Roman" w:hAnsi="Times New Roman"/>
          <w:sz w:val="24"/>
        </w:rPr>
        <w:t>The proposed objective is to increase the share of higher-spending, longer-staying and shoulder-season travellers while dispersing demand toward inland and community-based experiences. The report does not recommend suppressing coastal tourism; rather, it recommends connecting coastal visits with cultural, rural and nature-based products so that visitor expenditure circulates more widely. This direction is consistent with research arguing that Albania’s inland cultural and natural resources remain comparatively underused relative to the coast (Lusha &amp; Hasani, 2025).</w:t>
      </w:r>
    </w:p>
    <w:p>
      <w:pPr/>
      <w:r>
        <w:rPr>
          <w:rFonts w:ascii="Times New Roman" w:hAnsi="Times New Roman"/>
          <w:sz w:val="24"/>
        </w:rPr>
        <w:t>The strategic horizon is three years, with a detailed first-year campaign and measurement framework. The destination brand is treated as a national umbrella that can be adapted by municipalities, DMOs, tour operators, accommodation businesses and cultural attractions. The target is not a single homogeneous “international tourist,” but distinct segments selected according to motivation, behaviour, willingness to pay, seasonality and fit with Albania’s carrying capacity.</w:t>
      </w:r>
    </w:p>
    <w:p>
      <w:pPr>
        <w:pStyle w:val="Heading1"/>
        <w:ind w:firstLine="0"/>
      </w:pPr>
      <w:r>
        <w:t>Market &amp; Consumer Behaviour Analysis</w:t>
      </w:r>
    </w:p>
    <w:p>
      <w:pPr>
        <w:pStyle w:val="Heading2"/>
        <w:ind w:firstLine="0"/>
      </w:pPr>
      <w:r>
        <w:t>PESTEL Analysis</w:t>
      </w:r>
    </w:p>
    <w:p>
      <w:pPr/>
      <w:r>
        <w:rPr>
          <w:rFonts w:ascii="Times New Roman" w:hAnsi="Times New Roman"/>
          <w:sz w:val="24"/>
        </w:rPr>
        <w:t>Politically, Albania’s continuing integration with European institutions, investment in transport and efforts to strengthen tourism governance can improve destination confidence, but uneven local implementation creates reputational risk. Tourism policy therefore needs coordination across national agencies, municipalities and protected-area authorities. A successful brand promise depends on visible standards for signage, waste, public spaces, safety information and service professionalism. Where governance is fragmented, marketing can produce an expectation gap that becomes visible in online reviews.</w:t>
      </w:r>
    </w:p>
    <w:p>
      <w:pPr/>
      <w:r>
        <w:rPr>
          <w:rFonts w:ascii="Times New Roman" w:hAnsi="Times New Roman"/>
          <w:sz w:val="24"/>
        </w:rPr>
        <w:t>Economically, Albania retains a price advantage relative to many established Mediterranean markets, yet the rebranding strategy should avoid making low cost the central value proposition. Low-price positioning can attract volume without necessarily increasing local value capture. A better economic story is “high experience value”: local food, dramatic nature, cultural encounters and boutique stays at prices that remain competitive. This allows selective price growth where quality and scarcity justify it. It also supports small firms, guides and agritourism businesses rather than concentrating spending in commoditised accommodation.</w:t>
      </w:r>
    </w:p>
    <w:p>
      <w:pPr/>
      <w:r>
        <w:rPr>
          <w:rFonts w:ascii="Times New Roman" w:hAnsi="Times New Roman"/>
          <w:sz w:val="24"/>
        </w:rPr>
        <w:t>Socially, travellers increasingly seek authenticity, local interaction, culinary experiences, wellness, nature and shareable stories. Prenga (2025) finds meaningful differences in visitor preferences in Albania, including stronger interest in natural and coastal destinations among some employed travellers and different service expectations among cultural tourists. These differences show why one broad demographic message is insufficient. Social trends also create demand for slower travel and learning experiences, but communities can experience cultural pressure if tourism becomes performative or seasonal housing costs rise. Marketing therefore needs to frame local culture as something to respect and participate in, not consume superficially.</w:t>
      </w:r>
    </w:p>
    <w:p>
      <w:pPr/>
      <w:r>
        <w:rPr>
          <w:rFonts w:ascii="Times New Roman" w:hAnsi="Times New Roman"/>
          <w:sz w:val="24"/>
        </w:rPr>
        <w:t>Technologically, smartphones, short-form video, online reviews, digital maps and online travel agencies have reduced the information disadvantage of lesser-known destinations. Kola, Gjermizi and Tepelena (2024) emphasise the growing importance of digital marketing in Albania’s tourism sector. At the same time, platform dependence creates vulnerabilities: an algorithm can suddenly popularise a beach or village without corresponding transport, waste or visitor-management capacity. The campaign should therefore use digital channels not only to generate reach but also to redirect it, promoting alternative routes, timed visits, shoulder-season offers and bookable regional itineraries.</w:t>
      </w:r>
    </w:p>
    <w:p>
      <w:pPr/>
      <w:r>
        <w:rPr>
          <w:rFonts w:ascii="Times New Roman" w:hAnsi="Times New Roman"/>
          <w:sz w:val="24"/>
        </w:rPr>
        <w:t>Environmentally, Albania’s competitive advantage includes mountains, rivers, protected landscapes and an extensive coastline. Those assets can be degraded by unplanned construction, congestion and weak waste systems. Pasko (2016) argues that carrying-capacity assessment is essential for sustainable coastal tourism development in Albania. Recent research in Gjirokaster similarly stresses the use of sustainability indicators in protected areas (Boboli et al., 2025). The marketing strategy should therefore link growth targets to place-based capacity, especially in fragile coastal and mountain locations. Success cannot be measured by arrivals alone.</w:t>
      </w:r>
    </w:p>
    <w:p>
      <w:pPr/>
      <w:r>
        <w:rPr>
          <w:rFonts w:ascii="Times New Roman" w:hAnsi="Times New Roman"/>
          <w:sz w:val="24"/>
        </w:rPr>
        <w:t>Legally, tourism growth interacts with planning regulation, protected-area rules, consumer protection, accommodation standards, data privacy and influencer disclosure. The digital campaign should require creators to identify paid partnerships and avoid unsafe or environmentally damaging content. Greater formalisation of small tourism suppliers is also important because international visitors expect transparent pricing, reliable cancellation policies and safe payment systems.</w:t>
      </w:r>
    </w:p>
    <w:p>
      <w:pPr>
        <w:spacing w:line="240" w:lineRule="auto" w:before="120" w:after="80"/>
        <w:ind w:firstLine="0"/>
        <w:jc w:val="center"/>
      </w:pPr>
      <w:r>
        <w:rPr>
          <w:rFonts w:ascii="Times New Roman" w:hAnsi="Times New Roman"/>
          <w:b/>
          <w:sz w:val="22"/>
        </w:rPr>
        <w:t>PESTEL implications for destination marketing</w:t>
      </w:r>
    </w:p>
    <w:tbl>
      <w:tblPr>
        <w:tblStyle w:val="TableGrid"/>
        <w:tblW w:type="auto" w:w="0"/>
        <w:jc w:val="center"/>
        <w:tblLayout w:type="autofit"/>
        <w:tblLook w:firstColumn="1" w:firstRow="1" w:lastColumn="0" w:lastRow="0" w:noHBand="0" w:noVBand="1" w:val="04A0"/>
      </w:tblPr>
      <w:tblGrid>
        <w:gridCol w:w="2448"/>
        <w:gridCol w:w="2448"/>
        <w:gridCol w:w="2448"/>
        <w:gridCol w:w="2448"/>
      </w:tblGrid>
      <w:tr>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Factor</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Opportunity</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Risk</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Marketing response</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Political</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Greater integration and infrastructure investment</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Uneven local delivery</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Use verified destination standards and regional partner agreements</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Economic</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Strong value for money</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Race-to-the-bottom pricing</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Lead with experiential value, not cheapest price</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Social</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Demand for authentic food, culture and nature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Community pressure and loss of authenticity</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Promote respectful, small-scale, locally guided experiences</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Technological</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Rapid discovery through social and search</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Viral overcrowding and platform dependence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Use geo-dispersal content, booking links and real-time information</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Environmental</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Distinct mountains, rivers and coast</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Waste, congestion and habitat pressure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Promote shoulder season and capacity-sensitive itineraries</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Legal</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Improving formal tourism standards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Compliance gaps and misleading promotion</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Supplier vetting, clear terms and creator disclosure rules</w:t>
            </w:r>
          </w:p>
        </w:tc>
      </w:tr>
    </w:tbl>
    <w:p>
      <w:pPr>
        <w:spacing w:after="0"/>
      </w:pPr>
    </w:p>
    <w:p>
      <w:pPr>
        <w:pStyle w:val="Heading2"/>
        <w:ind w:firstLine="0"/>
      </w:pPr>
      <w:r>
        <w:t>Consumer Trends and Decision Psychology</w:t>
      </w:r>
    </w:p>
    <w:p>
      <w:pPr/>
      <w:r>
        <w:rPr>
          <w:rFonts w:ascii="Times New Roman" w:hAnsi="Times New Roman"/>
          <w:sz w:val="24"/>
        </w:rPr>
        <w:t>Post-pandemic international travel is shaped by a combination of pent-up experience seeking, flexibility, wellbeing, social proof and concern about value. For an emerging destination, perceived risk and information quality are especially important. Travellers want evidence that transport is manageable, accommodation is reliable and attractions are worth the journey. This makes practical content as important as inspirational content. Route maps, sample trip durations, transfer information and realistic visual storytelling reduce uncertainty at the consideration stage.</w:t>
      </w:r>
    </w:p>
    <w:p>
      <w:pPr/>
      <w:r>
        <w:rPr>
          <w:rFonts w:ascii="Times New Roman" w:hAnsi="Times New Roman"/>
          <w:sz w:val="24"/>
        </w:rPr>
        <w:t>The consumer journey should be understood as a sequence of psychological tasks. At awareness, Albania must become mentally available and distinctive. At consideration, potential visitors compare scenery, culture, flight access, perceived safety, price and itinerary complexity. At booking, friction becomes decisive: unclear transport, fragmented supplier websites or uncertain payment can push a traveller toward a more familiar competitor. During the trip, service encounters create confirmation or disconfirmation of expectations. After the trip, reviews and social posts become earned media. The brand must therefore be designed across the entire journey, not limited to advertising.</w:t>
      </w:r>
    </w:p>
    <w:p>
      <w:pPr/>
      <w:r>
        <w:rPr>
          <w:rFonts w:ascii="Times New Roman" w:hAnsi="Times New Roman"/>
          <w:sz w:val="24"/>
        </w:rPr>
        <w:t>Food and rural experiences are particularly useful because they connect landscape, culture and local spending. Dhora, Anamali and Frroku (2026) identify the potential of Albanian local food products and geographical indications to support rural development and territorial identity. Gastronomy can therefore function as both product and storytelling platform. A “taste the regions” content stream could link olive oil, mountain dairy products, wine, traditional dishes and market visits to bookable routes, giving inland communities a clear place within the national brand.</w:t>
      </w:r>
    </w:p>
    <w:p>
      <w:pPr/>
      <w:r>
        <w:rPr>
          <w:rFonts w:ascii="Times New Roman" w:hAnsi="Times New Roman"/>
          <w:sz w:val="24"/>
        </w:rPr>
        <w:t>Digital discovery also changes the pace of destination image formation. Sallja et al. (2025) show how e-tourism can enhance visibility for rural places such as Belsh, while highlighting gaps in digital capability among local actors. This suggests a two-sided strategy: consumer advertising must be matched with supplier enablement. Small operators need photography standards, listing support, digital payment options, multilingual descriptions and response-time training so that demand generated by the national campaign can actually convert.</w:t>
      </w:r>
    </w:p>
    <w:p>
      <w:pPr>
        <w:pStyle w:val="Heading1"/>
        <w:ind w:firstLine="0"/>
      </w:pPr>
      <w:r>
        <w:t>Segmentation, Targeting, and Positioning (STP)</w:t>
      </w:r>
    </w:p>
    <w:p>
      <w:pPr>
        <w:pStyle w:val="Heading2"/>
        <w:ind w:firstLine="0"/>
      </w:pPr>
      <w:r>
        <w:t>Demographic Segmentation versus Modern Segmentation</w:t>
      </w:r>
    </w:p>
    <w:p>
      <w:pPr/>
      <w:r>
        <w:rPr>
          <w:rFonts w:ascii="Times New Roman" w:hAnsi="Times New Roman"/>
          <w:sz w:val="24"/>
        </w:rPr>
        <w:t>Classic demographic segmentation remains useful for media buying and practical product design. Age, household income, life stage and country of origin influence flight access, trip length, accommodation preferences and spending power. For example, a young couple from Germany and a multigenerational family from the United Kingdom may require different room configurations, transport options and content. However, demographics are weak predictors of why two people of the same age and income travel differently.</w:t>
      </w:r>
    </w:p>
    <w:p>
      <w:pPr/>
      <w:r>
        <w:rPr>
          <w:rFonts w:ascii="Times New Roman" w:hAnsi="Times New Roman"/>
          <w:sz w:val="24"/>
        </w:rPr>
        <w:t>Psychographic segmentation adds values, identity and lifestyle. An eco-conscious traveller may accept a basic mountain lodge if the experience is locally owned and environmentally credible, while a comfort-led traveller with the same income may prioritise premium coastal accommodation. Behavioural segmentation goes further by using observable actions such as booking lead time, repeat visitation, preferred activities, review behaviour, use of public transport and willingness to travel off-season. Prenga (2025) provides evidence that Albanian visitor preferences vary by profile and purpose, supporting a more nuanced segmentation approach.</w:t>
      </w:r>
    </w:p>
    <w:p>
      <w:pPr/>
      <w:r>
        <w:rPr>
          <w:rFonts w:ascii="Times New Roman" w:hAnsi="Times New Roman"/>
          <w:sz w:val="24"/>
        </w:rPr>
        <w:t>The recommended framework combines all three. Demographics identify reachable and economically viable markets; psychographics explain motivational fit; behavioural signals guide timing, channel and offer. This reduces wasted media and avoids stereotyping. A traveller should not be targeted as “Gen Z” simply because of age; the campaign should identify whether that person behaves like an adventure seeker, cultural learner, remote worker or beach-focused value traveller.</w:t>
      </w:r>
    </w:p>
    <w:p>
      <w:pPr>
        <w:pStyle w:val="Heading2"/>
        <w:ind w:firstLine="0"/>
      </w:pPr>
      <w:r>
        <w:t>Priority Target Segments</w:t>
      </w:r>
    </w:p>
    <w:p>
      <w:pPr/>
      <w:r>
        <w:rPr>
          <w:rFonts w:ascii="Times New Roman" w:hAnsi="Times New Roman"/>
          <w:sz w:val="24"/>
        </w:rPr>
        <w:t>The first priority is the eco-conscious experience seeker, typically 28-50, mid-to-high income, independent, digitally confident and motivated by landscapes, hiking, conservation, local food and small-scale accommodation. This segment is attractive because it can be directed toward the Alps, Vjosa Valley, protected areas and rural communities. Guga and Qiqi (2025) report strong community interest in nature and cultural tourism in the Vjosa Valley, supporting a product-market fit built around low-impact guided experiences.</w:t>
      </w:r>
    </w:p>
    <w:p>
      <w:pPr/>
      <w:r>
        <w:rPr>
          <w:rFonts w:ascii="Times New Roman" w:hAnsi="Times New Roman"/>
          <w:sz w:val="24"/>
        </w:rPr>
        <w:t>The second priority is the culture-and-food explorer, typically 35-65, interested in UNESCO heritage, architecture, history, markets, wine and regional cuisine. This segment is less dependent on hot weather and therefore supports spring and autumn demand. Gjirokaster, Berat, Korca and Shkoder can function as anchors, combined with culinary workshops and local producers. The value proposition is depth rather than speed: fewer destinations per trip, more guided interpretation, higher local spend.</w:t>
      </w:r>
    </w:p>
    <w:p>
      <w:pPr/>
      <w:r>
        <w:rPr>
          <w:rFonts w:ascii="Times New Roman" w:hAnsi="Times New Roman"/>
          <w:sz w:val="24"/>
        </w:rPr>
        <w:t>The third priority is the flexible remote professional, generally 25-45, travelling for two to six weeks and combining work with leisure. This segment values reliable connectivity, walkable locations, cafés, apartments, community, nature access and transparent monthly pricing. Remote professionals can extend the season and create repeat visitation, but they also create housing pressures if unmanaged. The strategy should concentrate this segment in places with sufficient capacity and promote responsible long-stay behaviour rather than unlimited short-term rental growth.</w:t>
      </w:r>
    </w:p>
    <w:p>
      <w:pPr>
        <w:spacing w:line="240" w:lineRule="auto" w:before="120" w:after="80"/>
        <w:ind w:firstLine="0"/>
        <w:jc w:val="center"/>
      </w:pPr>
      <w:r>
        <w:rPr>
          <w:rFonts w:ascii="Times New Roman" w:hAnsi="Times New Roman"/>
          <w:b/>
          <w:sz w:val="22"/>
        </w:rPr>
        <w:t>Target audience profiles</w:t>
      </w:r>
    </w:p>
    <w:tbl>
      <w:tblPr>
        <w:tblStyle w:val="TableGrid"/>
        <w:tblW w:type="auto" w:w="0"/>
        <w:jc w:val="center"/>
        <w:tblLayout w:type="autofit"/>
        <w:tblLook w:firstColumn="1" w:firstRow="1" w:lastColumn="0" w:lastRow="0" w:noHBand="0" w:noVBand="1" w:val="04A0"/>
      </w:tblPr>
      <w:tblGrid>
        <w:gridCol w:w="1958"/>
        <w:gridCol w:w="1958"/>
        <w:gridCol w:w="1958"/>
        <w:gridCol w:w="1958"/>
        <w:gridCol w:w="1958"/>
      </w:tblGrid>
      <w:tr>
        <w:tc>
          <w:tcPr>
            <w:tcW w:type="dxa" w:w="195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Segment</w:t>
            </w:r>
          </w:p>
        </w:tc>
        <w:tc>
          <w:tcPr>
            <w:tcW w:type="dxa" w:w="195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Core motivation</w:t>
            </w:r>
          </w:p>
        </w:tc>
        <w:tc>
          <w:tcPr>
            <w:tcW w:type="dxa" w:w="195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Desired experiences</w:t>
            </w:r>
          </w:p>
        </w:tc>
        <w:tc>
          <w:tcPr>
            <w:tcW w:type="dxa" w:w="195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Barriers</w:t>
            </w:r>
          </w:p>
        </w:tc>
        <w:tc>
          <w:tcPr>
            <w:tcW w:type="dxa" w:w="195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Best conversion message</w:t>
            </w:r>
          </w:p>
        </w:tc>
      </w:tr>
      <w:tr>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Eco-conscious experience seeker</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Nature, authenticity, active travel</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Hiking, rafting, wildlife, farm stays, local guides</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Fear of weak infrastructure or greenwashing</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“Travel wild landscapes with local knowledge and measurable care”</w:t>
            </w:r>
          </w:p>
        </w:tc>
      </w:tr>
      <w:tr>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Culture-and-food explorer</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Learning, heritage, cuisine</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UNESCO towns, markets, wine, craft, storytelling</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Limited awareness beyond beaches</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“A Mediterranean culture experienced slowly, region by region”</w:t>
            </w:r>
          </w:p>
        </w:tc>
      </w:tr>
      <w:tr>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Flexible remote professional</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Lifestyle, affordability, work-leisure balance</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Long stays, cafés, coworking, weekend nature</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Connectivity and housing uncertainty</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“Work connected; live locally; explore beyond the weekend”</w:t>
            </w:r>
          </w:p>
        </w:tc>
      </w:tr>
    </w:tbl>
    <w:p>
      <w:pPr>
        <w:spacing w:after="0"/>
      </w:pPr>
    </w:p>
    <w:p>
      <w:pPr>
        <w:pStyle w:val="Heading2"/>
        <w:ind w:firstLine="0"/>
      </w:pPr>
      <w:r>
        <w:t>Strategic Positioning and Brand Promise</w:t>
      </w:r>
    </w:p>
    <w:p>
      <w:pPr/>
      <w:r>
        <w:rPr>
          <w:rFonts w:ascii="Times New Roman" w:hAnsi="Times New Roman"/>
          <w:sz w:val="24"/>
        </w:rPr>
        <w:t>The proposed position is: for independent travellers who want a Mediterranean trip with more discovery and less standardisation, Albania offers a compact mix of mountains, living culture, food and coastline where experiences feel personal, accessible and still connected to local life. The brand line “Wild Mediterranean, Living Culture” combines landscape with people and avoids defining Albania merely as a cheaper alternative to Greece, Croatia or Italy.</w:t>
      </w:r>
    </w:p>
    <w:p>
      <w:pPr/>
      <w:r>
        <w:rPr>
          <w:rFonts w:ascii="Times New Roman" w:hAnsi="Times New Roman"/>
          <w:sz w:val="24"/>
        </w:rPr>
        <w:t>The positioning deliberately occupies the space between “mass Mediterranean sun-and-sea” and “specialist adventure expedition.” Albania can offer adventure without requiring expedition-level planning, and culture without the pricing and crowding of the most established European city circuits. This creates a defendable middle position based on variety, authenticity and compact geography.</w:t>
      </w:r>
    </w:p>
    <w:p>
      <w:pPr>
        <w:spacing w:line="240" w:lineRule="auto" w:before="120" w:after="80"/>
        <w:ind w:firstLine="0"/>
        <w:jc w:val="center"/>
      </w:pPr>
      <w:r>
        <w:rPr>
          <w:rFonts w:ascii="Times New Roman" w:hAnsi="Times New Roman"/>
          <w:b/>
          <w:sz w:val="22"/>
        </w:rPr>
        <w:t>Strategic positioning map</w:t>
      </w:r>
    </w:p>
    <w:tbl>
      <w:tblPr>
        <w:tblStyle w:val="TableGrid"/>
        <w:tblW w:type="auto" w:w="0"/>
        <w:jc w:val="center"/>
        <w:tblLayout w:type="autofit"/>
        <w:tblLook w:firstColumn="1" w:firstRow="1" w:lastColumn="0" w:lastRow="0" w:noHBand="0" w:noVBand="1" w:val="04A0"/>
      </w:tblPr>
      <w:tblGrid>
        <w:gridCol w:w="2448"/>
        <w:gridCol w:w="2448"/>
        <w:gridCol w:w="2448"/>
        <w:gridCol w:w="2448"/>
      </w:tblGrid>
      <w:tr>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Positioning dimension</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Low end</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Albania target position</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High end</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Tourism intensity</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Low visitation / limited services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Selective growth with managed hotspots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High-volume mature destination</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Experience style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Standardised resort holiday</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Independent, locally connected discovery</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Specialist expedition travel</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Price-value logic</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Budget-only</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High experiential value at competitive price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Luxury-premium only</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Seasonality</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Summer dependent</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Four-season culture, nature and workation mix</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Year-round established city/business demand</w:t>
            </w:r>
          </w:p>
        </w:tc>
      </w:tr>
    </w:tbl>
    <w:p>
      <w:pPr>
        <w:spacing w:after="0"/>
      </w:pPr>
    </w:p>
    <w:p>
      <w:pPr>
        <w:pStyle w:val="Heading2"/>
        <w:ind w:firstLine="0"/>
      </w:pPr>
      <w:r>
        <w:t>Lessons from Rebranding and Overtourism</w:t>
      </w:r>
    </w:p>
    <w:p>
      <w:pPr/>
      <w:r>
        <w:rPr>
          <w:rFonts w:ascii="Times New Roman" w:hAnsi="Times New Roman"/>
          <w:sz w:val="24"/>
        </w:rPr>
        <w:t>Effective destination rebranding works when communications reveal a credible experience that product and infrastructure can deliver. Albania’s recent social-media visibility demonstrates how quickly perception can change, but rapid attention can also create destination imbalance. Ciro (2018) argued that earlier Albanian branding campaigns risked widening gaps between appealing promotional images and structural weaknesses. That is a warning against treating a slogan as the strategy.</w:t>
      </w:r>
    </w:p>
    <w:p>
      <w:pPr/>
      <w:r>
        <w:rPr>
          <w:rFonts w:ascii="Times New Roman" w:hAnsi="Times New Roman"/>
          <w:sz w:val="24"/>
        </w:rPr>
        <w:t>The broader Mediterranean experience also shows that successful awareness can become a management problem when visitors cluster in a few iconic locations. Overtourism weakens resident support, increases congestion and can reduce visitor satisfaction. Albania should therefore learn from mature destinations by building dispersal into its brand from the beginning. Campaign content should never repeatedly feature only Ksamil, Sarande and a few famous viewpoints. At least half of paid and owned content should feature shoulder-season or inland experiences, and partner incentives should reward multi-region itineraries.</w:t>
      </w:r>
    </w:p>
    <w:p>
      <w:pPr>
        <w:pStyle w:val="Heading1"/>
        <w:ind w:firstLine="0"/>
      </w:pPr>
      <w:r>
        <w:t>Extended Tourism Marketing Mix (7 Ps)</w:t>
      </w:r>
    </w:p>
    <w:p>
      <w:pPr>
        <w:pStyle w:val="Heading2"/>
        <w:ind w:firstLine="0"/>
      </w:pPr>
      <w:r>
        <w:t>Product</w:t>
      </w:r>
    </w:p>
    <w:p>
      <w:pPr/>
      <w:r>
        <w:rPr>
          <w:rFonts w:ascii="Times New Roman" w:hAnsi="Times New Roman"/>
          <w:sz w:val="24"/>
        </w:rPr>
        <w:t>The product should be reorganised around thematic journeys rather than administrative geography. Suggested bookable themes include “Alps to Adriatic,” “UNESCO and Flavours,” “Vjosa Wild River Week,” “Southern Villages and Coast,” and “Work from Albania.” Each journey should include transport guidance, verified accommodation, local guides and optional low-carbon activities. The objective is to make complexity feel curated while preserving independent choice.</w:t>
      </w:r>
    </w:p>
    <w:p>
      <w:pPr/>
      <w:r>
        <w:rPr>
          <w:rFonts w:ascii="Times New Roman" w:hAnsi="Times New Roman"/>
          <w:sz w:val="24"/>
        </w:rPr>
        <w:t>Product development should also increase interpretive quality. A landscape becomes more valuable when visitors understand ecology, history and local livelihoods. Community guide training, multilingual interpretation and small-group workshops can increase willingness to pay without requiring large physical development. This is especially important in protected and rural areas where volume growth would be damaging.</w:t>
      </w:r>
    </w:p>
    <w:p>
      <w:pPr>
        <w:pStyle w:val="Heading2"/>
        <w:ind w:firstLine="0"/>
      </w:pPr>
      <w:r>
        <w:t>Price</w:t>
      </w:r>
    </w:p>
    <w:p>
      <w:pPr/>
      <w:r>
        <w:rPr>
          <w:rFonts w:ascii="Times New Roman" w:hAnsi="Times New Roman"/>
          <w:sz w:val="24"/>
        </w:rPr>
        <w:t>Pricing should move from a cheap-destination narrative to tiered value. Entry-level independent travel remains important, but premium guided products, boutique lodging, culinary experiences and private transfers should be priced according to quality. Transparent packaged prices can reduce uncertainty. Shoulder-season bundles can use added value—such as free local transport or a guided experience—rather than aggressive discounting that trains consumers to wait for lower prices.</w:t>
      </w:r>
    </w:p>
    <w:p>
      <w:pPr>
        <w:pStyle w:val="Heading2"/>
        <w:ind w:firstLine="0"/>
      </w:pPr>
      <w:r>
        <w:t>Place</w:t>
      </w:r>
    </w:p>
    <w:p>
      <w:pPr/>
      <w:r>
        <w:rPr>
          <w:rFonts w:ascii="Times New Roman" w:hAnsi="Times New Roman"/>
          <w:sz w:val="24"/>
        </w:rPr>
        <w:t>Distribution should combine direct destination content with OTAs, specialist tour operators, airline partnerships and regional booking platforms. The key weakness to address is fragmentation. A user inspired by a mountain itinerary should be able to reach accommodation, transfers and guiding options in a few clicks. Rural suppliers need listing support and inventory standards so that they are visible where international travellers actually search.</w:t>
      </w:r>
    </w:p>
    <w:p>
      <w:pPr>
        <w:pStyle w:val="Heading2"/>
        <w:ind w:firstLine="0"/>
      </w:pPr>
      <w:r>
        <w:t>Promotion</w:t>
      </w:r>
    </w:p>
    <w:p>
      <w:pPr/>
      <w:r>
        <w:rPr>
          <w:rFonts w:ascii="Times New Roman" w:hAnsi="Times New Roman"/>
          <w:sz w:val="24"/>
        </w:rPr>
        <w:t>Promotion should use a 60/25/15 model: 60% always-on search, video and social content; 25% partnerships with airlines, OTAs, specialist media and tour operators; 15% creator and public-relations activations. Creators should be selected for audience fit and storytelling quality, not follower count alone. Uka and Balla (2025) show the relevance of influencer marketing in Albania, but the strategic goal should be qualified demand. Briefs should require location dispersion, responsible-behaviour messages and practical booking information.</w:t>
      </w:r>
    </w:p>
    <w:p>
      <w:pPr>
        <w:pStyle w:val="Heading2"/>
        <w:ind w:firstLine="0"/>
      </w:pPr>
      <w:r>
        <w:t>People</w:t>
      </w:r>
    </w:p>
    <w:p>
      <w:pPr/>
      <w:r>
        <w:rPr>
          <w:rFonts w:ascii="Times New Roman" w:hAnsi="Times New Roman"/>
          <w:sz w:val="24"/>
        </w:rPr>
        <w:t>Residents, guides, hosts, drivers and hospitality employees are part of the brand. Training should focus on service recovery, cross-cultural communication, sustainability explanation and digital reputation management. Local hosts should be visible in campaign storytelling because “living culture” is not credible if marketing features only landscapes. Partner businesses should receive a toolkit on brand tone, service standards and inclusive visitor communication.</w:t>
      </w:r>
    </w:p>
    <w:p>
      <w:pPr>
        <w:pStyle w:val="Heading2"/>
        <w:ind w:firstLine="0"/>
      </w:pPr>
      <w:r>
        <w:t>Process</w:t>
      </w:r>
    </w:p>
    <w:p>
      <w:pPr/>
      <w:r>
        <w:rPr>
          <w:rFonts w:ascii="Times New Roman" w:hAnsi="Times New Roman"/>
          <w:sz w:val="24"/>
        </w:rPr>
        <w:t>Processes should reduce friction from inspiration to advocacy. Priority improvements include consistent visitor information, QR-linked regional itineraries, simple complaint escalation, verified transfer information and post-trip review prompts. A central destination data layer could track campaign referrals and regional conversion. Supplier onboarding should include availability accuracy and response-time standards, because a marketing campaign fails when a traveller encounters unanswered enquiries.</w:t>
      </w:r>
    </w:p>
    <w:p>
      <w:pPr>
        <w:pStyle w:val="Heading2"/>
        <w:ind w:firstLine="0"/>
      </w:pPr>
      <w:r>
        <w:t>Physical Evidence</w:t>
      </w:r>
    </w:p>
    <w:p>
      <w:pPr/>
      <w:r>
        <w:rPr>
          <w:rFonts w:ascii="Times New Roman" w:hAnsi="Times New Roman"/>
          <w:sz w:val="24"/>
        </w:rPr>
        <w:t>Physical evidence includes signage, trail markers, visitor centres, cleanliness, accommodation presentation, local product packaging and the digital interface itself. The rebrand should therefore include a visual wayfinding system and partner badge for verified experiences. Sustainability claims should be supported by visible practices such as refill stations, waste separation, protected-area rules and local sourcing rather than vague “green” language.</w:t>
      </w:r>
    </w:p>
    <w:p>
      <w:pPr>
        <w:spacing w:line="240" w:lineRule="auto" w:before="120" w:after="80"/>
        <w:ind w:firstLine="0"/>
        <w:jc w:val="center"/>
      </w:pPr>
      <w:r>
        <w:rPr>
          <w:rFonts w:ascii="Times New Roman" w:hAnsi="Times New Roman"/>
          <w:b/>
          <w:sz w:val="22"/>
        </w:rPr>
        <w:t>Integrated 7Ps matrix</w:t>
      </w:r>
    </w:p>
    <w:tbl>
      <w:tblPr>
        <w:tblStyle w:val="TableGrid"/>
        <w:tblW w:type="auto" w:w="0"/>
        <w:jc w:val="center"/>
        <w:tblLayout w:type="autofit"/>
        <w:tblLook w:firstColumn="1" w:firstRow="1" w:lastColumn="0" w:lastRow="0" w:noHBand="0" w:noVBand="1" w:val="04A0"/>
      </w:tblPr>
      <w:tblGrid>
        <w:gridCol w:w="2448"/>
        <w:gridCol w:w="2448"/>
        <w:gridCol w:w="2448"/>
        <w:gridCol w:w="2448"/>
      </w:tblGrid>
      <w:tr>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P</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Strategic decision</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Example action</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Evidence/KPI</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Product</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Sell thematic, multi-region journeys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Launch five bookable signature routes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Route bookings; regional dispersion</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Price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Compete on experiential value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Create good/better/best bundles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Average spend; margin; conversion</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Place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Reduce booking fragmentation</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Integrate suppliers with OTA/direct links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Click-to-book rate; supplier coverage</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Promotion</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Use content to shape demand</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50%+ content for inland/shoulder season</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Reach by region; assisted bookings</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People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Make local hosts part of the brand</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Service and storytelling academy</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Review sentiment; training completion</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Process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Simplify planning and recovery</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Unified itinerary and support tools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Abandonment rate; resolution time</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Physical Evidence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Make quality and care visible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Wayfinding, refill points, verified badge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Visitor satisfaction; compliance audits</w:t>
            </w:r>
          </w:p>
        </w:tc>
      </w:tr>
    </w:tbl>
    <w:p>
      <w:pPr>
        <w:spacing w:after="0"/>
      </w:pPr>
    </w:p>
    <w:p>
      <w:pPr>
        <w:pStyle w:val="Heading1"/>
        <w:ind w:firstLine="0"/>
      </w:pPr>
      <w:r>
        <w:t>Implementation, Budgeting &amp; KPIs</w:t>
      </w:r>
    </w:p>
    <w:p>
      <w:pPr>
        <w:pStyle w:val="Heading2"/>
        <w:ind w:firstLine="0"/>
      </w:pPr>
      <w:r>
        <w:t>Twelve-Month Implementation Plan</w:t>
      </w:r>
    </w:p>
    <w:p>
      <w:pPr/>
      <w:r>
        <w:rPr>
          <w:rFonts w:ascii="Times New Roman" w:hAnsi="Times New Roman"/>
          <w:sz w:val="24"/>
        </w:rPr>
        <w:t>Months 1-3 should focus on research, brand governance and product readiness. Activities include baseline perception research in priority source markets, supplier audits, carrying-capacity consultation, route development and creation of visual guidelines. The campaign should not launch nationally until at least three multi-region itineraries are bookable. This reduces the risk of generating awareness without conversion infrastructure.</w:t>
      </w:r>
    </w:p>
    <w:p>
      <w:pPr/>
      <w:r>
        <w:rPr>
          <w:rFonts w:ascii="Times New Roman" w:hAnsi="Times New Roman"/>
          <w:sz w:val="24"/>
        </w:rPr>
        <w:t>Months 4-6 should pilot the brand in two or three source markets using performance media and creator journeys. Creative testing should compare nature-led, culture-led and combined messages. Search data, video completion and itinerary saves can identify which promise generates high-intent behaviour. During the pilot, local partners should receive campaign assets and digital listing support.</w:t>
      </w:r>
    </w:p>
    <w:p>
      <w:pPr/>
      <w:r>
        <w:rPr>
          <w:rFonts w:ascii="Times New Roman" w:hAnsi="Times New Roman"/>
          <w:sz w:val="24"/>
        </w:rPr>
        <w:t>Months 7-9 should scale the highest-performing creative and introduce shoulder-season offers for autumn and winter. PR should focus on food, culture, hiking and long-stay travel rather than beach rankings. Regional destination partners should run coordinated events and familiarisation trips. Supplier conversion data should be monitored weekly so that media can be shifted toward products with available capacity.</w:t>
      </w:r>
    </w:p>
    <w:p>
      <w:pPr/>
      <w:r>
        <w:rPr>
          <w:rFonts w:ascii="Times New Roman" w:hAnsi="Times New Roman"/>
          <w:sz w:val="24"/>
        </w:rPr>
        <w:t>Months 10-12 should evaluate incremental performance, visitor sentiment and regional impacts. The next-year plan should increase investment only where marketing produces both economic value and acceptable capacity outcomes. Hotspots showing congestion or declining sentiment should receive demand-management communication rather than additional acquisition spend.</w:t>
      </w:r>
    </w:p>
    <w:p>
      <w:pPr>
        <w:spacing w:line="240" w:lineRule="auto" w:before="120" w:after="80"/>
        <w:ind w:firstLine="0"/>
        <w:jc w:val="center"/>
      </w:pPr>
      <w:r>
        <w:rPr>
          <w:rFonts w:ascii="Times New Roman" w:hAnsi="Times New Roman"/>
          <w:b/>
          <w:sz w:val="22"/>
        </w:rPr>
        <w:t>Illustrative Year 1 budget</w:t>
      </w:r>
    </w:p>
    <w:tbl>
      <w:tblPr>
        <w:tblStyle w:val="TableGrid"/>
        <w:tblW w:type="auto" w:w="0"/>
        <w:jc w:val="center"/>
        <w:tblLayout w:type="autofit"/>
        <w:tblLook w:firstColumn="1" w:firstRow="1" w:lastColumn="0" w:lastRow="0" w:noHBand="0" w:noVBand="1" w:val="04A0"/>
      </w:tblPr>
      <w:tblGrid>
        <w:gridCol w:w="2448"/>
        <w:gridCol w:w="2448"/>
        <w:gridCol w:w="2448"/>
        <w:gridCol w:w="2448"/>
      </w:tblGrid>
      <w:tr>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Budget item</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EUR</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Share</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Purpose</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Consumer research and measurement</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300,000</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8.3%</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Baseline, brand lift, visitor and resident tracking</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Creative platform and content production</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650,000</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18.1%</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Video, photography, itinerary storytelling, localisation</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Paid digital media</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1,200,000</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33.3%</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Search, social, online video and retargeting</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Trade, airline and OTA partnerships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550,000</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15.3%</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Cooperative campaigns and bookable offers</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Creator/PR programme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350,000</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9.7%</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Responsible creator journeys and earned media</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Regional supplier enablement</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300,000</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8.3%</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Digital listings, booking readiness, brand toolkit</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Sustainability and visitor-management communication</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150,000</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4.2%</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Wayfinding, behaviour messaging, hotspot alternatives</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Contingency and testing reserve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100,000</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2.8%</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Rapid optimisation and emerging opportunities</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Total</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3,600,000</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100%</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First-year programme</w:t>
            </w:r>
          </w:p>
        </w:tc>
      </w:tr>
    </w:tbl>
    <w:p>
      <w:pPr>
        <w:spacing w:after="0"/>
      </w:pPr>
    </w:p>
    <w:p>
      <w:pPr>
        <w:pStyle w:val="Heading2"/>
        <w:ind w:firstLine="0"/>
      </w:pPr>
      <w:r>
        <w:t>KPI Framework</w:t>
      </w:r>
    </w:p>
    <w:p>
      <w:pPr/>
      <w:r>
        <w:rPr>
          <w:rFonts w:ascii="Times New Roman" w:hAnsi="Times New Roman"/>
          <w:sz w:val="24"/>
        </w:rPr>
        <w:t>KPIs should be organised by funnel and destination outcome. Awareness measures include qualified reach, video completion and brand search lift. Consideration measures include itinerary saves, website engagement and partner click-through. Conversion measures include bookings, cost per acquisition, average booking value and direct/partner conversion rate. Experience measures include review sentiment, complaint themes and net promoter-style indicators. Strategic destination outcomes include average spend, length of stay, share of nights outside July-August, inland overnight stays and resident sentiment.</w:t>
      </w:r>
    </w:p>
    <w:p>
      <w:pPr/>
      <w:r>
        <w:rPr>
          <w:rFonts w:ascii="Times New Roman" w:hAnsi="Times New Roman"/>
          <w:sz w:val="24"/>
        </w:rPr>
        <w:t>Return on marketing investment should not be calculated simply as total visitor spending divided by media cost because much of that spending would have occurred without the campaign. A better approach uses incrementality where possible: matched-market tests, campaign-exposed versus unexposed groups, partner booking codes and brand-lift studies. The objective is to estimate additional demand attributable to marketing rather than claim credit for all tourism activity.</w:t>
      </w:r>
    </w:p>
    <w:p>
      <w:pPr/>
      <w:r>
        <w:rPr>
          <w:rFonts w:ascii="Times New Roman" w:hAnsi="Times New Roman"/>
          <w:sz w:val="24"/>
        </w:rPr>
        <w:t>Sustainability KPIs should be reported alongside commercial KPIs. Examples include percentage of promoted products using local guides, waste and refill compliance among campaign partners, visitor flows in fragile sites, rail/bus uptake where available, and the share of campaign content featuring off-peak or lesser-known regions. This prevents a situation in which marketing “succeeds” commercially while worsening the destination experience.</w:t>
      </w:r>
    </w:p>
    <w:p>
      <w:pPr>
        <w:spacing w:line="240" w:lineRule="auto" w:before="120" w:after="80"/>
        <w:ind w:firstLine="0"/>
        <w:jc w:val="center"/>
      </w:pPr>
      <w:r>
        <w:rPr>
          <w:rFonts w:ascii="Times New Roman" w:hAnsi="Times New Roman"/>
          <w:b/>
          <w:sz w:val="22"/>
        </w:rPr>
        <w:t>Balanced KPI scorecard</w:t>
      </w:r>
    </w:p>
    <w:tbl>
      <w:tblPr>
        <w:tblStyle w:val="TableGrid"/>
        <w:tblW w:type="auto" w:w="0"/>
        <w:jc w:val="center"/>
        <w:tblLayout w:type="autofit"/>
        <w:tblLook w:firstColumn="1" w:firstRow="1" w:lastColumn="0" w:lastRow="0" w:noHBand="0" w:noVBand="1" w:val="04A0"/>
      </w:tblPr>
      <w:tblGrid>
        <w:gridCol w:w="2448"/>
        <w:gridCol w:w="2448"/>
        <w:gridCol w:w="2448"/>
        <w:gridCol w:w="2448"/>
      </w:tblGrid>
      <w:tr>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Objective</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KPI</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Year 1 direction</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Management use</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Increase qualified demand</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High-intent website sessions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+20% from pilot baseline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Optimise source markets and creative</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Improve conversion</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Click-to-book conversion</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+15% relative improvement</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Fix booking friction and partner inventory</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Increase visitor value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Average spend per trip</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Positive growth above inflation</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Shift mix toward higher-value products</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Reduce seasonality</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Share of nights outside Jul-Aug</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+5 percentage points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Scale shoulder-season offers</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Improve dispersion</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Overnights in promoted inland regions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+10%</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Reallocate content and partnerships</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Protect experience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Visitor review sentiment</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Maintain/improve despite growth</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Trigger service or capacity interventions</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Support communities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Share of itinerary suppliers locally owned</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Minimum 60%</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Strengthen local value capture</w:t>
            </w:r>
          </w:p>
        </w:tc>
      </w:tr>
    </w:tbl>
    <w:p>
      <w:pPr>
        <w:spacing w:after="0"/>
      </w:pPr>
    </w:p>
    <w:p>
      <w:pPr>
        <w:pStyle w:val="Heading1"/>
        <w:ind w:firstLine="0"/>
      </w:pPr>
      <w:r>
        <w:t>Conclusion &amp; Recommendations</w:t>
      </w:r>
    </w:p>
    <w:p>
      <w:pPr/>
      <w:r>
        <w:rPr>
          <w:rFonts w:ascii="Times New Roman" w:hAnsi="Times New Roman"/>
          <w:sz w:val="24"/>
        </w:rPr>
        <w:t>Albania’s tourism opportunity is unusually strong because awareness is rising while the destination still retains a sense of discovery. That advantage can disappear if growth is unmanaged. The recommended rebrand therefore shifts the objective from “more visitors” to “better-shaped demand.” The brand “Wild Mediterranean, Living Culture” is designed to attract travellers who value nature, culture, food and local interaction, while the product architecture encourages multi-region and shoulder-season travel.</w:t>
      </w:r>
    </w:p>
    <w:p>
      <w:pPr/>
      <w:r>
        <w:rPr>
          <w:rFonts w:ascii="Times New Roman" w:hAnsi="Times New Roman"/>
          <w:sz w:val="24"/>
        </w:rPr>
        <w:t>The most important recommendation is to integrate marketing with visitor management. Carrying capacity, supplier readiness, digital booking and local service quality should determine where campaigns send demand. Second, segmentation should combine demographics with psychographic and behavioural evidence so that messages reflect motivation rather than age stereotypes. Third, inland and rural products should receive a guaranteed share of content and partnership investment. Fourth, creators should be managed as strategic distribution partners, with responsibility requirements and booking links. Fifth, performance measurement should include incrementality, visitor yield, seasonality, regional dispersion and resident/visitor sentiment.</w:t>
      </w:r>
    </w:p>
    <w:p>
      <w:pPr/>
      <w:r>
        <w:rPr>
          <w:rFonts w:ascii="Times New Roman" w:hAnsi="Times New Roman"/>
          <w:sz w:val="24"/>
        </w:rPr>
        <w:t>If implemented consistently, this strategy can help Albania avoid the common trajectory in which rapid awareness produces low-cost volume, congestion and brand dilution. The destination can instead build a reputation for compact, high-value Mediterranean discovery, where tourism revenue supports landscapes, communities and cultural continuity. The desired outcome is not simply a more famous Albania, but a tourism brand that helps determine how, when and where people travel.</w:t>
      </w:r>
    </w:p>
    <w:p>
      <w:pPr>
        <w:pStyle w:val="Heading1"/>
        <w:ind w:firstLine="0"/>
      </w:pPr>
      <w:r>
        <w:t>References</w:t>
      </w:r>
    </w:p>
    <w:p>
      <w:pPr>
        <w:pStyle w:val="Reference"/>
        <w:ind w:hanging="720"/>
      </w:pPr>
      <w:r>
        <w:rPr>
          <w:rFonts w:ascii="Times New Roman" w:hAnsi="Times New Roman"/>
          <w:sz w:val="24"/>
        </w:rPr>
        <w:t>Bajraktari, N., &amp; Deda, E. (2024). The strategy to sustainable tourism development of a country. Academic Journal of Interdisciplinary Studies, 13(4), 630. https://doi.org/10.36941/ajis-2024-0142</w:t>
      </w:r>
    </w:p>
    <w:p>
      <w:pPr>
        <w:pStyle w:val="Reference"/>
        <w:ind w:hanging="720"/>
      </w:pPr>
      <w:r>
        <w:rPr>
          <w:rFonts w:ascii="Times New Roman" w:hAnsi="Times New Roman"/>
          <w:sz w:val="24"/>
        </w:rPr>
        <w:t>Boboli, I., Shehu, G., Gaba, L., Bega, R., &amp; Celo, R. (2025). Assessment of the main sustainable tourism indicators in the protected areas of the Gjirokastra region. Acta Scientiarum Polonorum. Oeconomia, 24(4). https://doi.org/10.22630/ASPE.2025.24.4.13</w:t>
      </w:r>
    </w:p>
    <w:p>
      <w:pPr>
        <w:pStyle w:val="Reference"/>
        <w:ind w:hanging="720"/>
      </w:pPr>
      <w:r>
        <w:rPr>
          <w:rFonts w:ascii="Times New Roman" w:hAnsi="Times New Roman"/>
          <w:sz w:val="24"/>
        </w:rPr>
        <w:t>Ciro, A. (2018). Sustainable tourism development in Albania. Annual Review of Territorial Governance in Albania. https://doi.org/10.32034/CP-TGAR-I01-06</w:t>
      </w:r>
    </w:p>
    <w:p>
      <w:pPr>
        <w:pStyle w:val="Reference"/>
        <w:ind w:hanging="720"/>
      </w:pPr>
      <w:r>
        <w:rPr>
          <w:rFonts w:ascii="Times New Roman" w:hAnsi="Times New Roman"/>
          <w:sz w:val="24"/>
        </w:rPr>
        <w:t>Dhora, R., Anamali, A., &amp; Frroku, A. (2026). Assessing the potential of local food products for inclusion in geographical indication (GI) schemes as a key driver of rural development: Evidence from Albania. Frontiers in Sustainability, 7, 1818134. https://doi.org/10.3389/frsus.2026.1818134</w:t>
      </w:r>
    </w:p>
    <w:p>
      <w:pPr>
        <w:pStyle w:val="Reference"/>
        <w:ind w:hanging="720"/>
      </w:pPr>
      <w:r>
        <w:rPr>
          <w:rFonts w:ascii="Times New Roman" w:hAnsi="Times New Roman"/>
          <w:sz w:val="24"/>
        </w:rPr>
        <w:t>Guga, E., &amp; Qiqi, D. (2025). Sustainable economic development through alternative tourism in the Vjosa Valley, Albania. WSEAS Transactions on Business and Economics, 22, 727-738. https://doi.org/10.37394/23207.2025.22.64</w:t>
      </w:r>
    </w:p>
    <w:p>
      <w:pPr>
        <w:pStyle w:val="Reference"/>
        <w:ind w:hanging="720"/>
      </w:pPr>
      <w:r>
        <w:rPr>
          <w:rFonts w:ascii="Times New Roman" w:hAnsi="Times New Roman"/>
          <w:sz w:val="24"/>
        </w:rPr>
        <w:t>Hall, D. R. (2000). Tourism as sustainable development? The Albanian experience of transition. International Journal of Tourism Research, 2(1), 31-46. https://doi.org/10.1002/(SICI)1522-1970(200001/02)2:1%3C31::AID-JTR181%3E3.0.CO;2-W</w:t>
      </w:r>
    </w:p>
    <w:p>
      <w:pPr>
        <w:pStyle w:val="Reference"/>
        <w:ind w:hanging="720"/>
      </w:pPr>
      <w:r>
        <w:rPr>
          <w:rFonts w:ascii="Times New Roman" w:hAnsi="Times New Roman"/>
          <w:sz w:val="24"/>
        </w:rPr>
        <w:t>INSTAT. (2025). Accommodation establishments, December 2025. Institute of Statistics, Republic of Albania.</w:t>
      </w:r>
    </w:p>
    <w:p>
      <w:pPr>
        <w:pStyle w:val="Reference"/>
        <w:ind w:hanging="720"/>
      </w:pPr>
      <w:r>
        <w:rPr>
          <w:rFonts w:ascii="Times New Roman" w:hAnsi="Times New Roman"/>
          <w:sz w:val="24"/>
        </w:rPr>
        <w:t>INSTAT. (2026). Tourism statistics. Institute of Statistics, Republic of Albania.</w:t>
      </w:r>
    </w:p>
    <w:p>
      <w:pPr>
        <w:pStyle w:val="Reference"/>
        <w:ind w:hanging="720"/>
      </w:pPr>
      <w:r>
        <w:rPr>
          <w:rFonts w:ascii="Times New Roman" w:hAnsi="Times New Roman"/>
          <w:sz w:val="24"/>
        </w:rPr>
        <w:t>Kola, B., Gjermizi, J., &amp; Tepelena, I. (2024). The impact of digital marketing on tourism in Albania. Journal of Educational and Social Research, 14(4), 170. https://doi.org/10.36941/jesr-2024-0094</w:t>
      </w:r>
    </w:p>
    <w:p>
      <w:pPr>
        <w:pStyle w:val="Reference"/>
        <w:ind w:hanging="720"/>
      </w:pPr>
      <w:r>
        <w:rPr>
          <w:rFonts w:ascii="Times New Roman" w:hAnsi="Times New Roman"/>
          <w:sz w:val="24"/>
        </w:rPr>
        <w:t>Lusha, E., &amp; Hasani, L. (2025). Regional development tourism for Albania. Interdisciplinary Journal of Research and Development, 12(3 S1), 326. https://doi.org/10.56345/ijrdv12n3s144</w:t>
      </w:r>
    </w:p>
    <w:p>
      <w:pPr>
        <w:pStyle w:val="Reference"/>
        <w:ind w:hanging="720"/>
      </w:pPr>
      <w:r>
        <w:rPr>
          <w:rFonts w:ascii="Times New Roman" w:hAnsi="Times New Roman"/>
          <w:sz w:val="24"/>
        </w:rPr>
        <w:t>Pasko, G. (2016). Carrying capacity assessment - An essential tool for sustainable tourism development in coastal areas of Albania. European Journal of Economics and Business Studies, 2(1), 163-170. https://doi.org/10.26417/ejes.v4i1.p163-170</w:t>
      </w:r>
    </w:p>
    <w:p>
      <w:pPr>
        <w:pStyle w:val="Reference"/>
        <w:ind w:hanging="720"/>
      </w:pPr>
      <w:r>
        <w:rPr>
          <w:rFonts w:ascii="Times New Roman" w:hAnsi="Times New Roman"/>
          <w:sz w:val="24"/>
        </w:rPr>
        <w:t>Prenga, M. (2025). Behavior-based segmentation in tourism: A study on visitor profiles and preferences - Albanian case. EIRP Proceedings.</w:t>
      </w:r>
    </w:p>
    <w:p>
      <w:pPr>
        <w:pStyle w:val="Reference"/>
        <w:ind w:hanging="720"/>
      </w:pPr>
      <w:r>
        <w:rPr>
          <w:rFonts w:ascii="Times New Roman" w:hAnsi="Times New Roman"/>
          <w:sz w:val="24"/>
        </w:rPr>
        <w:t>Sallja, E., Caro, E., Hasrama, O., &amp; Axhemi, S. (2025). E-tourism as a catalyst for rural destination promotion: Digital pathways for sustainable tourism development in Belsh, Albania. ENTRENOVA - Enterprise Research Innovation Journal, 11(1). https://doi.org/10.54820/entrenova-2025-0060</w:t>
      </w:r>
    </w:p>
    <w:p>
      <w:pPr>
        <w:pStyle w:val="Reference"/>
        <w:ind w:hanging="720"/>
      </w:pPr>
      <w:r>
        <w:rPr>
          <w:rFonts w:ascii="Times New Roman" w:hAnsi="Times New Roman"/>
          <w:sz w:val="24"/>
        </w:rPr>
        <w:t>Uka, E., &amp; Balla, E. (2025). Influencer marketing for promoting new tourist destinations: The case of Albania. Interdisciplinary Journal of Research and Development. https://doi.org/10.56345/ijrdv12n3s106</w:t>
      </w:r>
    </w:p>
    <w:p>
      <w:pPr>
        <w:pStyle w:val="Reference"/>
        <w:ind w:hanging="720"/>
      </w:pPr>
      <w:r>
        <w:rPr>
          <w:rFonts w:ascii="Times New Roman" w:hAnsi="Times New Roman"/>
          <w:sz w:val="24"/>
        </w:rPr>
        <w:t>Vela, F., &amp; Feimi, D. (2024). Digital marketing and its importance in tourism promotion: Case of Southern Albania. Mediterranean Journal of Social Sciences, 15(2), 18. https://doi.org/10.36941/mjss-2024-0009</w:t>
      </w:r>
    </w:p>
    <w:p>
      <w:pPr>
        <w:pStyle w:val="Heading1"/>
        <w:ind w:firstLine="0"/>
      </w:pPr>
      <w:r>
        <w:t>Appendices</w:t>
      </w:r>
    </w:p>
    <w:p>
      <w:pPr>
        <w:pStyle w:val="Heading2"/>
        <w:ind w:firstLine="0"/>
      </w:pPr>
      <w:r>
        <w:t>Appendix A - Campaign Content Pillars</w:t>
      </w:r>
    </w:p>
    <w:p>
      <w:pPr/>
      <w:r>
        <w:rPr>
          <w:rFonts w:ascii="Times New Roman" w:hAnsi="Times New Roman"/>
          <w:sz w:val="24"/>
        </w:rPr>
        <w:t>The campaign should organise content into five pillars: Wild Landscapes, Living Heritage, Food and Makers, Slow Coast, and Work-and-Wander. Each pillar should contain both inspirational and practical assets. Wild Landscapes would feature hiking, river, protected-area and low-impact adventure experiences. Living Heritage would centre local guides, architecture and oral histories. Food and Makers would connect producers, markets and culinary workshops. Slow Coast would favour small-scale stays, off-peak beaches and coastal culture rather than crowded hotspot imagery. Work-and-Wander would provide long-stay planning, connectivity and weekend regional routes.</w:t>
      </w:r>
    </w:p>
    <w:p>
      <w:pPr>
        <w:pStyle w:val="Heading2"/>
        <w:ind w:firstLine="0"/>
      </w:pPr>
      <w:r>
        <w:t>Appendix B - Governance Checklist</w:t>
      </w:r>
    </w:p>
    <w:p>
      <w:pPr/>
      <w:r>
        <w:rPr>
          <w:rFonts w:ascii="Times New Roman" w:hAnsi="Times New Roman"/>
          <w:sz w:val="24"/>
        </w:rPr>
        <w:t>Before paid campaign amplification, the destination team should confirm product availability, emergency information, visitor-capacity readiness, accurate map data, supplier response standards and a named local coordination contact.</w:t>
      </w:r>
    </w:p>
    <w:sectPr w:rsidR="00FC693F" w:rsidRPr="0006063C" w:rsidSect="00034616">
      <w:footerReference w:type="default" r:id="rId9"/>
      <w:pgSz w:w="12240" w:h="15840"/>
      <w:pgMar w:top="1152" w:right="1224" w:bottom="1152"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after="0"/>
      <w:ind w:firstLine="432"/>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40" w:after="120"/>
      <w:outlineLvl w:val="0"/>
    </w:pPr>
    <w:rPr>
      <w:rFonts w:asciiTheme="majorHAnsi" w:eastAsiaTheme="majorEastAsia" w:hAnsiTheme="majorHAnsi" w:cstheme="majorBidi" w:ascii="Times New Roman" w:hAnsi="Times New Roman"/>
      <w:b/>
      <w:bCs/>
      <w:color w:val="1F4E79"/>
      <w:sz w:val="30"/>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ascii="Times New Roman" w:hAnsi="Times New Roman"/>
      <w:b/>
      <w:bCs/>
      <w:color w:val="444444"/>
      <w:sz w:val="26"/>
      <w:szCs w:val="26"/>
    </w:rPr>
  </w:style>
  <w:style w:type="paragraph" w:styleId="Heading3">
    <w:name w:val="heading 3"/>
    <w:basedOn w:val="Normal"/>
    <w:next w:val="Normal"/>
    <w:link w:val="Heading3Char"/>
    <w:uiPriority w:val="9"/>
    <w:unhideWhenUsed/>
    <w:qFormat/>
    <w:rsid w:val="00FC693F"/>
    <w:pPr>
      <w:keepNext/>
      <w:keepLines/>
      <w:spacing w:before="240" w:after="120"/>
      <w:outlineLvl w:val="2"/>
    </w:pPr>
    <w:rPr>
      <w:rFonts w:asciiTheme="majorHAnsi" w:eastAsiaTheme="majorEastAsia" w:hAnsiTheme="majorHAnsi" w:cstheme="majorBidi" w:ascii="Times New Roman" w:hAnsi="Times New Roman"/>
      <w:b/>
      <w:bCs/>
      <w:color w:val="444444"/>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120" w:line="240" w:lineRule="auto" w:before="240"/>
      <w:contextualSpacing/>
    </w:pPr>
    <w:rPr>
      <w:rFonts w:asciiTheme="majorHAnsi" w:eastAsiaTheme="majorEastAsia" w:hAnsiTheme="majorHAnsi" w:cstheme="majorBidi" w:ascii="Times New Roman" w:hAnsi="Times New Roman"/>
      <w:b/>
      <w:color w:val="1F4E79"/>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Reference">
    <w:name w:val="Reference"/>
    <w:pPr>
      <w:spacing w:line="480" w:lineRule="auto" w:after="0"/>
      <w:ind w:left="720" w:hanging="720"/>
    </w:pPr>
    <w:rPr>
      <w:rFonts w:ascii="Times New Roman" w:hAnsi="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Repositioning Albania for High-Value, Year-Round Tourism</dc:title>
  <dc:subject>Marketing Fundamentals detailed project report</dc:subject>
  <dc:creator>Student</dc:creator>
  <cp:keywords/>
  <dc:description>generated by python-docx</dc:description>
  <cp:lastModifiedBy/>
  <cp:revision>1</cp:revision>
  <dcterms:created xsi:type="dcterms:W3CDTF">2013-12-23T23:15:00Z</dcterms:created>
  <dcterms:modified xsi:type="dcterms:W3CDTF">2013-12-23T23:15:00Z</dcterms:modified>
  <cp:category/>
</cp:coreProperties>
</file>