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244E986C" w14:textId="77777777" w:rsidR="008A684E" w:rsidRPr="008A684E" w:rsidRDefault="008A684E" w:rsidP="008A684E">
      <w:pPr>
        <w:spacing w:line="276" w:lineRule="auto"/>
        <w:rPr>
          <w:lang w:val="en-GB"/>
        </w:rPr>
      </w:pPr>
      <w:r w:rsidRPr="008A684E">
        <w:rPr>
          <w:lang w:val="en-GB"/>
        </w:rPr>
        <w:lastRenderedPageBreak/>
        <w:t>The Global Code of Ethics for Tourism (GCET), adopted in 1999, serves as a comprehensive frame of reference for the responsible and sustainable development of world tourism (</w:t>
      </w:r>
      <w:proofErr w:type="spellStart"/>
      <w:r w:rsidRPr="008A684E">
        <w:rPr>
          <w:lang w:val="en-GB"/>
        </w:rPr>
        <w:t>Nurjaya</w:t>
      </w:r>
      <w:proofErr w:type="spellEnd"/>
      <w:r w:rsidRPr="008A684E">
        <w:rPr>
          <w:lang w:val="en-GB"/>
        </w:rPr>
        <w:t>, 2022). While the Code is a "soft law" instrument and not legally binding, its practical application by national governments offers significant pathways toward socio-economic empowerment, environmental conservation, and the protection of human rights (</w:t>
      </w:r>
      <w:proofErr w:type="spellStart"/>
      <w:r w:rsidRPr="008A684E">
        <w:rPr>
          <w:lang w:val="en-GB"/>
        </w:rPr>
        <w:t>Dharmawan</w:t>
      </w:r>
      <w:proofErr w:type="spellEnd"/>
      <w:r w:rsidRPr="008A684E">
        <w:rPr>
          <w:lang w:val="en-GB"/>
        </w:rPr>
        <w:t>, 2012). By integrating these ten principles into national policy, countries can transform tourism from a mere extractive industry into a catalyst for holistic national growth.</w:t>
      </w:r>
    </w:p>
    <w:p w14:paraId="763A31EF" w14:textId="77777777" w:rsidR="008A684E" w:rsidRPr="008A684E" w:rsidRDefault="008A684E" w:rsidP="008A684E">
      <w:pPr>
        <w:spacing w:line="276" w:lineRule="auto"/>
        <w:rPr>
          <w:lang w:val="en-GB"/>
        </w:rPr>
      </w:pPr>
      <w:r w:rsidRPr="008A684E">
        <w:rPr>
          <w:lang w:val="en-GB"/>
        </w:rPr>
        <w:t>One of the primary benefits of implementing the GCET is the socio-economic redemption of local communities. Article 5 emphasizes that local populations should be associated with tourism activities and share equitably in the economic benefits they generate (</w:t>
      </w:r>
      <w:proofErr w:type="spellStart"/>
      <w:r w:rsidRPr="008A684E">
        <w:rPr>
          <w:lang w:val="en-GB"/>
        </w:rPr>
        <w:t>Wiryawan</w:t>
      </w:r>
      <w:proofErr w:type="spellEnd"/>
      <w:r w:rsidRPr="008A684E">
        <w:rPr>
          <w:lang w:val="en-GB"/>
        </w:rPr>
        <w:t xml:space="preserve"> &amp; Jaelani, 2024). In practice, this encourages countries to move beyond "mass tourism" models that often lead to leakages where profits exit the host country. Instead, the Code promotes community-based tourism (CBT), which empowers residents to participate in decision-making and ensures the creation of direct and indirect jobs (Dangi &amp; Jamal, 2016). This localized approach fosters a sense of stewardship among populations, transforming them into active guardians of their own cultural and natural heritage (</w:t>
      </w:r>
      <w:proofErr w:type="spellStart"/>
      <w:r w:rsidRPr="008A684E">
        <w:rPr>
          <w:lang w:val="en-GB"/>
        </w:rPr>
        <w:t>Boșca</w:t>
      </w:r>
      <w:proofErr w:type="spellEnd"/>
      <w:r w:rsidRPr="008A684E">
        <w:rPr>
          <w:lang w:val="en-GB"/>
        </w:rPr>
        <w:t xml:space="preserve"> &amp; Emilian, 2024).</w:t>
      </w:r>
    </w:p>
    <w:p w14:paraId="319AA1B3" w14:textId="77777777" w:rsidR="008A684E" w:rsidRPr="008A684E" w:rsidRDefault="008A684E" w:rsidP="008A684E">
      <w:pPr>
        <w:spacing w:line="276" w:lineRule="auto"/>
        <w:rPr>
          <w:lang w:val="en-GB"/>
        </w:rPr>
      </w:pPr>
      <w:r w:rsidRPr="008A684E">
        <w:rPr>
          <w:lang w:val="en-GB"/>
        </w:rPr>
        <w:t>Furthermore, the GCET provides a vital framework for environmental stewardship. Article 3 identifies tourism as a factor of sustainable development, urging stakeholders to safeguard the natural environment to achieve continuous economic growth (</w:t>
      </w:r>
      <w:proofErr w:type="spellStart"/>
      <w:r w:rsidRPr="008A684E">
        <w:rPr>
          <w:lang w:val="en-GB"/>
        </w:rPr>
        <w:t>Nurjaya</w:t>
      </w:r>
      <w:proofErr w:type="spellEnd"/>
      <w:r w:rsidRPr="008A684E">
        <w:rPr>
          <w:lang w:val="en-GB"/>
        </w:rPr>
        <w:t xml:space="preserve">, 2022). In many developed and developing nations, practical application involves using renewable energy, implementing waste reduction systems, and managing natural resources to minimize the industry's ecological footprint (Dias et al., 2021). By adhering to these ethical standards, countries can protect biodiversity while simultaneously improving their brand image to attract a growing demographic of "environmentally conscious" </w:t>
      </w:r>
      <w:proofErr w:type="spellStart"/>
      <w:r w:rsidRPr="008A684E">
        <w:rPr>
          <w:lang w:val="en-GB"/>
        </w:rPr>
        <w:t>travelers</w:t>
      </w:r>
      <w:proofErr w:type="spellEnd"/>
      <w:r w:rsidRPr="008A684E">
        <w:rPr>
          <w:lang w:val="en-GB"/>
        </w:rPr>
        <w:t xml:space="preserve"> (Alexakis &amp; Rice, 2016).</w:t>
      </w:r>
    </w:p>
    <w:p w14:paraId="143A1DE1" w14:textId="77777777" w:rsidR="008A684E" w:rsidRPr="008A684E" w:rsidRDefault="008A684E" w:rsidP="008A684E">
      <w:pPr>
        <w:spacing w:line="276" w:lineRule="auto"/>
        <w:rPr>
          <w:lang w:val="en-GB"/>
        </w:rPr>
      </w:pPr>
      <w:r w:rsidRPr="008A684E">
        <w:rPr>
          <w:lang w:val="en-GB"/>
        </w:rPr>
        <w:t>Finally, the Code serves as a tool for international diplomacy and human rights. It promotes mutual respect between tourists and host communities, viewing travel as a "right" that should be exercised with an awareness of the dignity of others (</w:t>
      </w:r>
      <w:proofErr w:type="spellStart"/>
      <w:r w:rsidRPr="008A684E">
        <w:rPr>
          <w:lang w:val="en-GB"/>
        </w:rPr>
        <w:t>Schänzel</w:t>
      </w:r>
      <w:proofErr w:type="spellEnd"/>
      <w:r w:rsidRPr="008A684E">
        <w:rPr>
          <w:lang w:val="en-GB"/>
        </w:rPr>
        <w:t xml:space="preserve"> &amp; Apollo, 2023). Practically, this involves implementing regulations that combat the exploitation of vulnerable groups and respect indigenous rights (</w:t>
      </w:r>
      <w:proofErr w:type="spellStart"/>
      <w:r w:rsidRPr="008A684E">
        <w:rPr>
          <w:lang w:val="en-GB"/>
        </w:rPr>
        <w:t>Wiryawan</w:t>
      </w:r>
      <w:proofErr w:type="spellEnd"/>
      <w:r w:rsidRPr="008A684E">
        <w:rPr>
          <w:lang w:val="en-GB"/>
        </w:rPr>
        <w:t xml:space="preserve"> &amp; Jaelani, 2024). In conclusion, when countries move the GCET from a theoretical document to a practical policy guide, they secure long-term sustainability that balances the "hedonistic joy" of visitors with the enduring well-being of the host society (</w:t>
      </w:r>
      <w:proofErr w:type="spellStart"/>
      <w:r w:rsidRPr="008A684E">
        <w:rPr>
          <w:lang w:val="en-GB"/>
        </w:rPr>
        <w:t>Schänzel</w:t>
      </w:r>
      <w:proofErr w:type="spellEnd"/>
      <w:r w:rsidRPr="008A684E">
        <w:rPr>
          <w:lang w:val="en-GB"/>
        </w:rPr>
        <w:t xml:space="preserve"> &amp; Apollo, 2023).</w:t>
      </w:r>
    </w:p>
    <w:p w14:paraId="14991004" w14:textId="5BE9BCFE" w:rsidR="008A684E" w:rsidRDefault="008A684E" w:rsidP="008A684E">
      <w:pPr>
        <w:spacing w:line="276" w:lineRule="auto"/>
        <w:rPr>
          <w:b/>
          <w:bCs/>
          <w:lang w:val="en-GB"/>
        </w:rPr>
      </w:pPr>
    </w:p>
    <w:p w14:paraId="0D0C60A3" w14:textId="77777777" w:rsidR="008A684E" w:rsidRDefault="008A684E" w:rsidP="008A684E">
      <w:pPr>
        <w:spacing w:line="276" w:lineRule="auto"/>
        <w:rPr>
          <w:b/>
          <w:bCs/>
          <w:lang w:val="en-GB"/>
        </w:rPr>
      </w:pPr>
    </w:p>
    <w:p w14:paraId="7CA7D036" w14:textId="77777777" w:rsidR="008A684E" w:rsidRDefault="008A684E" w:rsidP="008A684E">
      <w:pPr>
        <w:spacing w:line="276" w:lineRule="auto"/>
        <w:rPr>
          <w:b/>
          <w:bCs/>
          <w:lang w:val="en-GB"/>
        </w:rPr>
      </w:pPr>
    </w:p>
    <w:p w14:paraId="04F1534D" w14:textId="77777777" w:rsidR="008A684E" w:rsidRDefault="008A684E" w:rsidP="008A684E">
      <w:pPr>
        <w:spacing w:line="276" w:lineRule="auto"/>
        <w:rPr>
          <w:b/>
          <w:bCs/>
          <w:lang w:val="en-GB"/>
        </w:rPr>
      </w:pPr>
    </w:p>
    <w:p w14:paraId="067EAD26" w14:textId="77777777" w:rsidR="008A684E" w:rsidRDefault="008A684E" w:rsidP="008A684E">
      <w:pPr>
        <w:spacing w:line="276" w:lineRule="auto"/>
        <w:rPr>
          <w:b/>
          <w:bCs/>
          <w:lang w:val="en-GB"/>
        </w:rPr>
      </w:pPr>
    </w:p>
    <w:p w14:paraId="5EA839AE" w14:textId="77777777" w:rsidR="008A684E" w:rsidRPr="008A684E" w:rsidRDefault="008A684E" w:rsidP="008A684E">
      <w:pPr>
        <w:spacing w:line="276" w:lineRule="auto"/>
        <w:rPr>
          <w:b/>
          <w:bCs/>
          <w:lang w:val="en-GB"/>
        </w:rPr>
      </w:pPr>
    </w:p>
    <w:p w14:paraId="4F0823AC" w14:textId="77777777" w:rsidR="008A684E" w:rsidRPr="008A684E" w:rsidRDefault="008A684E" w:rsidP="008A684E">
      <w:pPr>
        <w:spacing w:line="276" w:lineRule="auto"/>
        <w:rPr>
          <w:b/>
          <w:bCs/>
          <w:lang w:val="en-GB"/>
        </w:rPr>
      </w:pPr>
      <w:r w:rsidRPr="008A684E">
        <w:rPr>
          <w:b/>
          <w:bCs/>
          <w:lang w:val="en-GB"/>
        </w:rPr>
        <w:t>References</w:t>
      </w:r>
    </w:p>
    <w:p w14:paraId="064D5C7F" w14:textId="77777777" w:rsidR="008A684E" w:rsidRPr="008A684E" w:rsidRDefault="008A684E" w:rsidP="008A684E">
      <w:pPr>
        <w:spacing w:line="276" w:lineRule="auto"/>
        <w:rPr>
          <w:b/>
          <w:bCs/>
          <w:lang w:val="en-GB"/>
        </w:rPr>
      </w:pPr>
      <w:r w:rsidRPr="008A684E">
        <w:rPr>
          <w:b/>
          <w:bCs/>
          <w:lang w:val="en-GB"/>
        </w:rPr>
        <w:lastRenderedPageBreak/>
        <w:t xml:space="preserve">Alexakis, G., &amp; Rice, L. (2016). Applying the holistic conceptual conservation framework for sustainable tourism. </w:t>
      </w:r>
      <w:r w:rsidRPr="008A684E">
        <w:rPr>
          <w:b/>
          <w:bCs/>
          <w:i/>
          <w:iCs/>
          <w:lang w:val="en-GB"/>
        </w:rPr>
        <w:t>Journal of Tourism Insights</w:t>
      </w:r>
      <w:r w:rsidRPr="008A684E">
        <w:rPr>
          <w:b/>
          <w:bCs/>
          <w:lang w:val="en-GB"/>
        </w:rPr>
        <w:t xml:space="preserve">, </w:t>
      </w:r>
      <w:r w:rsidRPr="008A684E">
        <w:rPr>
          <w:b/>
          <w:bCs/>
          <w:i/>
          <w:iCs/>
          <w:lang w:val="en-GB"/>
        </w:rPr>
        <w:t>7</w:t>
      </w:r>
      <w:r w:rsidRPr="008A684E">
        <w:rPr>
          <w:b/>
          <w:bCs/>
          <w:lang w:val="en-GB"/>
        </w:rPr>
        <w:t xml:space="preserve">(1). </w:t>
      </w:r>
      <w:hyperlink r:id="rId6" w:tgtFrame="_blank" w:history="1">
        <w:r w:rsidRPr="008A684E">
          <w:rPr>
            <w:rStyle w:val="Hyperlink"/>
            <w:b/>
            <w:bCs/>
            <w:lang w:val="en-GB"/>
          </w:rPr>
          <w:t>https://doi.org/10.9707/2328-0824.1065</w:t>
        </w:r>
      </w:hyperlink>
    </w:p>
    <w:p w14:paraId="60E233E6" w14:textId="77777777" w:rsidR="008A684E" w:rsidRPr="008A684E" w:rsidRDefault="008A684E" w:rsidP="008A684E">
      <w:pPr>
        <w:spacing w:line="276" w:lineRule="auto"/>
        <w:rPr>
          <w:b/>
          <w:bCs/>
          <w:lang w:val="en-GB"/>
        </w:rPr>
      </w:pPr>
      <w:proofErr w:type="spellStart"/>
      <w:r w:rsidRPr="008A684E">
        <w:rPr>
          <w:b/>
          <w:bCs/>
          <w:lang w:val="en-GB"/>
        </w:rPr>
        <w:t>Boșca</w:t>
      </w:r>
      <w:proofErr w:type="spellEnd"/>
      <w:r w:rsidRPr="008A684E">
        <w:rPr>
          <w:b/>
          <w:bCs/>
          <w:lang w:val="en-GB"/>
        </w:rPr>
        <w:t xml:space="preserve">, L. C., &amp; Emilian, I. (2024). The overlooked issue in tourism codes of ethics: Making moral principles explicit. </w:t>
      </w:r>
      <w:r w:rsidRPr="008A684E">
        <w:rPr>
          <w:b/>
          <w:bCs/>
          <w:i/>
          <w:iCs/>
          <w:lang w:val="en-GB"/>
        </w:rPr>
        <w:t>Management Conference Proceedings</w:t>
      </w:r>
      <w:r w:rsidRPr="008A684E">
        <w:rPr>
          <w:b/>
          <w:bCs/>
          <w:lang w:val="en-GB"/>
        </w:rPr>
        <w:t xml:space="preserve">, </w:t>
      </w:r>
      <w:r w:rsidRPr="008A684E">
        <w:rPr>
          <w:b/>
          <w:bCs/>
          <w:i/>
          <w:iCs/>
          <w:lang w:val="en-GB"/>
        </w:rPr>
        <w:t>5</w:t>
      </w:r>
      <w:r w:rsidRPr="008A684E">
        <w:rPr>
          <w:b/>
          <w:bCs/>
          <w:lang w:val="en-GB"/>
        </w:rPr>
        <w:t>(1).</w:t>
      </w:r>
    </w:p>
    <w:p w14:paraId="60EDEE7F" w14:textId="77777777" w:rsidR="008A684E" w:rsidRPr="008A684E" w:rsidRDefault="008A684E" w:rsidP="008A684E">
      <w:pPr>
        <w:spacing w:line="276" w:lineRule="auto"/>
        <w:rPr>
          <w:b/>
          <w:bCs/>
          <w:lang w:val="en-GB"/>
        </w:rPr>
      </w:pPr>
      <w:r w:rsidRPr="008A684E">
        <w:rPr>
          <w:b/>
          <w:bCs/>
          <w:lang w:val="en-GB"/>
        </w:rPr>
        <w:t xml:space="preserve">Dangi, T., &amp; Jamal, T. (2016). An integrated approach to “sustainable community-based tourism”. </w:t>
      </w:r>
      <w:r w:rsidRPr="008A684E">
        <w:rPr>
          <w:b/>
          <w:bCs/>
          <w:i/>
          <w:iCs/>
          <w:lang w:val="en-GB"/>
        </w:rPr>
        <w:t>Sustainability</w:t>
      </w:r>
      <w:r w:rsidRPr="008A684E">
        <w:rPr>
          <w:b/>
          <w:bCs/>
          <w:lang w:val="en-GB"/>
        </w:rPr>
        <w:t xml:space="preserve">, </w:t>
      </w:r>
      <w:r w:rsidRPr="008A684E">
        <w:rPr>
          <w:b/>
          <w:bCs/>
          <w:i/>
          <w:iCs/>
          <w:lang w:val="en-GB"/>
        </w:rPr>
        <w:t>8</w:t>
      </w:r>
      <w:r w:rsidRPr="008A684E">
        <w:rPr>
          <w:b/>
          <w:bCs/>
          <w:lang w:val="en-GB"/>
        </w:rPr>
        <w:t xml:space="preserve">(5), 475. </w:t>
      </w:r>
      <w:hyperlink r:id="rId7" w:tgtFrame="_blank" w:history="1">
        <w:r w:rsidRPr="008A684E">
          <w:rPr>
            <w:rStyle w:val="Hyperlink"/>
            <w:b/>
            <w:bCs/>
            <w:lang w:val="en-GB"/>
          </w:rPr>
          <w:t>https://doi.org/10.3390/su8050475</w:t>
        </w:r>
      </w:hyperlink>
    </w:p>
    <w:p w14:paraId="22E36637" w14:textId="77777777" w:rsidR="008A684E" w:rsidRPr="008A684E" w:rsidRDefault="008A684E" w:rsidP="008A684E">
      <w:pPr>
        <w:spacing w:line="276" w:lineRule="auto"/>
        <w:rPr>
          <w:b/>
          <w:bCs/>
          <w:lang w:val="en-GB"/>
        </w:rPr>
      </w:pPr>
      <w:proofErr w:type="spellStart"/>
      <w:r w:rsidRPr="008A684E">
        <w:rPr>
          <w:b/>
          <w:bCs/>
          <w:lang w:val="en-GB"/>
        </w:rPr>
        <w:t>Dharmawan</w:t>
      </w:r>
      <w:proofErr w:type="spellEnd"/>
      <w:r w:rsidRPr="008A684E">
        <w:rPr>
          <w:b/>
          <w:bCs/>
          <w:lang w:val="en-GB"/>
        </w:rPr>
        <w:t xml:space="preserve">, N. K. S. (2012). Tourism and environment: Toward promoting sustainable development of tourism: A human rights perspective. </w:t>
      </w:r>
      <w:r w:rsidRPr="008A684E">
        <w:rPr>
          <w:b/>
          <w:bCs/>
          <w:i/>
          <w:iCs/>
          <w:lang w:val="en-GB"/>
        </w:rPr>
        <w:t>Indonesia Law Review</w:t>
      </w:r>
      <w:r w:rsidRPr="008A684E">
        <w:rPr>
          <w:b/>
          <w:bCs/>
          <w:lang w:val="en-GB"/>
        </w:rPr>
        <w:t xml:space="preserve">, </w:t>
      </w:r>
      <w:r w:rsidRPr="008A684E">
        <w:rPr>
          <w:b/>
          <w:bCs/>
          <w:i/>
          <w:iCs/>
          <w:lang w:val="en-GB"/>
        </w:rPr>
        <w:t>2</w:t>
      </w:r>
      <w:r w:rsidRPr="008A684E">
        <w:rPr>
          <w:b/>
          <w:bCs/>
          <w:lang w:val="en-GB"/>
        </w:rPr>
        <w:t xml:space="preserve">(1). </w:t>
      </w:r>
      <w:hyperlink r:id="rId8" w:tgtFrame="_blank" w:history="1">
        <w:r w:rsidRPr="008A684E">
          <w:rPr>
            <w:rStyle w:val="Hyperlink"/>
            <w:b/>
            <w:bCs/>
            <w:lang w:val="en-GB"/>
          </w:rPr>
          <w:t>https://doi.org/10.15742/ilrev.v2n1.10</w:t>
        </w:r>
      </w:hyperlink>
    </w:p>
    <w:p w14:paraId="08D50AED" w14:textId="77777777" w:rsidR="008A684E" w:rsidRPr="008A684E" w:rsidRDefault="008A684E" w:rsidP="008A684E">
      <w:pPr>
        <w:spacing w:line="276" w:lineRule="auto"/>
        <w:rPr>
          <w:b/>
          <w:bCs/>
          <w:lang w:val="en-GB"/>
        </w:rPr>
      </w:pPr>
      <w:r w:rsidRPr="008A684E">
        <w:rPr>
          <w:b/>
          <w:bCs/>
          <w:lang w:val="en-GB"/>
        </w:rPr>
        <w:t xml:space="preserve">Dias, Á., Aldana, I., Pereira, L., da Costa, R. L., &amp; António, N. (2021). A measure of tourist responsibility. </w:t>
      </w:r>
      <w:r w:rsidRPr="008A684E">
        <w:rPr>
          <w:b/>
          <w:bCs/>
          <w:i/>
          <w:iCs/>
          <w:lang w:val="en-GB"/>
        </w:rPr>
        <w:t>Sustainability</w:t>
      </w:r>
      <w:r w:rsidRPr="008A684E">
        <w:rPr>
          <w:b/>
          <w:bCs/>
          <w:lang w:val="en-GB"/>
        </w:rPr>
        <w:t xml:space="preserve">, </w:t>
      </w:r>
      <w:r w:rsidRPr="008A684E">
        <w:rPr>
          <w:b/>
          <w:bCs/>
          <w:i/>
          <w:iCs/>
          <w:lang w:val="en-GB"/>
        </w:rPr>
        <w:t>13</w:t>
      </w:r>
      <w:r w:rsidRPr="008A684E">
        <w:rPr>
          <w:b/>
          <w:bCs/>
          <w:lang w:val="en-GB"/>
        </w:rPr>
        <w:t xml:space="preserve">(6), 3351. </w:t>
      </w:r>
      <w:hyperlink r:id="rId9" w:tgtFrame="_blank" w:history="1">
        <w:r w:rsidRPr="008A684E">
          <w:rPr>
            <w:rStyle w:val="Hyperlink"/>
            <w:b/>
            <w:bCs/>
            <w:lang w:val="en-GB"/>
          </w:rPr>
          <w:t>https://doi.org/10.3390/su13063351</w:t>
        </w:r>
      </w:hyperlink>
    </w:p>
    <w:p w14:paraId="7010C963" w14:textId="77777777" w:rsidR="008A684E" w:rsidRPr="008A684E" w:rsidRDefault="008A684E" w:rsidP="008A684E">
      <w:pPr>
        <w:spacing w:line="276" w:lineRule="auto"/>
        <w:rPr>
          <w:b/>
          <w:bCs/>
          <w:lang w:val="en-GB"/>
        </w:rPr>
      </w:pPr>
      <w:proofErr w:type="spellStart"/>
      <w:r w:rsidRPr="008A684E">
        <w:rPr>
          <w:b/>
          <w:bCs/>
          <w:lang w:val="en-GB"/>
        </w:rPr>
        <w:t>Nurjaya</w:t>
      </w:r>
      <w:proofErr w:type="spellEnd"/>
      <w:r w:rsidRPr="008A684E">
        <w:rPr>
          <w:b/>
          <w:bCs/>
          <w:lang w:val="en-GB"/>
        </w:rPr>
        <w:t xml:space="preserve">, I. N. (2022). Legal policy of sustainable tourism development: Toward community-based tourism in Indonesia. </w:t>
      </w:r>
      <w:r w:rsidRPr="008A684E">
        <w:rPr>
          <w:b/>
          <w:bCs/>
          <w:i/>
          <w:iCs/>
          <w:lang w:val="en-GB"/>
        </w:rPr>
        <w:t>Journal of Tourism Economics and Policy</w:t>
      </w:r>
      <w:r w:rsidRPr="008A684E">
        <w:rPr>
          <w:b/>
          <w:bCs/>
          <w:lang w:val="en-GB"/>
        </w:rPr>
        <w:t xml:space="preserve">, </w:t>
      </w:r>
      <w:r w:rsidRPr="008A684E">
        <w:rPr>
          <w:b/>
          <w:bCs/>
          <w:i/>
          <w:iCs/>
          <w:lang w:val="en-GB"/>
        </w:rPr>
        <w:t>2</w:t>
      </w:r>
      <w:r w:rsidRPr="008A684E">
        <w:rPr>
          <w:b/>
          <w:bCs/>
          <w:lang w:val="en-GB"/>
        </w:rPr>
        <w:t xml:space="preserve">(3), 123–132. </w:t>
      </w:r>
      <w:hyperlink r:id="rId10" w:tgtFrame="_blank" w:history="1">
        <w:r w:rsidRPr="008A684E">
          <w:rPr>
            <w:rStyle w:val="Hyperlink"/>
            <w:b/>
            <w:bCs/>
            <w:lang w:val="en-GB"/>
          </w:rPr>
          <w:t>https://doi.org/10.38142/jtep.v2i3.404</w:t>
        </w:r>
      </w:hyperlink>
    </w:p>
    <w:p w14:paraId="4F0ACA02" w14:textId="77777777" w:rsidR="008A684E" w:rsidRPr="008A684E" w:rsidRDefault="008A684E" w:rsidP="008A684E">
      <w:pPr>
        <w:spacing w:line="276" w:lineRule="auto"/>
        <w:rPr>
          <w:b/>
          <w:bCs/>
          <w:lang w:val="en-GB"/>
        </w:rPr>
      </w:pPr>
      <w:r w:rsidRPr="008A684E">
        <w:rPr>
          <w:b/>
          <w:bCs/>
          <w:lang w:val="en-GB"/>
        </w:rPr>
        <w:t xml:space="preserve">Schänzel, H., &amp; Apollo, M. (2023). Specialty grand challenge: Wherever tourism arrives, society notes it first! </w:t>
      </w:r>
      <w:r w:rsidRPr="008A684E">
        <w:rPr>
          <w:b/>
          <w:bCs/>
          <w:i/>
          <w:iCs/>
          <w:lang w:val="en-GB"/>
        </w:rPr>
        <w:t>Frontiers in Sustainable Tourism</w:t>
      </w:r>
      <w:r w:rsidRPr="008A684E">
        <w:rPr>
          <w:b/>
          <w:bCs/>
          <w:lang w:val="en-GB"/>
        </w:rPr>
        <w:t xml:space="preserve">, </w:t>
      </w:r>
      <w:r w:rsidRPr="008A684E">
        <w:rPr>
          <w:b/>
          <w:bCs/>
          <w:i/>
          <w:iCs/>
          <w:lang w:val="en-GB"/>
        </w:rPr>
        <w:t>2</w:t>
      </w:r>
      <w:r w:rsidRPr="008A684E">
        <w:rPr>
          <w:b/>
          <w:bCs/>
          <w:lang w:val="en-GB"/>
        </w:rPr>
        <w:t xml:space="preserve">. </w:t>
      </w:r>
      <w:hyperlink r:id="rId11" w:tgtFrame="_blank" w:history="1">
        <w:r w:rsidRPr="008A684E">
          <w:rPr>
            <w:rStyle w:val="Hyperlink"/>
            <w:b/>
            <w:bCs/>
            <w:lang w:val="en-GB"/>
          </w:rPr>
          <w:t>https://doi.org/10.3389/frsut.2023.1341765</w:t>
        </w:r>
      </w:hyperlink>
    </w:p>
    <w:p w14:paraId="6BF4900E" w14:textId="77777777" w:rsidR="008A684E" w:rsidRPr="008A684E" w:rsidRDefault="008A684E" w:rsidP="008A684E">
      <w:pPr>
        <w:spacing w:line="276" w:lineRule="auto"/>
        <w:rPr>
          <w:b/>
          <w:bCs/>
          <w:lang w:val="en-GB"/>
        </w:rPr>
      </w:pPr>
      <w:proofErr w:type="spellStart"/>
      <w:r w:rsidRPr="008A684E">
        <w:rPr>
          <w:b/>
          <w:bCs/>
          <w:lang w:val="en-GB"/>
        </w:rPr>
        <w:t>Wiryawan</w:t>
      </w:r>
      <w:proofErr w:type="spellEnd"/>
      <w:r w:rsidRPr="008A684E">
        <w:rPr>
          <w:b/>
          <w:bCs/>
          <w:lang w:val="en-GB"/>
        </w:rPr>
        <w:t xml:space="preserve">, I. W. G., &amp; Jaelani, A. K. (2024). Global code of ethic for tourism: The challenges for Indonesian tourism workers in the future. </w:t>
      </w:r>
      <w:r w:rsidRPr="008A684E">
        <w:rPr>
          <w:b/>
          <w:bCs/>
          <w:i/>
          <w:iCs/>
          <w:lang w:val="en-GB"/>
        </w:rPr>
        <w:t>Advances in Social Science, Education and Humanities Research</w:t>
      </w:r>
      <w:r w:rsidRPr="008A684E">
        <w:rPr>
          <w:b/>
          <w:bCs/>
          <w:lang w:val="en-GB"/>
        </w:rPr>
        <w:t xml:space="preserve">. </w:t>
      </w:r>
      <w:hyperlink r:id="rId12" w:tgtFrame="_blank" w:history="1">
        <w:r w:rsidRPr="008A684E">
          <w:rPr>
            <w:rStyle w:val="Hyperlink"/>
            <w:b/>
            <w:bCs/>
            <w:lang w:val="en-GB"/>
          </w:rPr>
          <w:t>https://doi.org/10.2991/978-2-38476-315-3_93</w:t>
        </w:r>
      </w:hyperlink>
    </w:p>
    <w:p w14:paraId="5DB7D913" w14:textId="77777777" w:rsidR="008039ED" w:rsidRPr="00903466" w:rsidRDefault="008039ED" w:rsidP="008A684E">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E5F7B82-36BD-459A-AE4D-42CCFE4F4F3C}"/>
    <w:embedBold r:id="rId2" w:fontKey="{F50DF4B4-54AD-4844-B2FB-ADEE669BE063}"/>
    <w:embedBoldItalic r:id="rId3" w:fontKey="{B096D08D-6ECC-4B6E-94B7-A97479677F2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C8A26ED-B487-46F9-99A8-0709317B0A08}"/>
  </w:font>
  <w:font w:name="Calibri Light">
    <w:panose1 w:val="020F0302020204030204"/>
    <w:charset w:val="00"/>
    <w:family w:val="swiss"/>
    <w:pitch w:val="variable"/>
    <w:sig w:usb0="E4002EFF" w:usb1="C000247B" w:usb2="00000009" w:usb3="00000000" w:csb0="000001FF" w:csb1="00000000"/>
    <w:embedRegular r:id="rId5" w:fontKey="{6B4C14FA-F165-4451-991C-3520609E241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6C5B28"/>
    <w:rsid w:val="00716E23"/>
    <w:rsid w:val="008039ED"/>
    <w:rsid w:val="00844EC2"/>
    <w:rsid w:val="008516FE"/>
    <w:rsid w:val="008A684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doi.org/10.15742/ilrev.v2n1.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90/su8050475" TargetMode="External"/><Relationship Id="rId12" Type="http://schemas.openxmlformats.org/officeDocument/2006/relationships/hyperlink" Target="https://www.google.com/search?q=https://doi.org/10.2991/978-2-38476-315-3_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doi.org/10.9707/2328-0824.1065" TargetMode="External"/><Relationship Id="rId11" Type="http://schemas.openxmlformats.org/officeDocument/2006/relationships/hyperlink" Target="https://www.google.com/search?q=https://doi.org/10.3389/frsut.2023.1341765" TargetMode="External"/><Relationship Id="rId5" Type="http://schemas.openxmlformats.org/officeDocument/2006/relationships/image" Target="media/image1.png"/><Relationship Id="rId10" Type="http://schemas.openxmlformats.org/officeDocument/2006/relationships/hyperlink" Target="https://www.google.com/search?q=https://doi.org/10.38142/jtep.v2i3.404" TargetMode="External"/><Relationship Id="rId4" Type="http://schemas.openxmlformats.org/officeDocument/2006/relationships/webSettings" Target="webSettings.xml"/><Relationship Id="rId9" Type="http://schemas.openxmlformats.org/officeDocument/2006/relationships/hyperlink" Target="https://doi.org/10.3390/su13063351"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784</Words>
  <Characters>4471</Characters>
  <Application>Microsoft Office Word</Application>
  <DocSecurity>0</DocSecurity>
  <Lines>37</Lines>
  <Paragraphs>10</Paragraphs>
  <ScaleCrop>false</ScaleCrop>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2026-01-27T04:55:00Z</dcterms:created>
  <dcterms:modified xsi:type="dcterms:W3CDTF">2026-01-27T04:55:00Z</dcterms:modified>
</cp:coreProperties>
</file>