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51771667" w14:textId="77777777" w:rsidR="00DF7E49" w:rsidRDefault="00DF7E49" w:rsidP="00F61E85">
      <w:pPr>
        <w:pStyle w:val="ListParagraph"/>
        <w:spacing w:line="276" w:lineRule="auto"/>
        <w:ind w:left="0"/>
        <w:rPr>
          <w:lang w:val="en-US"/>
        </w:rPr>
      </w:pPr>
    </w:p>
    <w:p w14:paraId="553D51BF" w14:textId="3AB9F56B" w:rsidR="0040757F" w:rsidRPr="0040757F" w:rsidRDefault="0040757F" w:rsidP="0040757F">
      <w:pPr>
        <w:pStyle w:val="ListParagraph"/>
        <w:spacing w:line="276" w:lineRule="auto"/>
        <w:rPr>
          <w:lang w:val="en-GB"/>
        </w:rPr>
      </w:pPr>
      <w:r w:rsidRPr="0040757F">
        <w:rPr>
          <w:lang w:val="en-GB"/>
        </w:rPr>
        <w:lastRenderedPageBreak/>
        <w:t>.</w:t>
      </w:r>
    </w:p>
    <w:p w14:paraId="2C760087" w14:textId="77777777" w:rsidR="0040757F" w:rsidRPr="0040757F" w:rsidRDefault="0040757F" w:rsidP="0040757F">
      <w:pPr>
        <w:pStyle w:val="ListParagraph"/>
        <w:spacing w:line="276" w:lineRule="auto"/>
        <w:rPr>
          <w:b/>
          <w:bCs/>
          <w:lang w:val="en-GB"/>
        </w:rPr>
      </w:pPr>
      <w:r w:rsidRPr="0040757F">
        <w:rPr>
          <w:b/>
          <w:bCs/>
          <w:lang w:val="en-GB"/>
        </w:rPr>
        <w:t>Part 1: Definition of Key Terms</w:t>
      </w:r>
    </w:p>
    <w:p w14:paraId="45FF0359" w14:textId="77777777" w:rsidR="0040757F" w:rsidRPr="0040757F" w:rsidRDefault="0040757F" w:rsidP="0040757F">
      <w:pPr>
        <w:pStyle w:val="ListParagraph"/>
        <w:spacing w:line="276" w:lineRule="auto"/>
        <w:rPr>
          <w:b/>
          <w:bCs/>
          <w:lang w:val="en-GB"/>
        </w:rPr>
      </w:pPr>
      <w:r w:rsidRPr="0040757F">
        <w:rPr>
          <w:b/>
          <w:bCs/>
          <w:lang w:val="en-GB"/>
        </w:rPr>
        <w:t>1. Stakeholder</w:t>
      </w:r>
    </w:p>
    <w:p w14:paraId="63305209" w14:textId="77777777" w:rsidR="0040757F" w:rsidRPr="0040757F" w:rsidRDefault="0040757F" w:rsidP="0040757F">
      <w:pPr>
        <w:pStyle w:val="ListParagraph"/>
        <w:spacing w:line="276" w:lineRule="auto"/>
        <w:rPr>
          <w:lang w:val="en-GB"/>
        </w:rPr>
      </w:pPr>
      <w:r w:rsidRPr="0040757F">
        <w:rPr>
          <w:lang w:val="en-GB"/>
        </w:rPr>
        <w:t xml:space="preserve">A </w:t>
      </w:r>
      <w:r w:rsidRPr="0040757F">
        <w:rPr>
          <w:b/>
          <w:bCs/>
          <w:lang w:val="en-GB"/>
        </w:rPr>
        <w:t>stakeholder</w:t>
      </w:r>
      <w:r w:rsidRPr="0040757F">
        <w:rPr>
          <w:lang w:val="en-GB"/>
        </w:rPr>
        <w:t xml:space="preserve"> encompasses any entity, private group, or individual whose activities intersect with or are affected by a heritage property's operation. Examples include international tourism networks, regional travel boards, scholarly researchers, and surrounding commercial enterprises. While stakeholders maintain a functional or financial interest in how the site is run and require periodic consultation, they possess no formal or ancestral land titles over the cultural resources themselves (Chen &amp; Li, 2021).</w:t>
      </w:r>
    </w:p>
    <w:p w14:paraId="4FC801E7" w14:textId="77777777" w:rsidR="0040757F" w:rsidRPr="0040757F" w:rsidRDefault="0040757F" w:rsidP="0040757F">
      <w:pPr>
        <w:pStyle w:val="ListParagraph"/>
        <w:spacing w:line="276" w:lineRule="auto"/>
        <w:rPr>
          <w:b/>
          <w:bCs/>
          <w:lang w:val="en-GB"/>
        </w:rPr>
      </w:pPr>
      <w:r w:rsidRPr="0040757F">
        <w:rPr>
          <w:b/>
          <w:bCs/>
          <w:lang w:val="en-GB"/>
        </w:rPr>
        <w:t>2. Rights Holder</w:t>
      </w:r>
    </w:p>
    <w:p w14:paraId="46FDE491" w14:textId="77777777" w:rsidR="0040757F" w:rsidRPr="0040757F" w:rsidRDefault="0040757F" w:rsidP="0040757F">
      <w:pPr>
        <w:pStyle w:val="ListParagraph"/>
        <w:spacing w:line="276" w:lineRule="auto"/>
        <w:rPr>
          <w:lang w:val="en-GB"/>
        </w:rPr>
      </w:pPr>
      <w:r w:rsidRPr="0040757F">
        <w:rPr>
          <w:lang w:val="en-GB"/>
        </w:rPr>
        <w:t xml:space="preserve">A </w:t>
      </w:r>
      <w:r w:rsidRPr="0040757F">
        <w:rPr>
          <w:b/>
          <w:bCs/>
          <w:lang w:val="en-GB"/>
        </w:rPr>
        <w:t>rights holder</w:t>
      </w:r>
      <w:r w:rsidRPr="0040757F">
        <w:rPr>
          <w:lang w:val="en-GB"/>
        </w:rPr>
        <w:t xml:space="preserve"> possesses distinct, legally enforceable, or recognized customary rights directly linked to a heritage resource. This framework specifically guards the sovereignty and legal position of Indigenous groups and local traditional owners whose ancestral tenure is codified through treaties, land claims, or statutory constitutional law (Bille Larsen, 2022). Heritage management protocols dictate that rights holders are equal co-owners whose explicit, free, prior, and informed consent (FPIC) is mandatory for any administrative action, setting them apart from general stakeholders.</w:t>
      </w:r>
    </w:p>
    <w:p w14:paraId="15366CDD" w14:textId="77777777" w:rsidR="0040757F" w:rsidRPr="0040757F" w:rsidRDefault="0040757F" w:rsidP="0040757F">
      <w:pPr>
        <w:pStyle w:val="ListParagraph"/>
        <w:spacing w:line="276" w:lineRule="auto"/>
        <w:rPr>
          <w:b/>
          <w:bCs/>
          <w:lang w:val="en-GB"/>
        </w:rPr>
      </w:pPr>
      <w:r w:rsidRPr="0040757F">
        <w:rPr>
          <w:b/>
          <w:bCs/>
          <w:lang w:val="en-GB"/>
        </w:rPr>
        <w:t>3. People-</w:t>
      </w:r>
      <w:proofErr w:type="spellStart"/>
      <w:r w:rsidRPr="0040757F">
        <w:rPr>
          <w:b/>
          <w:bCs/>
          <w:lang w:val="en-GB"/>
        </w:rPr>
        <w:t>Centered</w:t>
      </w:r>
      <w:proofErr w:type="spellEnd"/>
      <w:r w:rsidRPr="0040757F">
        <w:rPr>
          <w:b/>
          <w:bCs/>
          <w:lang w:val="en-GB"/>
        </w:rPr>
        <w:t xml:space="preserve"> Heritage Management</w:t>
      </w:r>
    </w:p>
    <w:p w14:paraId="63FB1A1F" w14:textId="77777777" w:rsidR="0040757F" w:rsidRPr="0040757F" w:rsidRDefault="0040757F" w:rsidP="0040757F">
      <w:pPr>
        <w:pStyle w:val="ListParagraph"/>
        <w:spacing w:line="276" w:lineRule="auto"/>
        <w:rPr>
          <w:lang w:val="en-GB"/>
        </w:rPr>
      </w:pPr>
      <w:r w:rsidRPr="0040757F">
        <w:rPr>
          <w:lang w:val="en-GB"/>
        </w:rPr>
        <w:t>This model shifts the primary core of conservation from strictly guarding physical monuments to actively sustaining the long-term relationships between communities and their historic landscapes. It replaces top-down institutional control with bottom-up public participation, recognizing heritage as a dynamic living mechanism rather than a static historical artifact (Chen &amp; Li, 2021). The approach ensures that nearby communities are central actors in managing the space while directly deriving economic and social equity from its preservation.</w:t>
      </w:r>
    </w:p>
    <w:p w14:paraId="33260E2D" w14:textId="77777777" w:rsidR="0040757F" w:rsidRPr="0040757F" w:rsidRDefault="0040757F" w:rsidP="0040757F">
      <w:pPr>
        <w:pStyle w:val="ListParagraph"/>
        <w:spacing w:line="276" w:lineRule="auto"/>
        <w:rPr>
          <w:b/>
          <w:bCs/>
          <w:lang w:val="en-GB"/>
        </w:rPr>
      </w:pPr>
      <w:r w:rsidRPr="0040757F">
        <w:rPr>
          <w:b/>
          <w:bCs/>
          <w:lang w:val="en-GB"/>
        </w:rPr>
        <w:t>4. Capacity Building</w:t>
      </w:r>
    </w:p>
    <w:p w14:paraId="55FA91F0" w14:textId="77777777" w:rsidR="0040757F" w:rsidRPr="0040757F" w:rsidRDefault="0040757F" w:rsidP="0040757F">
      <w:pPr>
        <w:pStyle w:val="ListParagraph"/>
        <w:spacing w:line="276" w:lineRule="auto"/>
        <w:rPr>
          <w:lang w:val="en-GB"/>
        </w:rPr>
      </w:pPr>
      <w:r w:rsidRPr="0040757F">
        <w:rPr>
          <w:lang w:val="en-GB"/>
        </w:rPr>
        <w:t xml:space="preserve">In heritage governance, </w:t>
      </w:r>
      <w:r w:rsidRPr="0040757F">
        <w:rPr>
          <w:b/>
          <w:bCs/>
          <w:lang w:val="en-GB"/>
        </w:rPr>
        <w:t>capacity building</w:t>
      </w:r>
      <w:r w:rsidRPr="0040757F">
        <w:rPr>
          <w:lang w:val="en-GB"/>
        </w:rPr>
        <w:t xml:space="preserve"> represents a comprehensive process of upgrading the professional skills, legislative tools, financial resources, and institutional abilities of all associated actors. Rather than limiting advanced educational training to elite scientific organizations, modern capacity building targets the operational empowerment of local rightsholders and citizen groups, allowing them to manage, interpret, and defend their heritage resources autonomously over time. </w:t>
      </w:r>
    </w:p>
    <w:p w14:paraId="08BD89DE" w14:textId="77777777" w:rsidR="0040757F" w:rsidRPr="0040757F" w:rsidRDefault="0040757F" w:rsidP="0040757F">
      <w:pPr>
        <w:pStyle w:val="ListParagraph"/>
        <w:spacing w:line="276" w:lineRule="auto"/>
        <w:rPr>
          <w:b/>
          <w:bCs/>
          <w:lang w:val="en-GB"/>
        </w:rPr>
      </w:pPr>
      <w:r w:rsidRPr="0040757F">
        <w:rPr>
          <w:b/>
          <w:bCs/>
          <w:lang w:val="en-GB"/>
        </w:rPr>
        <w:t>Part 2: Heritage Site Analysis – Kakadu National Park</w:t>
      </w:r>
    </w:p>
    <w:p w14:paraId="6A5ECFC7" w14:textId="77777777" w:rsidR="0040757F" w:rsidRPr="0040757F" w:rsidRDefault="0040757F" w:rsidP="0040757F">
      <w:pPr>
        <w:pStyle w:val="ListParagraph"/>
        <w:spacing w:line="276" w:lineRule="auto"/>
        <w:rPr>
          <w:b/>
          <w:bCs/>
          <w:lang w:val="en-GB"/>
        </w:rPr>
      </w:pPr>
      <w:r w:rsidRPr="0040757F">
        <w:rPr>
          <w:b/>
          <w:bCs/>
          <w:lang w:val="en-GB"/>
        </w:rPr>
        <w:t>Management Approach Analysis: A Transition from Expert-</w:t>
      </w:r>
      <w:proofErr w:type="spellStart"/>
      <w:r w:rsidRPr="0040757F">
        <w:rPr>
          <w:b/>
          <w:bCs/>
          <w:lang w:val="en-GB"/>
        </w:rPr>
        <w:t>Centered</w:t>
      </w:r>
      <w:proofErr w:type="spellEnd"/>
      <w:r w:rsidRPr="0040757F">
        <w:rPr>
          <w:b/>
          <w:bCs/>
          <w:lang w:val="en-GB"/>
        </w:rPr>
        <w:t xml:space="preserve"> to Co-Managed Rights-Based Care</w:t>
      </w:r>
    </w:p>
    <w:p w14:paraId="52560618" w14:textId="77777777" w:rsidR="0040757F" w:rsidRPr="0040757F" w:rsidRDefault="0040757F" w:rsidP="0040757F">
      <w:pPr>
        <w:pStyle w:val="ListParagraph"/>
        <w:spacing w:line="276" w:lineRule="auto"/>
        <w:rPr>
          <w:lang w:val="en-GB"/>
        </w:rPr>
      </w:pPr>
      <w:r w:rsidRPr="0040757F">
        <w:rPr>
          <w:b/>
          <w:bCs/>
          <w:lang w:val="en-GB"/>
        </w:rPr>
        <w:t>Kakadu National Park</w:t>
      </w:r>
      <w:r w:rsidRPr="0040757F">
        <w:rPr>
          <w:lang w:val="en-GB"/>
        </w:rPr>
        <w:t xml:space="preserve"> in Australia represents a premier global case study for observing the practical evolution from an </w:t>
      </w:r>
      <w:r w:rsidRPr="0040757F">
        <w:rPr>
          <w:b/>
          <w:bCs/>
          <w:lang w:val="en-GB"/>
        </w:rPr>
        <w:t>expert-</w:t>
      </w:r>
      <w:proofErr w:type="spellStart"/>
      <w:r w:rsidRPr="0040757F">
        <w:rPr>
          <w:b/>
          <w:bCs/>
          <w:lang w:val="en-GB"/>
        </w:rPr>
        <w:t>centered</w:t>
      </w:r>
      <w:proofErr w:type="spellEnd"/>
      <w:r w:rsidRPr="0040757F">
        <w:rPr>
          <w:lang w:val="en-GB"/>
        </w:rPr>
        <w:t xml:space="preserve"> heritage system toward a </w:t>
      </w:r>
      <w:r w:rsidRPr="0040757F">
        <w:rPr>
          <w:lang w:val="en-GB"/>
        </w:rPr>
        <w:lastRenderedPageBreak/>
        <w:t xml:space="preserve">progressive, yet highly contested, </w:t>
      </w:r>
      <w:r w:rsidRPr="0040757F">
        <w:rPr>
          <w:b/>
          <w:bCs/>
          <w:lang w:val="en-GB"/>
        </w:rPr>
        <w:t>people-</w:t>
      </w:r>
      <w:proofErr w:type="spellStart"/>
      <w:r w:rsidRPr="0040757F">
        <w:rPr>
          <w:b/>
          <w:bCs/>
          <w:lang w:val="en-GB"/>
        </w:rPr>
        <w:t>centered</w:t>
      </w:r>
      <w:proofErr w:type="spellEnd"/>
      <w:r w:rsidRPr="0040757F">
        <w:rPr>
          <w:lang w:val="en-GB"/>
        </w:rPr>
        <w:t xml:space="preserve"> framework based on joint management.</w:t>
      </w:r>
    </w:p>
    <w:p w14:paraId="4934A9C6" w14:textId="77777777" w:rsidR="0040757F" w:rsidRPr="0040757F" w:rsidRDefault="0040757F" w:rsidP="0040757F">
      <w:pPr>
        <w:pStyle w:val="ListParagraph"/>
        <w:spacing w:line="276" w:lineRule="auto"/>
        <w:rPr>
          <w:lang w:val="en-GB"/>
        </w:rPr>
      </w:pPr>
      <w:r w:rsidRPr="0040757F">
        <w:rPr>
          <w:lang w:val="en-GB"/>
        </w:rPr>
        <w:t>Historically, the park's early administrative foundation leaned toward an expert-</w:t>
      </w:r>
      <w:proofErr w:type="spellStart"/>
      <w:r w:rsidRPr="0040757F">
        <w:rPr>
          <w:lang w:val="en-GB"/>
        </w:rPr>
        <w:t>centered</w:t>
      </w:r>
      <w:proofErr w:type="spellEnd"/>
      <w:r w:rsidRPr="0040757F">
        <w:rPr>
          <w:lang w:val="en-GB"/>
        </w:rPr>
        <w:t xml:space="preserve"> paradigm. Government conservationists and international naturalists dictated zoning restrictions, environmental preservation metrics, and archaeological mapping with minimal consultation from the region's Bininj/</w:t>
      </w:r>
      <w:proofErr w:type="spellStart"/>
      <w:r w:rsidRPr="0040757F">
        <w:rPr>
          <w:lang w:val="en-GB"/>
        </w:rPr>
        <w:t>Mungguy</w:t>
      </w:r>
      <w:proofErr w:type="spellEnd"/>
      <w:r w:rsidRPr="0040757F">
        <w:rPr>
          <w:lang w:val="en-GB"/>
        </w:rPr>
        <w:t xml:space="preserve"> traditional owners. The landscape was treated as a pristine wilderness requiring scientific management, which often ignored or undervalued the deeply ingrained ecological practices of the indigenous population.</w:t>
      </w:r>
    </w:p>
    <w:p w14:paraId="0461EFB8" w14:textId="77777777" w:rsidR="0040757F" w:rsidRPr="0040757F" w:rsidRDefault="0040757F" w:rsidP="0040757F">
      <w:pPr>
        <w:pStyle w:val="ListParagraph"/>
        <w:spacing w:line="276" w:lineRule="auto"/>
        <w:rPr>
          <w:lang w:val="en-GB"/>
        </w:rPr>
      </w:pPr>
      <w:r w:rsidRPr="0040757F">
        <w:rPr>
          <w:lang w:val="en-GB"/>
        </w:rPr>
        <w:t xml:space="preserve">Over the last few decades, Kakadu shifted into a highly structured </w:t>
      </w:r>
      <w:r w:rsidRPr="0040757F">
        <w:rPr>
          <w:b/>
          <w:bCs/>
          <w:lang w:val="en-GB"/>
        </w:rPr>
        <w:t>values-based framework</w:t>
      </w:r>
      <w:r w:rsidRPr="0040757F">
        <w:rPr>
          <w:lang w:val="en-GB"/>
        </w:rPr>
        <w:t xml:space="preserve"> that successfully moved into a </w:t>
      </w:r>
      <w:r w:rsidRPr="0040757F">
        <w:rPr>
          <w:b/>
          <w:bCs/>
          <w:lang w:val="en-GB"/>
        </w:rPr>
        <w:t>people-</w:t>
      </w:r>
      <w:proofErr w:type="spellStart"/>
      <w:r w:rsidRPr="0040757F">
        <w:rPr>
          <w:b/>
          <w:bCs/>
          <w:lang w:val="en-GB"/>
        </w:rPr>
        <w:t>centered</w:t>
      </w:r>
      <w:proofErr w:type="spellEnd"/>
      <w:r w:rsidRPr="0040757F">
        <w:rPr>
          <w:b/>
          <w:bCs/>
          <w:lang w:val="en-GB"/>
        </w:rPr>
        <w:t xml:space="preserve"> model</w:t>
      </w:r>
      <w:r w:rsidRPr="0040757F">
        <w:rPr>
          <w:lang w:val="en-GB"/>
        </w:rPr>
        <w:t xml:space="preserve"> through an official joint-management system.</w:t>
      </w:r>
    </w:p>
    <w:p w14:paraId="3C3610B4" w14:textId="77777777" w:rsidR="0040757F" w:rsidRPr="0040757F" w:rsidRDefault="0040757F" w:rsidP="0040757F">
      <w:pPr>
        <w:pStyle w:val="ListParagraph"/>
        <w:numPr>
          <w:ilvl w:val="0"/>
          <w:numId w:val="19"/>
        </w:numPr>
        <w:spacing w:line="276" w:lineRule="auto"/>
        <w:rPr>
          <w:lang w:val="en-GB"/>
        </w:rPr>
      </w:pPr>
      <w:r w:rsidRPr="0040757F">
        <w:rPr>
          <w:b/>
          <w:bCs/>
          <w:lang w:val="en-GB"/>
        </w:rPr>
        <w:t>The Co-Management Model:</w:t>
      </w:r>
      <w:r w:rsidRPr="0040757F">
        <w:rPr>
          <w:lang w:val="en-GB"/>
        </w:rPr>
        <w:t xml:space="preserve"> Today, the park is explicitly co-managed by Parks Australia alongside a Board of Management that maintains an absolute majority of Aboriginal traditional owners. This structure treats the Bininj/</w:t>
      </w:r>
      <w:proofErr w:type="spellStart"/>
      <w:r w:rsidRPr="0040757F">
        <w:rPr>
          <w:lang w:val="en-GB"/>
        </w:rPr>
        <w:t>Mungguy</w:t>
      </w:r>
      <w:proofErr w:type="spellEnd"/>
      <w:r w:rsidRPr="0040757F">
        <w:rPr>
          <w:lang w:val="en-GB"/>
        </w:rPr>
        <w:t xml:space="preserve"> not as passive stakeholders, but as primary rights holders whose living culture, traditional land management (such as systematic fire stick farming), and sacred dreamtime sites represent the core values of Kakadu's UNESCO mixed heritage status (Bille Larsen, 2022).</w:t>
      </w:r>
    </w:p>
    <w:p w14:paraId="012B9F56" w14:textId="77777777" w:rsidR="0040757F" w:rsidRPr="0040757F" w:rsidRDefault="0040757F" w:rsidP="0040757F">
      <w:pPr>
        <w:pStyle w:val="ListParagraph"/>
        <w:numPr>
          <w:ilvl w:val="0"/>
          <w:numId w:val="19"/>
        </w:numPr>
        <w:spacing w:line="276" w:lineRule="auto"/>
        <w:rPr>
          <w:lang w:val="en-GB"/>
        </w:rPr>
      </w:pPr>
      <w:r w:rsidRPr="0040757F">
        <w:rPr>
          <w:b/>
          <w:bCs/>
          <w:lang w:val="en-GB"/>
        </w:rPr>
        <w:t>The Living Reality:</w:t>
      </w:r>
      <w:r w:rsidRPr="0040757F">
        <w:rPr>
          <w:lang w:val="en-GB"/>
        </w:rPr>
        <w:t xml:space="preserve"> Despite this progressive shift, maintaining a pure people-</w:t>
      </w:r>
      <w:proofErr w:type="spellStart"/>
      <w:r w:rsidRPr="0040757F">
        <w:rPr>
          <w:lang w:val="en-GB"/>
        </w:rPr>
        <w:t>centered</w:t>
      </w:r>
      <w:proofErr w:type="spellEnd"/>
      <w:r w:rsidRPr="0040757F">
        <w:rPr>
          <w:lang w:val="en-GB"/>
        </w:rPr>
        <w:t xml:space="preserve"> approach remains challenging. Operational conflicts frequently occur between institutional conservation experts focusing on tourism safety and infrastructure, and traditional owners who prioritize spiritual land obligations and localized cultural restrictions.</w:t>
      </w:r>
    </w:p>
    <w:p w14:paraId="018C66D6" w14:textId="77777777" w:rsidR="0040757F" w:rsidRPr="0040757F" w:rsidRDefault="0040757F" w:rsidP="0040757F">
      <w:pPr>
        <w:pStyle w:val="ListParagraph"/>
        <w:spacing w:line="276" w:lineRule="auto"/>
        <w:rPr>
          <w:lang w:val="en-GB"/>
        </w:rPr>
      </w:pPr>
      <w:r w:rsidRPr="0040757F">
        <w:rPr>
          <w:lang w:val="en-GB"/>
        </w:rPr>
        <w:t xml:space="preserve">Kakadu demonstrates that while a site can successfully enshrine a </w:t>
      </w:r>
      <w:r w:rsidRPr="0040757F">
        <w:rPr>
          <w:b/>
          <w:bCs/>
          <w:lang w:val="en-GB"/>
        </w:rPr>
        <w:t>people-</w:t>
      </w:r>
      <w:proofErr w:type="spellStart"/>
      <w:r w:rsidRPr="0040757F">
        <w:rPr>
          <w:b/>
          <w:bCs/>
          <w:lang w:val="en-GB"/>
        </w:rPr>
        <w:t>centered</w:t>
      </w:r>
      <w:proofErr w:type="spellEnd"/>
      <w:r w:rsidRPr="0040757F">
        <w:rPr>
          <w:lang w:val="en-GB"/>
        </w:rPr>
        <w:t xml:space="preserve"> framework through legal co-governance, balancing the structural demands of international tourism with the sovereignty of traditional rights holders remains an active process of negotiation.</w:t>
      </w:r>
    </w:p>
    <w:p w14:paraId="7A9EB016" w14:textId="77777777" w:rsidR="0040757F" w:rsidRDefault="0040757F" w:rsidP="0040757F">
      <w:pPr>
        <w:pStyle w:val="ListParagraph"/>
        <w:spacing w:line="276" w:lineRule="auto"/>
        <w:rPr>
          <w:b/>
          <w:bCs/>
          <w:lang w:val="en-GB"/>
        </w:rPr>
      </w:pPr>
    </w:p>
    <w:p w14:paraId="18D8E709" w14:textId="77777777" w:rsidR="0040757F" w:rsidRDefault="0040757F" w:rsidP="0040757F">
      <w:pPr>
        <w:pStyle w:val="ListParagraph"/>
        <w:spacing w:line="276" w:lineRule="auto"/>
        <w:rPr>
          <w:b/>
          <w:bCs/>
          <w:lang w:val="en-GB"/>
        </w:rPr>
      </w:pPr>
    </w:p>
    <w:p w14:paraId="053CF109" w14:textId="77777777" w:rsidR="0040757F" w:rsidRDefault="0040757F" w:rsidP="0040757F">
      <w:pPr>
        <w:pStyle w:val="ListParagraph"/>
        <w:spacing w:line="276" w:lineRule="auto"/>
        <w:rPr>
          <w:b/>
          <w:bCs/>
          <w:lang w:val="en-GB"/>
        </w:rPr>
      </w:pPr>
    </w:p>
    <w:p w14:paraId="6C28C4B5" w14:textId="77777777" w:rsidR="0040757F" w:rsidRDefault="0040757F" w:rsidP="0040757F">
      <w:pPr>
        <w:pStyle w:val="ListParagraph"/>
        <w:spacing w:line="276" w:lineRule="auto"/>
        <w:rPr>
          <w:b/>
          <w:bCs/>
          <w:lang w:val="en-GB"/>
        </w:rPr>
      </w:pPr>
    </w:p>
    <w:p w14:paraId="2AE73447" w14:textId="77777777" w:rsidR="0040757F" w:rsidRDefault="0040757F" w:rsidP="0040757F">
      <w:pPr>
        <w:pStyle w:val="ListParagraph"/>
        <w:spacing w:line="276" w:lineRule="auto"/>
        <w:rPr>
          <w:b/>
          <w:bCs/>
          <w:lang w:val="en-GB"/>
        </w:rPr>
      </w:pPr>
    </w:p>
    <w:p w14:paraId="18A67DE0" w14:textId="77777777" w:rsidR="0040757F" w:rsidRDefault="0040757F" w:rsidP="0040757F">
      <w:pPr>
        <w:pStyle w:val="ListParagraph"/>
        <w:spacing w:line="276" w:lineRule="auto"/>
        <w:rPr>
          <w:b/>
          <w:bCs/>
          <w:lang w:val="en-GB"/>
        </w:rPr>
      </w:pPr>
    </w:p>
    <w:p w14:paraId="63FB0B81" w14:textId="77777777" w:rsidR="0040757F" w:rsidRDefault="0040757F" w:rsidP="0040757F">
      <w:pPr>
        <w:pStyle w:val="ListParagraph"/>
        <w:spacing w:line="276" w:lineRule="auto"/>
        <w:rPr>
          <w:b/>
          <w:bCs/>
          <w:lang w:val="en-GB"/>
        </w:rPr>
      </w:pPr>
    </w:p>
    <w:p w14:paraId="491DC19B" w14:textId="77777777" w:rsidR="0040757F" w:rsidRDefault="0040757F" w:rsidP="0040757F">
      <w:pPr>
        <w:pStyle w:val="ListParagraph"/>
        <w:spacing w:line="276" w:lineRule="auto"/>
        <w:rPr>
          <w:b/>
          <w:bCs/>
          <w:lang w:val="en-GB"/>
        </w:rPr>
      </w:pPr>
    </w:p>
    <w:p w14:paraId="30B1B3F8" w14:textId="77777777" w:rsidR="0040757F" w:rsidRDefault="0040757F" w:rsidP="0040757F">
      <w:pPr>
        <w:pStyle w:val="ListParagraph"/>
        <w:spacing w:line="276" w:lineRule="auto"/>
        <w:rPr>
          <w:b/>
          <w:bCs/>
          <w:lang w:val="en-GB"/>
        </w:rPr>
      </w:pPr>
    </w:p>
    <w:p w14:paraId="61D66BDE" w14:textId="77777777" w:rsidR="0040757F" w:rsidRDefault="0040757F" w:rsidP="0040757F">
      <w:pPr>
        <w:pStyle w:val="ListParagraph"/>
        <w:spacing w:line="276" w:lineRule="auto"/>
        <w:rPr>
          <w:b/>
          <w:bCs/>
          <w:lang w:val="en-GB"/>
        </w:rPr>
      </w:pPr>
    </w:p>
    <w:p w14:paraId="47514EB6" w14:textId="77777777" w:rsidR="0040757F" w:rsidRDefault="0040757F" w:rsidP="0040757F">
      <w:pPr>
        <w:pStyle w:val="ListParagraph"/>
        <w:spacing w:line="276" w:lineRule="auto"/>
        <w:rPr>
          <w:b/>
          <w:bCs/>
          <w:lang w:val="en-GB"/>
        </w:rPr>
      </w:pPr>
    </w:p>
    <w:p w14:paraId="24079279" w14:textId="77777777" w:rsidR="0040757F" w:rsidRDefault="0040757F" w:rsidP="0040757F">
      <w:pPr>
        <w:pStyle w:val="ListParagraph"/>
        <w:spacing w:line="276" w:lineRule="auto"/>
        <w:rPr>
          <w:b/>
          <w:bCs/>
          <w:lang w:val="en-GB"/>
        </w:rPr>
      </w:pPr>
    </w:p>
    <w:p w14:paraId="5959A399" w14:textId="77777777" w:rsidR="0040757F" w:rsidRDefault="0040757F" w:rsidP="0040757F">
      <w:pPr>
        <w:pStyle w:val="ListParagraph"/>
        <w:spacing w:line="276" w:lineRule="auto"/>
        <w:rPr>
          <w:b/>
          <w:bCs/>
          <w:lang w:val="en-GB"/>
        </w:rPr>
      </w:pPr>
    </w:p>
    <w:p w14:paraId="37A64F2F" w14:textId="77777777" w:rsidR="0040757F" w:rsidRDefault="0040757F" w:rsidP="0040757F">
      <w:pPr>
        <w:pStyle w:val="ListParagraph"/>
        <w:spacing w:line="276" w:lineRule="auto"/>
        <w:rPr>
          <w:b/>
          <w:bCs/>
          <w:lang w:val="en-GB"/>
        </w:rPr>
      </w:pPr>
    </w:p>
    <w:p w14:paraId="0251C2E4" w14:textId="5EE5F9A0" w:rsidR="0040757F" w:rsidRPr="0040757F" w:rsidRDefault="0040757F" w:rsidP="0040757F">
      <w:pPr>
        <w:pStyle w:val="ListParagraph"/>
        <w:spacing w:line="276" w:lineRule="auto"/>
        <w:rPr>
          <w:b/>
          <w:bCs/>
          <w:lang w:val="en-GB"/>
        </w:rPr>
      </w:pPr>
      <w:r w:rsidRPr="0040757F">
        <w:rPr>
          <w:b/>
          <w:bCs/>
          <w:lang w:val="en-GB"/>
        </w:rPr>
        <w:t>References</w:t>
      </w:r>
    </w:p>
    <w:p w14:paraId="15AE44B6" w14:textId="77777777" w:rsidR="0040757F" w:rsidRPr="0040757F" w:rsidRDefault="0040757F" w:rsidP="0040757F">
      <w:pPr>
        <w:pStyle w:val="ListParagraph"/>
        <w:spacing w:line="276" w:lineRule="auto"/>
        <w:rPr>
          <w:lang w:val="en-GB"/>
        </w:rPr>
      </w:pPr>
      <w:r w:rsidRPr="0040757F">
        <w:rPr>
          <w:lang w:val="en-GB"/>
        </w:rPr>
        <w:t xml:space="preserve">Bille Larsen, P. (2022). The Lightness of Human Rights in World Heritage: A Critical View of Rights-Based Approaches, Vernaculars, and Action Opportunities. </w:t>
      </w:r>
      <w:r w:rsidRPr="0040757F">
        <w:rPr>
          <w:i/>
          <w:iCs/>
          <w:lang w:val="en-GB"/>
        </w:rPr>
        <w:t>Nordic Journal of Human Rights</w:t>
      </w:r>
      <w:r w:rsidRPr="0040757F">
        <w:rPr>
          <w:lang w:val="en-GB"/>
        </w:rPr>
        <w:t xml:space="preserve">, </w:t>
      </w:r>
      <w:r w:rsidRPr="0040757F">
        <w:rPr>
          <w:i/>
          <w:iCs/>
          <w:lang w:val="en-GB"/>
        </w:rPr>
        <w:t>41</w:t>
      </w:r>
      <w:r w:rsidRPr="0040757F">
        <w:rPr>
          <w:lang w:val="en-GB"/>
        </w:rPr>
        <w:t xml:space="preserve">(1), 70-86. </w:t>
      </w:r>
      <w:hyperlink r:id="rId6" w:tgtFrame="_blank" w:history="1">
        <w:r w:rsidRPr="0040757F">
          <w:rPr>
            <w:rStyle w:val="Hyperlink"/>
            <w:lang w:val="en-GB"/>
          </w:rPr>
          <w:t>https://doi.org/10.1080/18918131.2022.2114631</w:t>
        </w:r>
      </w:hyperlink>
    </w:p>
    <w:p w14:paraId="598EB4D5" w14:textId="77777777" w:rsidR="0040757F" w:rsidRPr="0040757F" w:rsidRDefault="0040757F" w:rsidP="0040757F">
      <w:pPr>
        <w:pStyle w:val="ListParagraph"/>
        <w:spacing w:line="276" w:lineRule="auto"/>
        <w:rPr>
          <w:lang w:val="en-GB"/>
        </w:rPr>
      </w:pPr>
      <w:r w:rsidRPr="0040757F">
        <w:rPr>
          <w:lang w:val="en-GB"/>
        </w:rPr>
        <w:t xml:space="preserve">Chen, D., &amp; Li, J. (2021). Process-led value elicitation within built heritage management: a systematic literature review between 2010 and 2020. </w:t>
      </w:r>
      <w:r w:rsidRPr="0040757F">
        <w:rPr>
          <w:i/>
          <w:iCs/>
          <w:lang w:val="en-GB"/>
        </w:rPr>
        <w:t>Journal of Architectural Conservation</w:t>
      </w:r>
      <w:r w:rsidRPr="0040757F">
        <w:rPr>
          <w:lang w:val="en-GB"/>
        </w:rPr>
        <w:t xml:space="preserve">, </w:t>
      </w:r>
      <w:r w:rsidRPr="0040757F">
        <w:rPr>
          <w:i/>
          <w:iCs/>
          <w:lang w:val="en-GB"/>
        </w:rPr>
        <w:t>27</w:t>
      </w:r>
      <w:r w:rsidRPr="0040757F">
        <w:rPr>
          <w:lang w:val="en-GB"/>
        </w:rPr>
        <w:t xml:space="preserve">(1), 1-16. </w:t>
      </w:r>
      <w:hyperlink r:id="rId7" w:tgtFrame="_blank" w:history="1">
        <w:r w:rsidRPr="0040757F">
          <w:rPr>
            <w:rStyle w:val="Hyperlink"/>
            <w:lang w:val="en-GB"/>
          </w:rPr>
          <w:t>https://doi.org/10.1080/13556207.2021.1909900</w:t>
        </w:r>
      </w:hyperlink>
    </w:p>
    <w:p w14:paraId="52BC3162" w14:textId="77777777" w:rsidR="0040757F" w:rsidRPr="0040757F" w:rsidRDefault="0040757F" w:rsidP="0040757F">
      <w:pPr>
        <w:pStyle w:val="ListParagraph"/>
        <w:spacing w:line="276" w:lineRule="auto"/>
        <w:rPr>
          <w:lang w:val="en-GB"/>
        </w:rPr>
      </w:pPr>
      <w:r w:rsidRPr="0040757F">
        <w:rPr>
          <w:lang w:val="en-GB"/>
        </w:rPr>
        <w:t xml:space="preserve">Del Pinto, M., &amp; Dean Jackson, C. (2023). Building Synergies for Cultural Heritage. In R. </w:t>
      </w:r>
      <w:proofErr w:type="spellStart"/>
      <w:r w:rsidRPr="0040757F">
        <w:rPr>
          <w:lang w:val="en-GB"/>
        </w:rPr>
        <w:t>Jigyasu</w:t>
      </w:r>
      <w:proofErr w:type="spellEnd"/>
      <w:r w:rsidRPr="0040757F">
        <w:rPr>
          <w:lang w:val="en-GB"/>
        </w:rPr>
        <w:t xml:space="preserve"> &amp; K. </w:t>
      </w:r>
      <w:proofErr w:type="spellStart"/>
      <w:r w:rsidRPr="0040757F">
        <w:rPr>
          <w:lang w:val="en-GB"/>
        </w:rPr>
        <w:t>Chmutina</w:t>
      </w:r>
      <w:proofErr w:type="spellEnd"/>
      <w:r w:rsidRPr="0040757F">
        <w:rPr>
          <w:lang w:val="en-GB"/>
        </w:rPr>
        <w:t xml:space="preserve"> (Eds.), </w:t>
      </w:r>
      <w:r w:rsidRPr="0040757F">
        <w:rPr>
          <w:i/>
          <w:iCs/>
          <w:lang w:val="en-GB"/>
        </w:rPr>
        <w:t>Routledge Handbook on Cultural Heritage and Disaster Risk Management</w:t>
      </w:r>
      <w:r w:rsidRPr="0040757F">
        <w:rPr>
          <w:lang w:val="en-GB"/>
        </w:rPr>
        <w:t xml:space="preserve"> (pp. 298-319). Routledge. </w:t>
      </w:r>
      <w:hyperlink r:id="rId8" w:tgtFrame="_blank" w:history="1">
        <w:r w:rsidRPr="0040757F">
          <w:rPr>
            <w:rStyle w:val="Hyperlink"/>
            <w:lang w:val="en-GB"/>
          </w:rPr>
          <w:t>https://doi.org/10.4324/9781003293019-26</w:t>
        </w:r>
      </w:hyperlink>
    </w:p>
    <w:p w14:paraId="5D43E57A" w14:textId="77777777" w:rsidR="0040757F" w:rsidRPr="00232559" w:rsidRDefault="0040757F" w:rsidP="00F61E85">
      <w:pPr>
        <w:pStyle w:val="ListParagraph"/>
        <w:spacing w:line="276" w:lineRule="auto"/>
        <w:ind w:left="0"/>
        <w:rPr>
          <w:lang w:val="en-US"/>
        </w:rPr>
      </w:pPr>
    </w:p>
    <w:sectPr w:rsidR="0040757F"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406996C-BEC4-41FA-A3AD-5322BDC99D83}"/>
    <w:embedBold r:id="rId2" w:fontKey="{179DB067-EB04-41A5-820F-37F467BEB040}"/>
    <w:embedItalic r:id="rId3" w:fontKey="{6880B99F-672D-4F12-9D5E-FD12F3F70B9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F24F842-0603-4B8C-9001-02BCD9AE246F}"/>
  </w:font>
  <w:font w:name="Calibri Light">
    <w:panose1 w:val="020F0302020204030204"/>
    <w:charset w:val="00"/>
    <w:family w:val="swiss"/>
    <w:pitch w:val="variable"/>
    <w:sig w:usb0="E4002EFF" w:usb1="C000247B" w:usb2="00000009" w:usb3="00000000" w:csb0="000001FF" w:csb1="00000000"/>
    <w:embedRegular r:id="rId5" w:fontKey="{E316F12B-315A-4F39-8B1D-7C9E092823F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F6658"/>
    <w:multiLevelType w:val="multilevel"/>
    <w:tmpl w:val="2494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273100"/>
    <w:multiLevelType w:val="multilevel"/>
    <w:tmpl w:val="29FAC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4F387D"/>
    <w:multiLevelType w:val="multilevel"/>
    <w:tmpl w:val="A144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2"/>
  </w:num>
  <w:num w:numId="2" w16cid:durableId="1882092387">
    <w:abstractNumId w:val="17"/>
  </w:num>
  <w:num w:numId="3" w16cid:durableId="1544052912">
    <w:abstractNumId w:val="0"/>
  </w:num>
  <w:num w:numId="4" w16cid:durableId="746540664">
    <w:abstractNumId w:val="1"/>
  </w:num>
  <w:num w:numId="5" w16cid:durableId="1108088842">
    <w:abstractNumId w:val="4"/>
  </w:num>
  <w:num w:numId="6" w16cid:durableId="1713579031">
    <w:abstractNumId w:val="16"/>
  </w:num>
  <w:num w:numId="7" w16cid:durableId="612253008">
    <w:abstractNumId w:val="15"/>
  </w:num>
  <w:num w:numId="8" w16cid:durableId="314267375">
    <w:abstractNumId w:val="11"/>
  </w:num>
  <w:num w:numId="9" w16cid:durableId="327443921">
    <w:abstractNumId w:val="12"/>
  </w:num>
  <w:num w:numId="10" w16cid:durableId="1481845840">
    <w:abstractNumId w:val="8"/>
  </w:num>
  <w:num w:numId="11" w16cid:durableId="1209099905">
    <w:abstractNumId w:val="7"/>
  </w:num>
  <w:num w:numId="12" w16cid:durableId="350495173">
    <w:abstractNumId w:val="6"/>
  </w:num>
  <w:num w:numId="13" w16cid:durableId="133064909">
    <w:abstractNumId w:val="10"/>
  </w:num>
  <w:num w:numId="14" w16cid:durableId="121389507">
    <w:abstractNumId w:val="9"/>
  </w:num>
  <w:num w:numId="15" w16cid:durableId="544491566">
    <w:abstractNumId w:val="5"/>
  </w:num>
  <w:num w:numId="16" w16cid:durableId="1903364063">
    <w:abstractNumId w:val="14"/>
  </w:num>
  <w:num w:numId="17" w16cid:durableId="1279871215">
    <w:abstractNumId w:val="3"/>
  </w:num>
  <w:num w:numId="18" w16cid:durableId="368459728">
    <w:abstractNumId w:val="18"/>
  </w:num>
  <w:num w:numId="19" w16cid:durableId="7317809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657"/>
    <w:rsid w:val="00224FD9"/>
    <w:rsid w:val="00232559"/>
    <w:rsid w:val="002F4AE0"/>
    <w:rsid w:val="00384E8A"/>
    <w:rsid w:val="003D1074"/>
    <w:rsid w:val="0040757F"/>
    <w:rsid w:val="00426865"/>
    <w:rsid w:val="00477CAA"/>
    <w:rsid w:val="00502E29"/>
    <w:rsid w:val="005E1FD5"/>
    <w:rsid w:val="005E458B"/>
    <w:rsid w:val="00672345"/>
    <w:rsid w:val="00705037"/>
    <w:rsid w:val="00786BC0"/>
    <w:rsid w:val="007A44D2"/>
    <w:rsid w:val="007C7917"/>
    <w:rsid w:val="00844EC2"/>
    <w:rsid w:val="008516FE"/>
    <w:rsid w:val="00942251"/>
    <w:rsid w:val="009C1D0A"/>
    <w:rsid w:val="00A044F7"/>
    <w:rsid w:val="00A057BE"/>
    <w:rsid w:val="00A8150E"/>
    <w:rsid w:val="00B20343"/>
    <w:rsid w:val="00B37BB0"/>
    <w:rsid w:val="00B85EA7"/>
    <w:rsid w:val="00BE65DD"/>
    <w:rsid w:val="00C612A4"/>
    <w:rsid w:val="00C80777"/>
    <w:rsid w:val="00CC6AD1"/>
    <w:rsid w:val="00CF34F8"/>
    <w:rsid w:val="00DF7E49"/>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3A%2F%2Fdoi.org%2F10.4324%2F9781003293019-26" TargetMode="External"/><Relationship Id="rId3" Type="http://schemas.openxmlformats.org/officeDocument/2006/relationships/settings" Target="settings.xml"/><Relationship Id="rId7" Type="http://schemas.openxmlformats.org/officeDocument/2006/relationships/hyperlink" Target="https://www.google.com/search?q=https%3A%2F%2Fdoi.org%2F10.1080%2F13556207.2021.19099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8918131.2022.2114631"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2026-06-23T07:32:00Z</dcterms:created>
  <dcterms:modified xsi:type="dcterms:W3CDTF">2026-06-23T07:32:00Z</dcterms:modified>
</cp:coreProperties>
</file>