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DC612" w14:textId="131D3BAC" w:rsidR="0056617A" w:rsidRPr="00CB667A" w:rsidRDefault="0056617A" w:rsidP="0056617A">
      <w:pPr>
        <w:rPr>
          <w:rFonts w:ascii="Times New Roman" w:hAnsi="Times New Roman" w:cs="Times New Roman"/>
        </w:rPr>
      </w:pPr>
      <w:r w:rsidRPr="00CB667A">
        <w:rPr>
          <w:rFonts w:ascii="Times New Roman" w:hAnsi="Times New Roman" w:cs="Times New Roman"/>
          <w:noProof/>
          <w:lang w:val="en-US"/>
        </w:rPr>
        <w:drawing>
          <wp:anchor distT="0" distB="0" distL="114300" distR="114300" simplePos="0" relativeHeight="251659264" behindDoc="1" locked="0" layoutInCell="1" allowOverlap="1" wp14:anchorId="6386F240" wp14:editId="49CD183E">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D4C7E1E"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 xml:space="preserve">Cultural Heritage Management </w:t>
      </w:r>
    </w:p>
    <w:p w14:paraId="3A8F1A2B"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Assignment 5</w:t>
      </w:r>
    </w:p>
    <w:p w14:paraId="1EEBB239" w14:textId="77777777" w:rsidR="0056617A" w:rsidRPr="00CB667A" w:rsidRDefault="0056617A" w:rsidP="0056617A">
      <w:pPr>
        <w:rPr>
          <w:rFonts w:ascii="Times New Roman" w:hAnsi="Times New Roman" w:cs="Times New Roman"/>
        </w:rPr>
      </w:pPr>
      <w:r w:rsidRPr="00CB667A">
        <w:rPr>
          <w:rFonts w:ascii="Times New Roman" w:hAnsi="Times New Roman" w:cs="Times New Roman"/>
        </w:rPr>
        <w:t>12.05.2026</w:t>
      </w:r>
    </w:p>
    <w:p w14:paraId="3A545DD5" w14:textId="77777777" w:rsidR="0056617A" w:rsidRPr="00CB667A" w:rsidRDefault="0056617A" w:rsidP="0056617A">
      <w:pPr>
        <w:rPr>
          <w:rFonts w:ascii="Times New Roman" w:hAnsi="Times New Roman" w:cs="Times New Roman"/>
        </w:rPr>
      </w:pPr>
    </w:p>
    <w:p w14:paraId="3124E14F" w14:textId="77777777" w:rsidR="0056617A" w:rsidRPr="00CB667A" w:rsidRDefault="0056617A" w:rsidP="0056617A">
      <w:pPr>
        <w:spacing w:line="276" w:lineRule="auto"/>
        <w:rPr>
          <w:rFonts w:ascii="Times New Roman" w:hAnsi="Times New Roman" w:cs="Times New Roman"/>
          <w:lang w:val="en-US"/>
        </w:rPr>
      </w:pPr>
    </w:p>
    <w:p w14:paraId="4973D986" w14:textId="77777777" w:rsidR="0056617A" w:rsidRPr="00CB667A" w:rsidRDefault="0056617A" w:rsidP="0056617A">
      <w:pPr>
        <w:spacing w:line="276" w:lineRule="auto"/>
        <w:rPr>
          <w:rFonts w:ascii="Times New Roman" w:hAnsi="Times New Roman" w:cs="Times New Roman"/>
          <w:lang w:val="en-US"/>
        </w:rPr>
      </w:pPr>
    </w:p>
    <w:p w14:paraId="748CCBDD" w14:textId="77777777" w:rsidR="0056617A" w:rsidRPr="00CB667A" w:rsidRDefault="0056617A" w:rsidP="0056617A">
      <w:pPr>
        <w:spacing w:line="276" w:lineRule="auto"/>
        <w:rPr>
          <w:rFonts w:ascii="Times New Roman" w:hAnsi="Times New Roman" w:cs="Times New Roman"/>
          <w:lang w:val="en-US"/>
        </w:rPr>
      </w:pPr>
    </w:p>
    <w:p w14:paraId="3B4EE6B6" w14:textId="77777777" w:rsidR="0056617A" w:rsidRPr="00CB667A" w:rsidRDefault="0056617A" w:rsidP="0056617A">
      <w:pPr>
        <w:spacing w:line="276" w:lineRule="auto"/>
        <w:rPr>
          <w:rFonts w:ascii="Times New Roman" w:hAnsi="Times New Roman" w:cs="Times New Roman"/>
          <w:lang w:val="en-US"/>
        </w:rPr>
      </w:pPr>
    </w:p>
    <w:p w14:paraId="009F6910" w14:textId="77777777" w:rsidR="0056617A" w:rsidRPr="00CB667A" w:rsidRDefault="0056617A" w:rsidP="0056617A">
      <w:pPr>
        <w:spacing w:line="276" w:lineRule="auto"/>
        <w:rPr>
          <w:rFonts w:ascii="Times New Roman" w:hAnsi="Times New Roman" w:cs="Times New Roman"/>
          <w:lang w:val="en-US"/>
        </w:rPr>
      </w:pPr>
    </w:p>
    <w:p w14:paraId="33E6D850" w14:textId="77777777" w:rsidR="0056617A" w:rsidRPr="00CB667A" w:rsidRDefault="0056617A" w:rsidP="0056617A">
      <w:pPr>
        <w:spacing w:line="276" w:lineRule="auto"/>
        <w:rPr>
          <w:rFonts w:ascii="Times New Roman" w:hAnsi="Times New Roman" w:cs="Times New Roman"/>
          <w:lang w:val="en-US"/>
        </w:rPr>
      </w:pPr>
    </w:p>
    <w:p w14:paraId="779CD201" w14:textId="77777777" w:rsidR="0056617A" w:rsidRPr="00CB667A" w:rsidRDefault="0056617A" w:rsidP="0056617A">
      <w:pPr>
        <w:spacing w:line="276" w:lineRule="auto"/>
        <w:rPr>
          <w:rFonts w:ascii="Times New Roman" w:hAnsi="Times New Roman" w:cs="Times New Roman"/>
          <w:lang w:val="en-US"/>
        </w:rPr>
      </w:pPr>
    </w:p>
    <w:p w14:paraId="3DB32AB9" w14:textId="77777777" w:rsidR="0056617A" w:rsidRPr="00CB667A" w:rsidRDefault="0056617A" w:rsidP="0056617A">
      <w:pPr>
        <w:spacing w:line="276" w:lineRule="auto"/>
        <w:rPr>
          <w:rFonts w:ascii="Times New Roman" w:hAnsi="Times New Roman" w:cs="Times New Roman"/>
          <w:lang w:val="en-US"/>
        </w:rPr>
      </w:pPr>
    </w:p>
    <w:p w14:paraId="0A26F7BC" w14:textId="77777777" w:rsidR="0056617A" w:rsidRPr="00CB667A" w:rsidRDefault="0056617A" w:rsidP="0056617A">
      <w:pPr>
        <w:spacing w:line="276" w:lineRule="auto"/>
        <w:rPr>
          <w:rFonts w:ascii="Times New Roman" w:hAnsi="Times New Roman" w:cs="Times New Roman"/>
          <w:lang w:val="en-US"/>
        </w:rPr>
      </w:pPr>
    </w:p>
    <w:p w14:paraId="51A07E2F" w14:textId="1D7AC6BD" w:rsidR="0056617A" w:rsidRPr="00CB667A" w:rsidRDefault="0056617A" w:rsidP="0056617A">
      <w:pPr>
        <w:spacing w:line="276" w:lineRule="auto"/>
        <w:rPr>
          <w:rFonts w:ascii="Times New Roman" w:hAnsi="Times New Roman" w:cs="Times New Roman"/>
          <w:lang w:val="en-US"/>
        </w:rPr>
      </w:pPr>
      <w:r w:rsidRPr="00CB667A">
        <w:rPr>
          <w:rFonts w:ascii="Times New Roman" w:hAnsi="Times New Roman" w:cs="Times New Roman"/>
          <w:lang w:val="en-US"/>
        </w:rPr>
        <w:t>In no more than 500 words each, explain and 2-4 references:</w:t>
      </w:r>
    </w:p>
    <w:p w14:paraId="1515A7B2" w14:textId="77777777" w:rsidR="0056617A" w:rsidRPr="00CB667A" w:rsidRDefault="0056617A" w:rsidP="0056617A">
      <w:pPr>
        <w:rPr>
          <w:rFonts w:ascii="Times New Roman" w:hAnsi="Times New Roman" w:cs="Times New Roman"/>
          <w:lang w:val="en-US"/>
        </w:rPr>
      </w:pPr>
    </w:p>
    <w:p w14:paraId="7ACF0A3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What is meant by “Outstanding Universal Value (OUV)” in World Heritage management?</w:t>
      </w:r>
    </w:p>
    <w:p w14:paraId="73C8B74D" w14:textId="77777777" w:rsidR="0056617A" w:rsidRPr="00CB667A" w:rsidRDefault="0056617A" w:rsidP="0056617A">
      <w:pPr>
        <w:pStyle w:val="ListParagraph"/>
        <w:numPr>
          <w:ilvl w:val="0"/>
          <w:numId w:val="1"/>
        </w:numPr>
        <w:spacing w:line="276" w:lineRule="auto"/>
        <w:rPr>
          <w:rFonts w:ascii="Times New Roman" w:hAnsi="Times New Roman" w:cs="Times New Roman"/>
          <w:lang w:val="en-US"/>
        </w:rPr>
      </w:pPr>
      <w:r w:rsidRPr="00CB667A">
        <w:rPr>
          <w:rFonts w:ascii="Times New Roman" w:hAnsi="Times New Roman" w:cs="Times New Roman"/>
          <w:lang w:val="en-US"/>
        </w:rPr>
        <w:t>Explain the relationship between planning, implementation, and monitoring in heritage management systems.</w:t>
      </w:r>
    </w:p>
    <w:p w14:paraId="762CE999" w14:textId="77777777" w:rsidR="0056617A" w:rsidRPr="00CB667A" w:rsidRDefault="0056617A" w:rsidP="0056617A">
      <w:pPr>
        <w:pStyle w:val="ListParagraph"/>
        <w:spacing w:line="276" w:lineRule="auto"/>
        <w:ind w:left="0"/>
        <w:rPr>
          <w:rFonts w:ascii="Times New Roman" w:hAnsi="Times New Roman" w:cs="Times New Roman"/>
          <w:lang w:val="en-US"/>
        </w:rPr>
      </w:pPr>
    </w:p>
    <w:p w14:paraId="5B054BFC" w14:textId="77777777" w:rsidR="0056617A" w:rsidRPr="00CB667A" w:rsidRDefault="0056617A">
      <w:pPr>
        <w:rPr>
          <w:rFonts w:ascii="Times New Roman" w:hAnsi="Times New Roman" w:cs="Times New Roman"/>
          <w:lang w:val="en-US"/>
        </w:rPr>
      </w:pPr>
    </w:p>
    <w:p w14:paraId="339460ED" w14:textId="77777777" w:rsidR="0056617A" w:rsidRPr="00CB667A" w:rsidRDefault="0056617A">
      <w:pPr>
        <w:rPr>
          <w:rFonts w:ascii="Times New Roman" w:hAnsi="Times New Roman" w:cs="Times New Roman"/>
          <w:lang w:val="en-US"/>
        </w:rPr>
      </w:pPr>
    </w:p>
    <w:p w14:paraId="4F8644AF" w14:textId="77777777" w:rsidR="0056617A" w:rsidRPr="00CB667A" w:rsidRDefault="0056617A">
      <w:pPr>
        <w:rPr>
          <w:rFonts w:ascii="Times New Roman" w:hAnsi="Times New Roman" w:cs="Times New Roman"/>
          <w:lang w:val="en-US"/>
        </w:rPr>
      </w:pPr>
    </w:p>
    <w:p w14:paraId="12EDD19B" w14:textId="77777777" w:rsidR="0056617A" w:rsidRPr="00CB667A" w:rsidRDefault="0056617A">
      <w:pPr>
        <w:rPr>
          <w:rFonts w:ascii="Times New Roman" w:hAnsi="Times New Roman" w:cs="Times New Roman"/>
          <w:lang w:val="en-US"/>
        </w:rPr>
      </w:pPr>
    </w:p>
    <w:p w14:paraId="29C2B5D5" w14:textId="77777777" w:rsidR="0056617A" w:rsidRPr="00CB667A" w:rsidRDefault="0056617A">
      <w:pPr>
        <w:rPr>
          <w:rFonts w:ascii="Times New Roman" w:hAnsi="Times New Roman" w:cs="Times New Roman"/>
          <w:lang w:val="en-US"/>
        </w:rPr>
      </w:pPr>
    </w:p>
    <w:p w14:paraId="3BB58E21" w14:textId="77777777" w:rsidR="0056617A" w:rsidRPr="00CB667A" w:rsidRDefault="0056617A">
      <w:pPr>
        <w:rPr>
          <w:rFonts w:ascii="Times New Roman" w:hAnsi="Times New Roman" w:cs="Times New Roman"/>
          <w:lang w:val="en-US"/>
        </w:rPr>
      </w:pPr>
    </w:p>
    <w:p w14:paraId="709565CA" w14:textId="77777777" w:rsidR="0056617A" w:rsidRPr="00CB667A" w:rsidRDefault="0056617A">
      <w:pPr>
        <w:rPr>
          <w:rFonts w:ascii="Times New Roman" w:hAnsi="Times New Roman" w:cs="Times New Roman"/>
          <w:lang w:val="en-US"/>
        </w:rPr>
      </w:pPr>
    </w:p>
    <w:p w14:paraId="721EE86D" w14:textId="77777777" w:rsidR="0056617A" w:rsidRPr="00CB667A" w:rsidRDefault="0056617A">
      <w:pPr>
        <w:rPr>
          <w:rFonts w:ascii="Times New Roman" w:hAnsi="Times New Roman" w:cs="Times New Roman"/>
          <w:lang w:val="en-US"/>
        </w:rPr>
      </w:pPr>
    </w:p>
    <w:p w14:paraId="51120942" w14:textId="77777777" w:rsidR="0056617A" w:rsidRPr="00CB667A" w:rsidRDefault="0056617A">
      <w:pPr>
        <w:rPr>
          <w:rFonts w:ascii="Times New Roman" w:hAnsi="Times New Roman" w:cs="Times New Roman"/>
          <w:lang w:val="en-US"/>
        </w:rPr>
      </w:pPr>
    </w:p>
    <w:p w14:paraId="0358E5EF" w14:textId="77777777" w:rsidR="0056617A" w:rsidRPr="00CB667A" w:rsidRDefault="0056617A">
      <w:pPr>
        <w:rPr>
          <w:rFonts w:ascii="Times New Roman" w:hAnsi="Times New Roman" w:cs="Times New Roman"/>
          <w:lang w:val="en-US"/>
        </w:rPr>
      </w:pPr>
    </w:p>
    <w:p w14:paraId="4E12E6CA" w14:textId="77777777" w:rsidR="0056617A" w:rsidRPr="00CB667A" w:rsidRDefault="0056617A">
      <w:pPr>
        <w:rPr>
          <w:rFonts w:ascii="Times New Roman" w:hAnsi="Times New Roman" w:cs="Times New Roman"/>
          <w:lang w:val="en-US"/>
        </w:rPr>
      </w:pPr>
    </w:p>
    <w:p w14:paraId="3A09E05F" w14:textId="77777777" w:rsidR="0056617A" w:rsidRPr="00CB667A" w:rsidRDefault="0056617A">
      <w:pPr>
        <w:rPr>
          <w:rFonts w:ascii="Times New Roman" w:hAnsi="Times New Roman" w:cs="Times New Roman"/>
          <w:lang w:val="en-US"/>
        </w:rPr>
      </w:pPr>
    </w:p>
    <w:p w14:paraId="7605847A" w14:textId="77777777" w:rsidR="0056617A" w:rsidRPr="00CB667A" w:rsidRDefault="0056617A">
      <w:pPr>
        <w:rPr>
          <w:rFonts w:ascii="Times New Roman" w:hAnsi="Times New Roman" w:cs="Times New Roman"/>
          <w:lang w:val="en-US"/>
        </w:rPr>
      </w:pPr>
    </w:p>
    <w:p w14:paraId="4FB7F7E0" w14:textId="77777777" w:rsidR="0056617A" w:rsidRPr="00CB667A" w:rsidRDefault="0056617A">
      <w:pPr>
        <w:rPr>
          <w:rFonts w:ascii="Times New Roman" w:hAnsi="Times New Roman" w:cs="Times New Roman"/>
          <w:lang w:val="en-US"/>
        </w:rPr>
      </w:pPr>
    </w:p>
    <w:p w14:paraId="12E76367" w14:textId="77777777" w:rsidR="0056617A" w:rsidRPr="00CB667A" w:rsidRDefault="0056617A">
      <w:pPr>
        <w:rPr>
          <w:rFonts w:ascii="Times New Roman" w:hAnsi="Times New Roman" w:cs="Times New Roman"/>
          <w:lang w:val="en-US"/>
        </w:rPr>
      </w:pPr>
    </w:p>
    <w:p w14:paraId="2B428BD6" w14:textId="77777777" w:rsidR="0056617A" w:rsidRPr="00CB667A" w:rsidRDefault="0056617A">
      <w:pPr>
        <w:rPr>
          <w:rFonts w:ascii="Times New Roman" w:hAnsi="Times New Roman" w:cs="Times New Roman"/>
          <w:lang w:val="en-US"/>
        </w:rPr>
      </w:pPr>
    </w:p>
    <w:p w14:paraId="7231C7ED" w14:textId="77777777" w:rsidR="0056617A" w:rsidRPr="00CB667A" w:rsidRDefault="0056617A">
      <w:pPr>
        <w:rPr>
          <w:rFonts w:ascii="Times New Roman" w:hAnsi="Times New Roman" w:cs="Times New Roman"/>
          <w:lang w:val="en-US"/>
        </w:rPr>
      </w:pPr>
    </w:p>
    <w:p w14:paraId="7061B955" w14:textId="77777777" w:rsidR="00EB6E1C" w:rsidRPr="00CB667A" w:rsidRDefault="00EB6E1C">
      <w:pPr>
        <w:rPr>
          <w:rFonts w:ascii="Times New Roman" w:hAnsi="Times New Roman" w:cs="Times New Roman"/>
          <w:lang w:val="en-US"/>
        </w:rPr>
      </w:pPr>
    </w:p>
    <w:p w14:paraId="2AAAD0B6" w14:textId="77777777" w:rsidR="00EB6E1C" w:rsidRPr="00CB667A" w:rsidRDefault="00EB6E1C">
      <w:pPr>
        <w:rPr>
          <w:rFonts w:ascii="Times New Roman" w:hAnsi="Times New Roman" w:cs="Times New Roman"/>
          <w:lang w:val="en-US"/>
        </w:rPr>
      </w:pPr>
    </w:p>
    <w:p w14:paraId="361AFD8F" w14:textId="77777777" w:rsidR="00EB6E1C" w:rsidRPr="00CB667A" w:rsidRDefault="00EB6E1C">
      <w:pPr>
        <w:rPr>
          <w:rFonts w:ascii="Times New Roman" w:hAnsi="Times New Roman" w:cs="Times New Roman"/>
          <w:lang w:val="en-US"/>
        </w:rPr>
      </w:pPr>
    </w:p>
    <w:p w14:paraId="11DD6850" w14:textId="77777777" w:rsidR="0056617A" w:rsidRPr="00CB667A" w:rsidRDefault="0056617A">
      <w:pPr>
        <w:rPr>
          <w:rFonts w:ascii="Times New Roman" w:hAnsi="Times New Roman" w:cs="Times New Roman"/>
          <w:lang w:val="en-US"/>
        </w:rPr>
      </w:pPr>
    </w:p>
    <w:p w14:paraId="3045A9E9" w14:textId="77777777" w:rsidR="0056617A" w:rsidRPr="00CB667A" w:rsidRDefault="0056617A">
      <w:pPr>
        <w:rPr>
          <w:rFonts w:ascii="Times New Roman" w:hAnsi="Times New Roman" w:cs="Times New Roman"/>
          <w:lang w:val="en-US"/>
        </w:rPr>
      </w:pPr>
    </w:p>
    <w:p w14:paraId="184FE467" w14:textId="77777777" w:rsidR="0056617A" w:rsidRPr="00CB667A" w:rsidRDefault="0056617A">
      <w:pPr>
        <w:rPr>
          <w:rFonts w:ascii="Times New Roman" w:hAnsi="Times New Roman" w:cs="Times New Roman"/>
          <w:lang w:val="en-US"/>
        </w:rPr>
      </w:pPr>
    </w:p>
    <w:p w14:paraId="6F94B12D" w14:textId="77777777" w:rsidR="00CB667A" w:rsidRDefault="00CB667A" w:rsidP="00CB667A">
      <w:pPr>
        <w:rPr>
          <w:rFonts w:ascii="Times New Roman" w:hAnsi="Times New Roman" w:cs="Times New Roman"/>
          <w:lang w:val="en-GB"/>
        </w:rPr>
      </w:pPr>
      <w:r w:rsidRPr="00CB667A">
        <w:rPr>
          <w:rFonts w:ascii="Times New Roman" w:hAnsi="Times New Roman" w:cs="Times New Roman"/>
          <w:lang w:val="en-GB"/>
        </w:rPr>
        <w:lastRenderedPageBreak/>
        <w:t>1. Outstanding Universal Value (OUV) in World Heritage Management</w:t>
      </w:r>
    </w:p>
    <w:p w14:paraId="382670E7" w14:textId="77777777" w:rsidR="00CB667A" w:rsidRPr="00CB667A" w:rsidRDefault="00CB667A" w:rsidP="00CB667A">
      <w:pPr>
        <w:rPr>
          <w:rFonts w:ascii="Times New Roman" w:hAnsi="Times New Roman" w:cs="Times New Roman"/>
          <w:lang w:val="en-GB"/>
        </w:rPr>
      </w:pPr>
    </w:p>
    <w:p w14:paraId="365E0A47"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Outstanding Universal Value (OUV) is the core principle used by UNESCO to determine whether a cultural or natural site deserves inclusion on the World Heritage List. OUV refers to the exceptional importance of a heritage property that is considered valuable not only to one nation but to </w:t>
      </w:r>
      <w:proofErr w:type="gramStart"/>
      <w:r w:rsidRPr="00CB667A">
        <w:rPr>
          <w:rFonts w:ascii="Times New Roman" w:hAnsi="Times New Roman" w:cs="Times New Roman"/>
          <w:lang w:val="en-GB"/>
        </w:rPr>
        <w:t>humanity as a whole</w:t>
      </w:r>
      <w:proofErr w:type="gramEnd"/>
      <w:r w:rsidRPr="00CB667A">
        <w:rPr>
          <w:rFonts w:ascii="Times New Roman" w:hAnsi="Times New Roman" w:cs="Times New Roman"/>
          <w:lang w:val="en-GB"/>
        </w:rPr>
        <w:t xml:space="preserve"> (Cameron &amp; Rössler, 2013). This concept was established through the 1972 World Heritage Convention, which aimed to encourage international cooperation in protecting globally significant heritage.</w:t>
      </w:r>
    </w:p>
    <w:p w14:paraId="50BD143E"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A site must meet at least one of UNESCO’s selection criteria and demonstrate authenticity, integrity, and appropriate management systems </w:t>
      </w:r>
      <w:proofErr w:type="gramStart"/>
      <w:r w:rsidRPr="00CB667A">
        <w:rPr>
          <w:rFonts w:ascii="Times New Roman" w:hAnsi="Times New Roman" w:cs="Times New Roman"/>
          <w:lang w:val="en-GB"/>
        </w:rPr>
        <w:t>in order to</w:t>
      </w:r>
      <w:proofErr w:type="gramEnd"/>
      <w:r w:rsidRPr="00CB667A">
        <w:rPr>
          <w:rFonts w:ascii="Times New Roman" w:hAnsi="Times New Roman" w:cs="Times New Roman"/>
          <w:lang w:val="en-GB"/>
        </w:rPr>
        <w:t xml:space="preserve"> possess OUV (Turner, 2012). Cultural sites may represent outstanding artistic achievements, historic traditions, or architectural excellence, while natural sites may contain exceptional biodiversity, landscapes, or geological formations. Examples include the Pyramids of Egypt, the Grand Canyon, and the Historic Centre of Florence.</w:t>
      </w:r>
    </w:p>
    <w:p w14:paraId="00BE6F2F"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In heritage management, OUV acts as the basis for all conservation and management activities. The primary responsibility of site managers is to ensure that the values for which the property was inscribed are preserved over time (Albert, Richon, Viñals, &amp; Witcomb, 2013). Any development projects, tourism activities, or infrastructure changes near the site must be carefully evaluated to avoid damaging its OUV.</w:t>
      </w:r>
    </w:p>
    <w:p w14:paraId="24BC1DB1"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The concept also strengthens global responsibility toward heritage conservation. Since World Heritage Sites belong symbolically to all humanity, international organizations, governments, experts, and local communities share responsibility for their protection (Araoz, 2011). This has encouraged the development of sustainable conservation practices that integrate social, cultural, environmental, and economic concerns.</w:t>
      </w:r>
    </w:p>
    <w:p w14:paraId="5FCBCAF1"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Moreover, OUV is dynamic and requires continuous protection against threats such as climate change, pollution, urbanization, armed conflict, and over-tourism. Heritage managers therefore rely on legal protection, public participation, risk management, and scientific conservation methods to maintain OUV for future generations.</w:t>
      </w:r>
    </w:p>
    <w:p w14:paraId="28357B5F"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In conclusion, OUV is both a recognition of global significance and a management framework for protecting heritage. It guides conservation priorities, policy decisions, and international cooperation to ensure that the world’s most valuable cultural and natural sites remain preserved for humanity.</w:t>
      </w:r>
    </w:p>
    <w:p w14:paraId="26CAB864" w14:textId="039444AB" w:rsidR="00CB667A" w:rsidRDefault="00CB667A" w:rsidP="00CB667A">
      <w:pPr>
        <w:rPr>
          <w:rFonts w:ascii="Times New Roman" w:hAnsi="Times New Roman" w:cs="Times New Roman"/>
          <w:lang w:val="en-GB"/>
        </w:rPr>
      </w:pPr>
    </w:p>
    <w:p w14:paraId="2A164939" w14:textId="77777777" w:rsidR="00CB667A" w:rsidRPr="00CB667A" w:rsidRDefault="00CB667A" w:rsidP="00CB667A">
      <w:pPr>
        <w:rPr>
          <w:rFonts w:ascii="Times New Roman" w:hAnsi="Times New Roman" w:cs="Times New Roman"/>
          <w:lang w:val="en-GB"/>
        </w:rPr>
      </w:pPr>
    </w:p>
    <w:p w14:paraId="4A1095BE" w14:textId="77777777" w:rsidR="00CB667A" w:rsidRDefault="00CB667A" w:rsidP="00CB667A">
      <w:pPr>
        <w:rPr>
          <w:rFonts w:ascii="Times New Roman" w:hAnsi="Times New Roman" w:cs="Times New Roman"/>
          <w:lang w:val="en-GB"/>
        </w:rPr>
      </w:pPr>
      <w:r w:rsidRPr="00CB667A">
        <w:rPr>
          <w:rFonts w:ascii="Times New Roman" w:hAnsi="Times New Roman" w:cs="Times New Roman"/>
          <w:lang w:val="en-GB"/>
        </w:rPr>
        <w:t>2. Relationship Between Planning, Implementation, and Monitoring in Heritage Management Systems</w:t>
      </w:r>
    </w:p>
    <w:p w14:paraId="10216B37" w14:textId="77777777" w:rsidR="00CB667A" w:rsidRPr="00CB667A" w:rsidRDefault="00CB667A" w:rsidP="00CB667A">
      <w:pPr>
        <w:rPr>
          <w:rFonts w:ascii="Times New Roman" w:hAnsi="Times New Roman" w:cs="Times New Roman"/>
          <w:lang w:val="en-GB"/>
        </w:rPr>
      </w:pPr>
    </w:p>
    <w:p w14:paraId="794D6373"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Planning, implementation, and monitoring are fundamental and interconnected elements of heritage management systems. Together, they create a structured process that ensures the conservation and sustainable management of heritage resources.</w:t>
      </w:r>
    </w:p>
    <w:p w14:paraId="28ED3348"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Planning is the starting point of heritage management. It involves identifying the significance of a heritage site, defining conservation objectives, assessing risks, and preparing strategies for protection and sustainable use (Pedersen, 2002). Management plans may address tourism control, environmental protection, financial resources, stakeholder participation, and legal frameworks. Effective planning establishes clear goals and responsibilities for heritage conservation.</w:t>
      </w:r>
    </w:p>
    <w:p w14:paraId="2ED5186A"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lastRenderedPageBreak/>
        <w:t>Implementation is the stage in which planned strategies are put into action. This includes restoration projects, site maintenance, public education programs, visitor management, and enforcement of conservation regulations. Successful implementation depends on coordination between governments, conservation professionals, local communities, and international agencies (de la Torre, 2013). Adequate funding, technical expertise, and institutional support are also essential for achieving management objectives.</w:t>
      </w:r>
    </w:p>
    <w:p w14:paraId="40166A62"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Monitoring is the continuous evaluation of the condition of heritage properties and the effectiveness of management actions. It helps identify physical deterioration, environmental threats, visitor impacts, and management challenges (Clark, 2001). Monitoring systems provide information that allows managers to assess whether conservation goals are being achieved and whether corrective measures are necessary.</w:t>
      </w:r>
    </w:p>
    <w:p w14:paraId="36FBFD35"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The relationship between these three processes is cyclical and mutually dependent. Planning provides the direction for conservation activities, implementation applies those strategies, and monitoring evaluates the results. Information gathered through monitoring is then used to revise and improve future planning. For example, if monitoring reveals structural damage caused by heavy tourism, management authorities may revise visitor policies or strengthen conservation measures.</w:t>
      </w:r>
    </w:p>
    <w:p w14:paraId="7C2D984B"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This process is often called adaptive management because it allows heritage systems to respond to changing social, environmental, and economic conditions. Without proper planning, implementation lacks direction; without implementation, planning remains theoretical; and without monitoring, managers cannot determine whether conservation efforts are successful.</w:t>
      </w:r>
    </w:p>
    <w:p w14:paraId="7C385E5E"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Therefore, planning, implementation, and monitoring are integrated processes that support effective heritage management and ensure the long-term protection of heritage values and Outstanding Universal Value (OUV).</w:t>
      </w:r>
    </w:p>
    <w:p w14:paraId="1989365C" w14:textId="5B5CED9F" w:rsidR="00CB667A" w:rsidRDefault="00CB667A" w:rsidP="00CB667A">
      <w:pPr>
        <w:rPr>
          <w:rFonts w:ascii="Times New Roman" w:hAnsi="Times New Roman" w:cs="Times New Roman"/>
          <w:lang w:val="en-GB"/>
        </w:rPr>
      </w:pPr>
    </w:p>
    <w:p w14:paraId="17975FA2" w14:textId="77777777" w:rsidR="00CB667A" w:rsidRDefault="00CB667A" w:rsidP="00CB667A">
      <w:pPr>
        <w:rPr>
          <w:rFonts w:ascii="Times New Roman" w:hAnsi="Times New Roman" w:cs="Times New Roman"/>
          <w:lang w:val="en-GB"/>
        </w:rPr>
      </w:pPr>
    </w:p>
    <w:p w14:paraId="1B815E1F" w14:textId="77777777" w:rsidR="00CB667A" w:rsidRDefault="00CB667A" w:rsidP="00CB667A">
      <w:pPr>
        <w:rPr>
          <w:rFonts w:ascii="Times New Roman" w:hAnsi="Times New Roman" w:cs="Times New Roman"/>
          <w:lang w:val="en-GB"/>
        </w:rPr>
      </w:pPr>
    </w:p>
    <w:p w14:paraId="44B1F9F7" w14:textId="77777777" w:rsidR="00CB667A" w:rsidRDefault="00CB667A" w:rsidP="00CB667A">
      <w:pPr>
        <w:rPr>
          <w:rFonts w:ascii="Times New Roman" w:hAnsi="Times New Roman" w:cs="Times New Roman"/>
          <w:lang w:val="en-GB"/>
        </w:rPr>
      </w:pPr>
    </w:p>
    <w:p w14:paraId="7D8B891F" w14:textId="77777777" w:rsidR="00CB667A" w:rsidRDefault="00CB667A" w:rsidP="00CB667A">
      <w:pPr>
        <w:rPr>
          <w:rFonts w:ascii="Times New Roman" w:hAnsi="Times New Roman" w:cs="Times New Roman"/>
          <w:lang w:val="en-GB"/>
        </w:rPr>
      </w:pPr>
    </w:p>
    <w:p w14:paraId="5E7994CD" w14:textId="77777777" w:rsidR="00CB667A" w:rsidRDefault="00CB667A" w:rsidP="00CB667A">
      <w:pPr>
        <w:rPr>
          <w:rFonts w:ascii="Times New Roman" w:hAnsi="Times New Roman" w:cs="Times New Roman"/>
          <w:lang w:val="en-GB"/>
        </w:rPr>
      </w:pPr>
    </w:p>
    <w:p w14:paraId="4FB37151" w14:textId="77777777" w:rsidR="00CB667A" w:rsidRDefault="00CB667A" w:rsidP="00CB667A">
      <w:pPr>
        <w:rPr>
          <w:rFonts w:ascii="Times New Roman" w:hAnsi="Times New Roman" w:cs="Times New Roman"/>
          <w:lang w:val="en-GB"/>
        </w:rPr>
      </w:pPr>
    </w:p>
    <w:p w14:paraId="074B95E5" w14:textId="77777777" w:rsidR="00CB667A" w:rsidRDefault="00CB667A" w:rsidP="00CB667A">
      <w:pPr>
        <w:rPr>
          <w:rFonts w:ascii="Times New Roman" w:hAnsi="Times New Roman" w:cs="Times New Roman"/>
          <w:lang w:val="en-GB"/>
        </w:rPr>
      </w:pPr>
    </w:p>
    <w:p w14:paraId="27ECA5A4" w14:textId="77777777" w:rsidR="00CB667A" w:rsidRDefault="00CB667A" w:rsidP="00CB667A">
      <w:pPr>
        <w:rPr>
          <w:rFonts w:ascii="Times New Roman" w:hAnsi="Times New Roman" w:cs="Times New Roman"/>
          <w:lang w:val="en-GB"/>
        </w:rPr>
      </w:pPr>
    </w:p>
    <w:p w14:paraId="2BC7AB7B" w14:textId="77777777" w:rsidR="00CB667A" w:rsidRDefault="00CB667A" w:rsidP="00CB667A">
      <w:pPr>
        <w:rPr>
          <w:rFonts w:ascii="Times New Roman" w:hAnsi="Times New Roman" w:cs="Times New Roman"/>
          <w:lang w:val="en-GB"/>
        </w:rPr>
      </w:pPr>
    </w:p>
    <w:p w14:paraId="7632A85E" w14:textId="77777777" w:rsidR="00CB667A" w:rsidRDefault="00CB667A" w:rsidP="00CB667A">
      <w:pPr>
        <w:rPr>
          <w:rFonts w:ascii="Times New Roman" w:hAnsi="Times New Roman" w:cs="Times New Roman"/>
          <w:lang w:val="en-GB"/>
        </w:rPr>
      </w:pPr>
    </w:p>
    <w:p w14:paraId="05A42D34" w14:textId="77777777" w:rsidR="00CB667A" w:rsidRDefault="00CB667A" w:rsidP="00CB667A">
      <w:pPr>
        <w:rPr>
          <w:rFonts w:ascii="Times New Roman" w:hAnsi="Times New Roman" w:cs="Times New Roman"/>
          <w:lang w:val="en-GB"/>
        </w:rPr>
      </w:pPr>
    </w:p>
    <w:p w14:paraId="3344189B" w14:textId="77777777" w:rsidR="00CB667A" w:rsidRDefault="00CB667A" w:rsidP="00CB667A">
      <w:pPr>
        <w:rPr>
          <w:rFonts w:ascii="Times New Roman" w:hAnsi="Times New Roman" w:cs="Times New Roman"/>
          <w:lang w:val="en-GB"/>
        </w:rPr>
      </w:pPr>
    </w:p>
    <w:p w14:paraId="3D77A075" w14:textId="77777777" w:rsidR="00CB667A" w:rsidRDefault="00CB667A" w:rsidP="00CB667A">
      <w:pPr>
        <w:rPr>
          <w:rFonts w:ascii="Times New Roman" w:hAnsi="Times New Roman" w:cs="Times New Roman"/>
          <w:lang w:val="en-GB"/>
        </w:rPr>
      </w:pPr>
    </w:p>
    <w:p w14:paraId="682D04A2" w14:textId="77777777" w:rsidR="00CB667A" w:rsidRDefault="00CB667A" w:rsidP="00CB667A">
      <w:pPr>
        <w:rPr>
          <w:rFonts w:ascii="Times New Roman" w:hAnsi="Times New Roman" w:cs="Times New Roman"/>
          <w:lang w:val="en-GB"/>
        </w:rPr>
      </w:pPr>
    </w:p>
    <w:p w14:paraId="03AC370C" w14:textId="77777777" w:rsidR="00CB667A" w:rsidRDefault="00CB667A" w:rsidP="00CB667A">
      <w:pPr>
        <w:rPr>
          <w:rFonts w:ascii="Times New Roman" w:hAnsi="Times New Roman" w:cs="Times New Roman"/>
          <w:lang w:val="en-GB"/>
        </w:rPr>
      </w:pPr>
    </w:p>
    <w:p w14:paraId="24936722" w14:textId="77777777" w:rsidR="00CB667A" w:rsidRDefault="00CB667A" w:rsidP="00CB667A">
      <w:pPr>
        <w:rPr>
          <w:rFonts w:ascii="Times New Roman" w:hAnsi="Times New Roman" w:cs="Times New Roman"/>
          <w:lang w:val="en-GB"/>
        </w:rPr>
      </w:pPr>
    </w:p>
    <w:p w14:paraId="7C99F180" w14:textId="77777777" w:rsidR="00CB667A" w:rsidRDefault="00CB667A" w:rsidP="00CB667A">
      <w:pPr>
        <w:rPr>
          <w:rFonts w:ascii="Times New Roman" w:hAnsi="Times New Roman" w:cs="Times New Roman"/>
          <w:lang w:val="en-GB"/>
        </w:rPr>
      </w:pPr>
    </w:p>
    <w:p w14:paraId="051EF53F" w14:textId="77777777" w:rsidR="00CB667A" w:rsidRDefault="00CB667A" w:rsidP="00CB667A">
      <w:pPr>
        <w:rPr>
          <w:rFonts w:ascii="Times New Roman" w:hAnsi="Times New Roman" w:cs="Times New Roman"/>
          <w:lang w:val="en-GB"/>
        </w:rPr>
      </w:pPr>
    </w:p>
    <w:p w14:paraId="658ADF84" w14:textId="77777777" w:rsidR="00CB667A" w:rsidRDefault="00CB667A" w:rsidP="00CB667A">
      <w:pPr>
        <w:rPr>
          <w:rFonts w:ascii="Times New Roman" w:hAnsi="Times New Roman" w:cs="Times New Roman"/>
          <w:lang w:val="en-GB"/>
        </w:rPr>
      </w:pPr>
    </w:p>
    <w:p w14:paraId="7468F9EF" w14:textId="77777777" w:rsidR="00CB667A" w:rsidRDefault="00CB667A" w:rsidP="00CB667A">
      <w:pPr>
        <w:rPr>
          <w:rFonts w:ascii="Times New Roman" w:hAnsi="Times New Roman" w:cs="Times New Roman"/>
          <w:lang w:val="en-GB"/>
        </w:rPr>
      </w:pPr>
    </w:p>
    <w:p w14:paraId="678372B3" w14:textId="77777777" w:rsidR="00CB667A" w:rsidRDefault="00CB667A" w:rsidP="00CB667A">
      <w:pPr>
        <w:rPr>
          <w:rFonts w:ascii="Times New Roman" w:hAnsi="Times New Roman" w:cs="Times New Roman"/>
          <w:lang w:val="en-GB"/>
        </w:rPr>
      </w:pPr>
    </w:p>
    <w:p w14:paraId="3F0A6B74" w14:textId="77777777" w:rsidR="00CB667A" w:rsidRDefault="00CB667A" w:rsidP="00CB667A">
      <w:pPr>
        <w:rPr>
          <w:rFonts w:ascii="Times New Roman" w:hAnsi="Times New Roman" w:cs="Times New Roman"/>
          <w:lang w:val="en-GB"/>
        </w:rPr>
      </w:pPr>
    </w:p>
    <w:p w14:paraId="775C1E02" w14:textId="77777777" w:rsidR="00CB667A" w:rsidRDefault="00CB667A" w:rsidP="00CB667A">
      <w:pPr>
        <w:rPr>
          <w:rFonts w:ascii="Times New Roman" w:hAnsi="Times New Roman" w:cs="Times New Roman"/>
          <w:lang w:val="en-GB"/>
        </w:rPr>
      </w:pPr>
    </w:p>
    <w:p w14:paraId="019EBF0B" w14:textId="77777777" w:rsidR="00CB667A" w:rsidRDefault="00CB667A" w:rsidP="00CB667A">
      <w:pPr>
        <w:rPr>
          <w:rFonts w:ascii="Times New Roman" w:hAnsi="Times New Roman" w:cs="Times New Roman"/>
          <w:lang w:val="en-GB"/>
        </w:rPr>
      </w:pPr>
    </w:p>
    <w:p w14:paraId="36F458E3" w14:textId="77777777" w:rsidR="00CB667A" w:rsidRDefault="00CB667A" w:rsidP="00CB667A">
      <w:pPr>
        <w:rPr>
          <w:rFonts w:ascii="Times New Roman" w:hAnsi="Times New Roman" w:cs="Times New Roman"/>
          <w:lang w:val="en-GB"/>
        </w:rPr>
      </w:pPr>
    </w:p>
    <w:p w14:paraId="35D3AF27" w14:textId="77777777" w:rsidR="00CB667A" w:rsidRPr="00CB667A" w:rsidRDefault="00CB667A" w:rsidP="00CB667A">
      <w:pPr>
        <w:rPr>
          <w:rFonts w:ascii="Times New Roman" w:hAnsi="Times New Roman" w:cs="Times New Roman"/>
          <w:lang w:val="en-GB"/>
        </w:rPr>
      </w:pPr>
    </w:p>
    <w:p w14:paraId="3FF724CA" w14:textId="77777777" w:rsidR="00CB667A" w:rsidRDefault="00CB667A" w:rsidP="00CB667A">
      <w:pPr>
        <w:rPr>
          <w:rFonts w:ascii="Times New Roman" w:hAnsi="Times New Roman" w:cs="Times New Roman"/>
          <w:lang w:val="en-GB"/>
        </w:rPr>
      </w:pPr>
      <w:r w:rsidRPr="00CB667A">
        <w:rPr>
          <w:rFonts w:ascii="Times New Roman" w:hAnsi="Times New Roman" w:cs="Times New Roman"/>
          <w:lang w:val="en-GB"/>
        </w:rPr>
        <w:t>References</w:t>
      </w:r>
    </w:p>
    <w:p w14:paraId="4F6F8027" w14:textId="77777777" w:rsidR="00CB667A" w:rsidRPr="00CB667A" w:rsidRDefault="00CB667A" w:rsidP="00CB667A">
      <w:pPr>
        <w:rPr>
          <w:rFonts w:ascii="Times New Roman" w:hAnsi="Times New Roman" w:cs="Times New Roman"/>
          <w:lang w:val="en-GB"/>
        </w:rPr>
      </w:pPr>
    </w:p>
    <w:p w14:paraId="074B2A29"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Albert, M.-T., Richon, M., Viñals, M. J., &amp; Witcomb, A. (2013). </w:t>
      </w:r>
      <w:r w:rsidRPr="00CB667A">
        <w:rPr>
          <w:rFonts w:ascii="Times New Roman" w:hAnsi="Times New Roman" w:cs="Times New Roman"/>
          <w:i/>
          <w:iCs/>
          <w:lang w:val="en-GB"/>
        </w:rPr>
        <w:t>Community Development through World Heritage</w:t>
      </w:r>
      <w:r w:rsidRPr="00CB667A">
        <w:rPr>
          <w:rFonts w:ascii="Times New Roman" w:hAnsi="Times New Roman" w:cs="Times New Roman"/>
          <w:lang w:val="en-GB"/>
        </w:rPr>
        <w:t>. UNESCO Publishing.</w:t>
      </w:r>
    </w:p>
    <w:p w14:paraId="699D1306"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Araoz, G. F. (2011). Preserving heritage places under a new paradigm. </w:t>
      </w:r>
      <w:r w:rsidRPr="00CB667A">
        <w:rPr>
          <w:rFonts w:ascii="Times New Roman" w:hAnsi="Times New Roman" w:cs="Times New Roman"/>
          <w:i/>
          <w:iCs/>
          <w:lang w:val="en-GB"/>
        </w:rPr>
        <w:t>Journal of Cultural Heritage Management and Sustainable Development, 1</w:t>
      </w:r>
      <w:r w:rsidRPr="00CB667A">
        <w:rPr>
          <w:rFonts w:ascii="Times New Roman" w:hAnsi="Times New Roman" w:cs="Times New Roman"/>
          <w:lang w:val="en-GB"/>
        </w:rPr>
        <w:t>(1), 55–60. https://doi.org/10.1108/20441261111129933</w:t>
      </w:r>
    </w:p>
    <w:p w14:paraId="49EFCCDB"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Cameron, C., &amp; Rössler, M. (2013). </w:t>
      </w:r>
      <w:r w:rsidRPr="00CB667A">
        <w:rPr>
          <w:rFonts w:ascii="Times New Roman" w:hAnsi="Times New Roman" w:cs="Times New Roman"/>
          <w:i/>
          <w:iCs/>
          <w:lang w:val="en-GB"/>
        </w:rPr>
        <w:t>Many Voices, One Vision: The Early Years of the World Heritage Convention</w:t>
      </w:r>
      <w:r w:rsidRPr="00CB667A">
        <w:rPr>
          <w:rFonts w:ascii="Times New Roman" w:hAnsi="Times New Roman" w:cs="Times New Roman"/>
          <w:lang w:val="en-GB"/>
        </w:rPr>
        <w:t>. Ashgate Publishing.</w:t>
      </w:r>
    </w:p>
    <w:p w14:paraId="0F92DB2F"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Clark, K. (2001). </w:t>
      </w:r>
      <w:r w:rsidRPr="00CB667A">
        <w:rPr>
          <w:rFonts w:ascii="Times New Roman" w:hAnsi="Times New Roman" w:cs="Times New Roman"/>
          <w:i/>
          <w:iCs/>
          <w:lang w:val="en-GB"/>
        </w:rPr>
        <w:t>Informed Conservation: Understanding Historic Buildings and Their Landscapes for Conservation</w:t>
      </w:r>
      <w:r w:rsidRPr="00CB667A">
        <w:rPr>
          <w:rFonts w:ascii="Times New Roman" w:hAnsi="Times New Roman" w:cs="Times New Roman"/>
          <w:lang w:val="en-GB"/>
        </w:rPr>
        <w:t>. English Heritage.</w:t>
      </w:r>
    </w:p>
    <w:p w14:paraId="0FEF4396"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de la Torre, M. (2013). </w:t>
      </w:r>
      <w:r w:rsidRPr="00CB667A">
        <w:rPr>
          <w:rFonts w:ascii="Times New Roman" w:hAnsi="Times New Roman" w:cs="Times New Roman"/>
          <w:i/>
          <w:iCs/>
          <w:lang w:val="en-GB"/>
        </w:rPr>
        <w:t>Values in Heritage Management: Emerging Approaches and Research Directions</w:t>
      </w:r>
      <w:r w:rsidRPr="00CB667A">
        <w:rPr>
          <w:rFonts w:ascii="Times New Roman" w:hAnsi="Times New Roman" w:cs="Times New Roman"/>
          <w:lang w:val="en-GB"/>
        </w:rPr>
        <w:t>. Getty Conservation Institute.</w:t>
      </w:r>
    </w:p>
    <w:p w14:paraId="69009D18"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Pedersen, A. (2002). </w:t>
      </w:r>
      <w:r w:rsidRPr="00CB667A">
        <w:rPr>
          <w:rFonts w:ascii="Times New Roman" w:hAnsi="Times New Roman" w:cs="Times New Roman"/>
          <w:i/>
          <w:iCs/>
          <w:lang w:val="en-GB"/>
        </w:rPr>
        <w:t>Managing Tourism at World Heritage Sites: A Practical Manual for World Heritage Site Managers</w:t>
      </w:r>
      <w:r w:rsidRPr="00CB667A">
        <w:rPr>
          <w:rFonts w:ascii="Times New Roman" w:hAnsi="Times New Roman" w:cs="Times New Roman"/>
          <w:lang w:val="en-GB"/>
        </w:rPr>
        <w:t>. UNESCO World Heritage Centre.</w:t>
      </w:r>
    </w:p>
    <w:p w14:paraId="5797861F" w14:textId="77777777" w:rsidR="00CB667A" w:rsidRPr="00CB667A" w:rsidRDefault="00CB667A" w:rsidP="00CB667A">
      <w:pPr>
        <w:rPr>
          <w:rFonts w:ascii="Times New Roman" w:hAnsi="Times New Roman" w:cs="Times New Roman"/>
          <w:lang w:val="en-GB"/>
        </w:rPr>
      </w:pPr>
      <w:r w:rsidRPr="00CB667A">
        <w:rPr>
          <w:rFonts w:ascii="Times New Roman" w:hAnsi="Times New Roman" w:cs="Times New Roman"/>
          <w:lang w:val="en-GB"/>
        </w:rPr>
        <w:t xml:space="preserve">Turner, M. (2012). World Heritage and contemporary architecture: Managing the historic urban landscape. </w:t>
      </w:r>
      <w:r w:rsidRPr="00CB667A">
        <w:rPr>
          <w:rFonts w:ascii="Times New Roman" w:hAnsi="Times New Roman" w:cs="Times New Roman"/>
          <w:i/>
          <w:iCs/>
          <w:lang w:val="en-GB"/>
        </w:rPr>
        <w:t>Journal of Cultural Heritage Management and Sustainable Development, 2</w:t>
      </w:r>
      <w:r w:rsidRPr="00CB667A">
        <w:rPr>
          <w:rFonts w:ascii="Times New Roman" w:hAnsi="Times New Roman" w:cs="Times New Roman"/>
          <w:lang w:val="en-GB"/>
        </w:rPr>
        <w:t>(1), 7–20. https://doi.org/10.1108/20441261211223256</w:t>
      </w:r>
    </w:p>
    <w:p w14:paraId="591F43E9" w14:textId="77777777" w:rsidR="0056617A" w:rsidRPr="00CB667A" w:rsidRDefault="0056617A" w:rsidP="00CB667A">
      <w:pPr>
        <w:rPr>
          <w:rFonts w:ascii="Times New Roman" w:hAnsi="Times New Roman" w:cs="Times New Roman"/>
          <w:lang w:val="en-US"/>
        </w:rPr>
      </w:pPr>
    </w:p>
    <w:sectPr w:rsidR="0056617A" w:rsidRPr="00CB667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30DB8"/>
    <w:multiLevelType w:val="hybridMultilevel"/>
    <w:tmpl w:val="EAA0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6540664">
    <w:abstractNumId w:val="0"/>
  </w:num>
  <w:num w:numId="2" w16cid:durableId="51579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17A"/>
    <w:rsid w:val="00104A32"/>
    <w:rsid w:val="0056617A"/>
    <w:rsid w:val="00CB667A"/>
    <w:rsid w:val="00DF741F"/>
    <w:rsid w:val="00EB6E1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2FE1"/>
  <w15:chartTrackingRefBased/>
  <w15:docId w15:val="{606885A0-529D-4C5D-86CF-B43CA284C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17A"/>
    <w:pPr>
      <w:spacing w:after="0" w:line="240" w:lineRule="auto"/>
    </w:pPr>
    <w:rPr>
      <w:szCs w:val="24"/>
      <w:lang w:bidi="ar-SA"/>
    </w:rPr>
  </w:style>
  <w:style w:type="paragraph" w:styleId="Heading1">
    <w:name w:val="heading 1"/>
    <w:basedOn w:val="Normal"/>
    <w:next w:val="Normal"/>
    <w:link w:val="Heading1Char"/>
    <w:uiPriority w:val="9"/>
    <w:qFormat/>
    <w:rsid w:val="0056617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6617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6617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661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61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617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617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617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617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7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6617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6617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661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61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6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6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6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617A"/>
    <w:rPr>
      <w:rFonts w:eastAsiaTheme="majorEastAsia" w:cstheme="majorBidi"/>
      <w:color w:val="272727" w:themeColor="text1" w:themeTint="D8"/>
    </w:rPr>
  </w:style>
  <w:style w:type="paragraph" w:styleId="Title">
    <w:name w:val="Title"/>
    <w:basedOn w:val="Normal"/>
    <w:next w:val="Normal"/>
    <w:link w:val="TitleChar"/>
    <w:uiPriority w:val="10"/>
    <w:qFormat/>
    <w:rsid w:val="0056617A"/>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6617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6617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6617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6617A"/>
    <w:pPr>
      <w:spacing w:before="160"/>
      <w:jc w:val="center"/>
    </w:pPr>
    <w:rPr>
      <w:i/>
      <w:iCs/>
      <w:color w:val="404040" w:themeColor="text1" w:themeTint="BF"/>
    </w:rPr>
  </w:style>
  <w:style w:type="character" w:customStyle="1" w:styleId="QuoteChar">
    <w:name w:val="Quote Char"/>
    <w:basedOn w:val="DefaultParagraphFont"/>
    <w:link w:val="Quote"/>
    <w:uiPriority w:val="29"/>
    <w:rsid w:val="0056617A"/>
    <w:rPr>
      <w:i/>
      <w:iCs/>
      <w:color w:val="404040" w:themeColor="text1" w:themeTint="BF"/>
    </w:rPr>
  </w:style>
  <w:style w:type="paragraph" w:styleId="ListParagraph">
    <w:name w:val="List Paragraph"/>
    <w:basedOn w:val="Normal"/>
    <w:uiPriority w:val="34"/>
    <w:qFormat/>
    <w:rsid w:val="0056617A"/>
    <w:pPr>
      <w:ind w:left="720"/>
      <w:contextualSpacing/>
    </w:pPr>
  </w:style>
  <w:style w:type="character" w:styleId="IntenseEmphasis">
    <w:name w:val="Intense Emphasis"/>
    <w:basedOn w:val="DefaultParagraphFont"/>
    <w:uiPriority w:val="21"/>
    <w:qFormat/>
    <w:rsid w:val="0056617A"/>
    <w:rPr>
      <w:i/>
      <w:iCs/>
      <w:color w:val="0F4761" w:themeColor="accent1" w:themeShade="BF"/>
    </w:rPr>
  </w:style>
  <w:style w:type="paragraph" w:styleId="IntenseQuote">
    <w:name w:val="Intense Quote"/>
    <w:basedOn w:val="Normal"/>
    <w:next w:val="Normal"/>
    <w:link w:val="IntenseQuoteChar"/>
    <w:uiPriority w:val="30"/>
    <w:qFormat/>
    <w:rsid w:val="005661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617A"/>
    <w:rPr>
      <w:i/>
      <w:iCs/>
      <w:color w:val="0F4761" w:themeColor="accent1" w:themeShade="BF"/>
    </w:rPr>
  </w:style>
  <w:style w:type="character" w:styleId="IntenseReference">
    <w:name w:val="Intense Reference"/>
    <w:basedOn w:val="DefaultParagraphFont"/>
    <w:uiPriority w:val="32"/>
    <w:qFormat/>
    <w:rsid w:val="0056617A"/>
    <w:rPr>
      <w:b/>
      <w:bCs/>
      <w:smallCaps/>
      <w:color w:val="0F4761" w:themeColor="accent1" w:themeShade="BF"/>
      <w:spacing w:val="5"/>
    </w:rPr>
  </w:style>
  <w:style w:type="character" w:styleId="Hyperlink">
    <w:name w:val="Hyperlink"/>
    <w:basedOn w:val="DefaultParagraphFont"/>
    <w:uiPriority w:val="99"/>
    <w:unhideWhenUsed/>
    <w:rsid w:val="0056617A"/>
    <w:rPr>
      <w:color w:val="467886" w:themeColor="hyperlink"/>
      <w:u w:val="single"/>
    </w:rPr>
  </w:style>
  <w:style w:type="character" w:styleId="UnresolvedMention">
    <w:name w:val="Unresolved Mention"/>
    <w:basedOn w:val="DefaultParagraphFont"/>
    <w:uiPriority w:val="99"/>
    <w:semiHidden/>
    <w:unhideWhenUsed/>
    <w:rsid w:val="00566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1010</Words>
  <Characters>5762</Characters>
  <Application>Microsoft Office Word</Application>
  <DocSecurity>0</DocSecurity>
  <Lines>48</Lines>
  <Paragraphs>13</Paragraphs>
  <ScaleCrop>false</ScaleCrop>
  <Company/>
  <LinksUpToDate>false</LinksUpToDate>
  <CharactersWithSpaces>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2026-05-17T13:16:00Z</dcterms:created>
  <dcterms:modified xsi:type="dcterms:W3CDTF">2026-05-17T13:16:00Z</dcterms:modified>
</cp:coreProperties>
</file>