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78" w:rsidRPr="004C0323" w:rsidRDefault="00B57E78" w:rsidP="00B57E78">
      <w:pPr>
        <w:spacing w:after="0"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pict>
          <v:rect id="_x0000_i1025" style="width:0;height:1.5pt" o:hralign="center" o:hrstd="t" o:hr="t" fillcolor="#a0a0a0" stroked="f"/>
        </w:pict>
      </w:r>
    </w:p>
    <w:p w:rsidR="004C0323" w:rsidRPr="002829E3" w:rsidRDefault="004C0323" w:rsidP="004C0323">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 xml:space="preserve">Submitted by       </w:t>
      </w:r>
      <w:r w:rsidR="00576979">
        <w:rPr>
          <w:rFonts w:ascii="Times New Roman" w:eastAsia="Times New Roman" w:hAnsi="Times New Roman" w:cs="Times New Roman"/>
          <w:b/>
          <w:bCs/>
        </w:rPr>
        <w:t xml:space="preserve">  </w:t>
      </w:r>
      <w:r w:rsidRPr="002829E3">
        <w:rPr>
          <w:rFonts w:ascii="Times New Roman" w:eastAsia="Times New Roman" w:hAnsi="Times New Roman" w:cs="Times New Roman"/>
          <w:b/>
          <w:bCs/>
        </w:rPr>
        <w:t>:</w:t>
      </w:r>
      <w:r w:rsidRPr="002829E3">
        <w:rPr>
          <w:rFonts w:ascii="Times New Roman" w:eastAsia="Times New Roman" w:hAnsi="Times New Roman" w:cs="Times New Roman"/>
        </w:rPr>
        <w:t xml:space="preserve"> </w:t>
      </w:r>
      <w:proofErr w:type="spellStart"/>
      <w:r w:rsidRPr="002829E3">
        <w:rPr>
          <w:rFonts w:ascii="Times New Roman" w:eastAsia="Times New Roman" w:hAnsi="Times New Roman" w:cs="Times New Roman"/>
        </w:rPr>
        <w:t>Ehtisham</w:t>
      </w:r>
      <w:proofErr w:type="spellEnd"/>
      <w:r w:rsidRPr="002829E3">
        <w:rPr>
          <w:rFonts w:ascii="Times New Roman" w:eastAsia="Times New Roman" w:hAnsi="Times New Roman" w:cs="Times New Roman"/>
        </w:rPr>
        <w:t xml:space="preserve"> </w:t>
      </w:r>
      <w:proofErr w:type="spellStart"/>
      <w:r w:rsidRPr="002829E3">
        <w:rPr>
          <w:rFonts w:ascii="Times New Roman" w:eastAsia="Times New Roman" w:hAnsi="Times New Roman" w:cs="Times New Roman"/>
        </w:rPr>
        <w:t>Ul</w:t>
      </w:r>
      <w:proofErr w:type="spellEnd"/>
      <w:r w:rsidRPr="002829E3">
        <w:rPr>
          <w:rFonts w:ascii="Times New Roman" w:eastAsia="Times New Roman" w:hAnsi="Times New Roman" w:cs="Times New Roman"/>
        </w:rPr>
        <w:t xml:space="preserve"> </w:t>
      </w:r>
      <w:proofErr w:type="spellStart"/>
      <w:r w:rsidRPr="002829E3">
        <w:rPr>
          <w:rFonts w:ascii="Times New Roman" w:eastAsia="Times New Roman" w:hAnsi="Times New Roman" w:cs="Times New Roman"/>
        </w:rPr>
        <w:t>Haq</w:t>
      </w:r>
      <w:proofErr w:type="spellEnd"/>
    </w:p>
    <w:p w:rsidR="004C0323" w:rsidRPr="002829E3" w:rsidRDefault="004C0323" w:rsidP="004C0323">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 xml:space="preserve">Course                  </w:t>
      </w:r>
      <w:r w:rsidR="00576979">
        <w:rPr>
          <w:rFonts w:ascii="Times New Roman" w:eastAsia="Times New Roman" w:hAnsi="Times New Roman" w:cs="Times New Roman"/>
          <w:b/>
        </w:rPr>
        <w:t xml:space="preserve">  </w:t>
      </w:r>
      <w:r w:rsidRPr="002829E3">
        <w:rPr>
          <w:rFonts w:ascii="Times New Roman" w:eastAsia="Times New Roman" w:hAnsi="Times New Roman" w:cs="Times New Roman"/>
          <w:b/>
        </w:rPr>
        <w:t>:</w:t>
      </w:r>
      <w:r w:rsidRPr="002829E3">
        <w:rPr>
          <w:rFonts w:ascii="Times New Roman" w:eastAsia="Times New Roman" w:hAnsi="Times New Roman" w:cs="Times New Roman"/>
        </w:rPr>
        <w:t xml:space="preserve"> BA Tourism Management and Recreation</w:t>
      </w:r>
    </w:p>
    <w:p w:rsidR="004C0323" w:rsidRPr="002829E3" w:rsidRDefault="004C0323" w:rsidP="004C0323">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w:t>
      </w:r>
      <w:r w:rsidR="00576979">
        <w:rPr>
          <w:rFonts w:ascii="Times New Roman" w:eastAsia="Times New Roman" w:hAnsi="Times New Roman" w:cs="Times New Roman"/>
          <w:b/>
        </w:rPr>
        <w:t xml:space="preserve">   </w:t>
      </w:r>
      <w:r w:rsidRPr="002829E3">
        <w:rPr>
          <w:rFonts w:ascii="Times New Roman" w:eastAsia="Times New Roman" w:hAnsi="Times New Roman" w:cs="Times New Roman"/>
          <w:b/>
        </w:rPr>
        <w:t xml:space="preserve">: </w:t>
      </w:r>
      <w:r>
        <w:rPr>
          <w:rFonts w:ascii="Times New Roman" w:eastAsia="Times New Roman" w:hAnsi="Times New Roman" w:cs="Times New Roman"/>
        </w:rPr>
        <w:t xml:space="preserve">Health Threats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w:t>
      </w:r>
      <w:r w:rsidR="00576979">
        <w:rPr>
          <w:rFonts w:ascii="Times New Roman" w:eastAsia="Times New Roman" w:hAnsi="Times New Roman" w:cs="Times New Roman"/>
        </w:rPr>
        <w:t>Tourism</w:t>
      </w:r>
    </w:p>
    <w:p w:rsidR="004C0323" w:rsidRDefault="004C0323" w:rsidP="004C0323">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00576979">
        <w:rPr>
          <w:rFonts w:ascii="Times New Roman" w:eastAsia="Times New Roman" w:hAnsi="Times New Roman" w:cs="Times New Roman"/>
          <w:b/>
          <w:bCs/>
        </w:rPr>
        <w:t xml:space="preserve">   </w:t>
      </w:r>
      <w:r w:rsidRPr="002829E3">
        <w:rPr>
          <w:rFonts w:ascii="Times New Roman" w:eastAsia="Times New Roman" w:hAnsi="Times New Roman" w:cs="Times New Roman"/>
          <w:b/>
          <w:bCs/>
        </w:rPr>
        <w:t>:</w:t>
      </w:r>
      <w:r w:rsidRPr="002829E3">
        <w:rPr>
          <w:rFonts w:ascii="Times New Roman" w:eastAsia="Times New Roman" w:hAnsi="Times New Roman" w:cs="Times New Roman"/>
        </w:rPr>
        <w:t xml:space="preserve"> European Institute of Innovation Entrepreneurship and Technology</w:t>
      </w:r>
    </w:p>
    <w:p w:rsidR="004C0323" w:rsidRPr="00671F5B" w:rsidRDefault="004C0323" w:rsidP="004C0323">
      <w:pPr>
        <w:rPr>
          <w:rFonts w:ascii="Times New Roman" w:hAnsi="Times New Roman" w:cs="Times New Roman"/>
          <w:lang w:val="de-DE"/>
        </w:rPr>
      </w:pPr>
      <w:r w:rsidRPr="00576979">
        <w:rPr>
          <w:rFonts w:ascii="Times New Roman" w:hAnsi="Times New Roman" w:cs="Times New Roman"/>
          <w:b/>
          <w:lang w:val="de-DE"/>
        </w:rPr>
        <w:t>Lecturer</w:t>
      </w:r>
      <w:r w:rsidR="00576979">
        <w:rPr>
          <w:rFonts w:ascii="Times New Roman" w:hAnsi="Times New Roman" w:cs="Times New Roman"/>
          <w:b/>
          <w:lang w:val="de-DE"/>
        </w:rPr>
        <w:t xml:space="preserve">                 </w:t>
      </w:r>
      <w:r w:rsidRPr="00576979">
        <w:rPr>
          <w:rFonts w:ascii="Times New Roman" w:hAnsi="Times New Roman" w:cs="Times New Roman"/>
          <w:b/>
          <w:lang w:val="de-DE"/>
        </w:rPr>
        <w:t>:</w:t>
      </w:r>
      <w:r w:rsidRPr="00671F5B">
        <w:rPr>
          <w:rFonts w:ascii="Times New Roman" w:hAnsi="Times New Roman" w:cs="Times New Roman"/>
          <w:lang w:val="de-DE"/>
        </w:rPr>
        <w:t xml:space="preserve"> Mahmoud Abdou</w:t>
      </w:r>
    </w:p>
    <w:p w:rsidR="004C0323" w:rsidRPr="002829E3" w:rsidRDefault="004C0323" w:rsidP="004C0323">
      <w:pPr>
        <w:spacing w:before="100" w:beforeAutospacing="1" w:after="100" w:afterAutospacing="1"/>
        <w:rPr>
          <w:rFonts w:ascii="Times New Roman" w:eastAsia="Times New Roman" w:hAnsi="Times New Roman" w:cs="Times New Roman"/>
        </w:rPr>
      </w:pPr>
    </w:p>
    <w:p w:rsidR="004C0323" w:rsidRDefault="004C0323" w:rsidP="00B57E78">
      <w:pPr>
        <w:spacing w:before="100" w:beforeAutospacing="1" w:after="100" w:afterAutospacing="1" w:line="240" w:lineRule="auto"/>
        <w:outlineLvl w:val="2"/>
        <w:rPr>
          <w:rFonts w:ascii="Times New Roman" w:eastAsia="Times New Roman" w:hAnsi="Times New Roman" w:cs="Times New Roman"/>
          <w:b/>
          <w:bCs/>
          <w:sz w:val="24"/>
          <w:szCs w:val="24"/>
        </w:rPr>
      </w:pPr>
    </w:p>
    <w:p w:rsidR="004C0323" w:rsidRDefault="00B57E78" w:rsidP="00B57E78">
      <w:pPr>
        <w:spacing w:before="100" w:beforeAutospacing="1" w:after="100" w:afterAutospacing="1" w:line="240" w:lineRule="auto"/>
        <w:rPr>
          <w:rFonts w:ascii="Times New Roman" w:eastAsia="Times New Roman" w:hAnsi="Times New Roman" w:cs="Times New Roman"/>
          <w:b/>
          <w:bCs/>
          <w:sz w:val="24"/>
          <w:szCs w:val="24"/>
        </w:rPr>
      </w:pPr>
      <w:r w:rsidRPr="004C0323">
        <w:rPr>
          <w:rFonts w:ascii="Times New Roman" w:eastAsia="Times New Roman" w:hAnsi="Times New Roman" w:cs="Times New Roman"/>
          <w:b/>
          <w:bCs/>
          <w:sz w:val="24"/>
          <w:szCs w:val="24"/>
        </w:rPr>
        <w:t>Title:</w:t>
      </w:r>
    </w:p>
    <w:p w:rsidR="00B57E78" w:rsidRPr="004C0323" w:rsidRDefault="00B57E78" w:rsidP="00B57E78">
      <w:p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br/>
      </w:r>
      <w:r w:rsidRPr="004C0323">
        <w:rPr>
          <w:rFonts w:ascii="Times New Roman" w:eastAsia="Times New Roman" w:hAnsi="Times New Roman" w:cs="Times New Roman"/>
          <w:bCs/>
          <w:sz w:val="24"/>
          <w:szCs w:val="24"/>
        </w:rPr>
        <w:t xml:space="preserve">A Multi-Tiered Strategic Framework for Managing Public Health Threats </w:t>
      </w:r>
      <w:proofErr w:type="gramStart"/>
      <w:r w:rsidRPr="004C0323">
        <w:rPr>
          <w:rFonts w:ascii="Times New Roman" w:eastAsia="Times New Roman" w:hAnsi="Times New Roman" w:cs="Times New Roman"/>
          <w:bCs/>
          <w:sz w:val="24"/>
          <w:szCs w:val="24"/>
        </w:rPr>
        <w:t>Across</w:t>
      </w:r>
      <w:proofErr w:type="gramEnd"/>
      <w:r w:rsidRPr="004C0323">
        <w:rPr>
          <w:rFonts w:ascii="Times New Roman" w:eastAsia="Times New Roman" w:hAnsi="Times New Roman" w:cs="Times New Roman"/>
          <w:bCs/>
          <w:sz w:val="24"/>
          <w:szCs w:val="24"/>
        </w:rPr>
        <w:t xml:space="preserve"> Cross-Border Tourism Zones: A Case Study of ASEAN Travel Regions</w:t>
      </w:r>
    </w:p>
    <w:p w:rsidR="00B57E78" w:rsidRPr="004C0323" w:rsidRDefault="00B57E78" w:rsidP="00B57E78">
      <w:pPr>
        <w:spacing w:after="0"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pict>
          <v:rect id="_x0000_i1026" style="width:0;height:1.5pt" o:hralign="center" o:hrstd="t" o:hr="t" fillcolor="#a0a0a0" stroked="f"/>
        </w:pict>
      </w:r>
    </w:p>
    <w:p w:rsidR="00B57E78" w:rsidRPr="004C0323" w:rsidRDefault="00B57E78" w:rsidP="00B57E78">
      <w:pPr>
        <w:spacing w:before="100" w:beforeAutospacing="1" w:after="100" w:afterAutospacing="1" w:line="240" w:lineRule="auto"/>
        <w:outlineLvl w:val="2"/>
        <w:rPr>
          <w:rFonts w:ascii="Times New Roman" w:eastAsia="Times New Roman" w:hAnsi="Times New Roman" w:cs="Times New Roman"/>
          <w:b/>
          <w:bCs/>
          <w:sz w:val="24"/>
          <w:szCs w:val="24"/>
        </w:rPr>
      </w:pPr>
      <w:r w:rsidRPr="004C0323">
        <w:rPr>
          <w:rFonts w:ascii="Times New Roman" w:eastAsia="Times New Roman" w:hAnsi="Times New Roman" w:cs="Times New Roman"/>
          <w:b/>
          <w:bCs/>
          <w:sz w:val="24"/>
          <w:szCs w:val="24"/>
        </w:rPr>
        <w:t>Step 2: Table of Contents</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Abstract</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Introduction</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Literature Review</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Methodology</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Findings</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Discussion</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Conclusion</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References</w:t>
      </w:r>
    </w:p>
    <w:p w:rsidR="00B57E78" w:rsidRPr="004C0323" w:rsidRDefault="00B57E78" w:rsidP="00B57E7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Appendices</w:t>
      </w:r>
    </w:p>
    <w:p w:rsidR="00B57E78" w:rsidRPr="004C0323" w:rsidRDefault="00B57E78" w:rsidP="00B57E78">
      <w:pPr>
        <w:spacing w:after="0"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pict>
          <v:rect id="_x0000_i1027" style="width:0;height:1.5pt" o:hralign="center" o:hrstd="t" o:hr="t" fillcolor="#a0a0a0" stroked="f"/>
        </w:pict>
      </w:r>
    </w:p>
    <w:p w:rsidR="00B57E78" w:rsidRPr="004C0323" w:rsidRDefault="00B57E78" w:rsidP="00B57E78">
      <w:p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b/>
          <w:bCs/>
          <w:sz w:val="24"/>
          <w:szCs w:val="24"/>
        </w:rPr>
        <w:t>Abstract:</w:t>
      </w:r>
    </w:p>
    <w:p w:rsidR="00B57E78" w:rsidRPr="004C0323" w:rsidRDefault="00B57E78" w:rsidP="00B57E78">
      <w:p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 xml:space="preserve">Cross-border tourism zones such as the ASEAN travel region face unique challenges in managing public health threats due to varying national regulations, healthcare capacities, and surveillance systems. The COVID-19 pandemic exposed critical vulnerabilities in coordination between member states, highlighting the need for a multi-tiered strategic framework to ensure timely detection, communication, and containment of health risks. This report proposes an integrated health crisis management model that addresses fragmented governance structures, </w:t>
      </w:r>
      <w:r w:rsidRPr="004C0323">
        <w:rPr>
          <w:rFonts w:ascii="Times New Roman" w:eastAsia="Times New Roman" w:hAnsi="Times New Roman" w:cs="Times New Roman"/>
          <w:sz w:val="24"/>
          <w:szCs w:val="24"/>
        </w:rPr>
        <w:lastRenderedPageBreak/>
        <w:t>aligns with international health protocols (e.g., WHO International Health Regulations, EU Health Security Framework), and leverages real-time risk communication strategies.</w:t>
      </w:r>
    </w:p>
    <w:p w:rsidR="00B57E78" w:rsidRPr="004C0323" w:rsidRDefault="00B57E78" w:rsidP="00B57E78">
      <w:p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 xml:space="preserve">The proposed framework consists of three tiers: (1) </w:t>
      </w:r>
      <w:r w:rsidRPr="004C0323">
        <w:rPr>
          <w:rFonts w:ascii="Times New Roman" w:eastAsia="Times New Roman" w:hAnsi="Times New Roman" w:cs="Times New Roman"/>
          <w:b/>
          <w:bCs/>
          <w:sz w:val="24"/>
          <w:szCs w:val="24"/>
        </w:rPr>
        <w:t>Early Warning and Surveillance</w:t>
      </w:r>
      <w:r w:rsidRPr="004C0323">
        <w:rPr>
          <w:rFonts w:ascii="Times New Roman" w:eastAsia="Times New Roman" w:hAnsi="Times New Roman" w:cs="Times New Roman"/>
          <w:sz w:val="24"/>
          <w:szCs w:val="24"/>
        </w:rPr>
        <w:t xml:space="preserve">, which emphasizes cross-border data sharing and predictive analytics; (2) </w:t>
      </w:r>
      <w:r w:rsidRPr="004C0323">
        <w:rPr>
          <w:rFonts w:ascii="Times New Roman" w:eastAsia="Times New Roman" w:hAnsi="Times New Roman" w:cs="Times New Roman"/>
          <w:b/>
          <w:bCs/>
          <w:sz w:val="24"/>
          <w:szCs w:val="24"/>
        </w:rPr>
        <w:t>Crisis Response and Containment</w:t>
      </w:r>
      <w:r w:rsidRPr="004C0323">
        <w:rPr>
          <w:rFonts w:ascii="Times New Roman" w:eastAsia="Times New Roman" w:hAnsi="Times New Roman" w:cs="Times New Roman"/>
          <w:sz w:val="24"/>
          <w:szCs w:val="24"/>
        </w:rPr>
        <w:t xml:space="preserve">, including harmonized quarantine policies, coordinated healthcare resource allocation, and rapid deployment of emergency medical teams; and (3) </w:t>
      </w:r>
      <w:r w:rsidRPr="004C0323">
        <w:rPr>
          <w:rFonts w:ascii="Times New Roman" w:eastAsia="Times New Roman" w:hAnsi="Times New Roman" w:cs="Times New Roman"/>
          <w:b/>
          <w:bCs/>
          <w:sz w:val="24"/>
          <w:szCs w:val="24"/>
        </w:rPr>
        <w:t>Post-Crisis Recovery and Evaluation</w:t>
      </w:r>
      <w:r w:rsidRPr="004C0323">
        <w:rPr>
          <w:rFonts w:ascii="Times New Roman" w:eastAsia="Times New Roman" w:hAnsi="Times New Roman" w:cs="Times New Roman"/>
          <w:sz w:val="24"/>
          <w:szCs w:val="24"/>
        </w:rPr>
        <w:t>, focusing on lessons learned, risk assessment updates, and continuous improvement. Case studies from ASEAN countries, the Schengen Area, and COVID-19 responses are analyzed to illustrate practical applications and limitations of existing systems.</w:t>
      </w:r>
    </w:p>
    <w:p w:rsidR="00B57E78" w:rsidRPr="004C0323" w:rsidRDefault="00B57E78" w:rsidP="00B57E78">
      <w:pPr>
        <w:spacing w:before="100" w:beforeAutospacing="1" w:after="100" w:afterAutospacing="1" w:line="240" w:lineRule="auto"/>
        <w:rPr>
          <w:rFonts w:ascii="Times New Roman" w:eastAsia="Times New Roman" w:hAnsi="Times New Roman" w:cs="Times New Roman"/>
          <w:sz w:val="24"/>
          <w:szCs w:val="24"/>
        </w:rPr>
      </w:pPr>
      <w:r w:rsidRPr="004C0323">
        <w:rPr>
          <w:rFonts w:ascii="Times New Roman" w:eastAsia="Times New Roman" w:hAnsi="Times New Roman" w:cs="Times New Roman"/>
          <w:sz w:val="24"/>
          <w:szCs w:val="24"/>
        </w:rPr>
        <w:t>Key findings indicate that timely communication, legal coordination, and unified health standards across borders significantly reduce outbreak spread while maintaining tourism flows. Recommendations include establishing a regional health task force, implementing digital surveillance tools, and standardizing traveler health protocols. This framework offers policymakers, tourism authorities, and public health officials a practical roadmap for mitigating health threats while sustaining cross-border tourism in high-risk regions.</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34" style="width:0;height:1.5pt" o:hralign="center" o:hrstd="t" o:hr="t" fillcolor="#a0a0a0" stroked="f"/>
        </w:pict>
      </w:r>
    </w:p>
    <w:p w:rsidR="00B57E78" w:rsidRPr="004C0323" w:rsidRDefault="00B57E78" w:rsidP="00B57E78">
      <w:pPr>
        <w:pStyle w:val="Heading3"/>
        <w:rPr>
          <w:sz w:val="24"/>
          <w:szCs w:val="24"/>
        </w:rPr>
      </w:pPr>
      <w:r w:rsidRPr="004C0323">
        <w:rPr>
          <w:rStyle w:val="Strong"/>
          <w:b/>
          <w:bCs/>
          <w:sz w:val="24"/>
          <w:szCs w:val="24"/>
        </w:rPr>
        <w:t>1. Introduction</w:t>
      </w:r>
    </w:p>
    <w:p w:rsidR="00B57E78" w:rsidRPr="004C0323" w:rsidRDefault="00B57E78" w:rsidP="00B57E78">
      <w:pPr>
        <w:pStyle w:val="NormalWeb"/>
      </w:pPr>
      <w:r w:rsidRPr="004C0323">
        <w:t>The global tourism industry is highly vulnerable to health-related crises due to its reliance on human mobility, cross-border interaction, and mass gatherings. Public health threats such as pandemics, epidemics, and emerging infectious diseases have repeatedly disrupted tourism systems, causing economic losses, social instability, and long-term reputational damage to destinations. The COVID-19 pandemic, in particular, demonstrated how quickly health risks can escalate across borders, especially in interconnected tourism zones such as the Association of Southeast Asian Nations (ASEAN) travel region, the Schengen Area in Europe, and other cross-border tourism corridors. These regions are characterized by high tourist mobility, shared infrastructure, and economic interdependence, making coordinated health crisis management essential.</w:t>
      </w:r>
    </w:p>
    <w:p w:rsidR="00B57E78" w:rsidRPr="004C0323" w:rsidRDefault="00B57E78" w:rsidP="00B57E78">
      <w:pPr>
        <w:pStyle w:val="NormalWeb"/>
      </w:pPr>
      <w:r w:rsidRPr="004C0323">
        <w:t>Cross-border tourism zones present unique governance challenges. While tourism flows are regional, health policies, surveillance systems, and emergency response capacities remain largely national. Differences in healthcare infrastructure, legal frameworks, data-sharing mechanisms, and political priorities often lead to fragmented responses during health emergencies. As observed during COVID-19, inconsistent travel restrictions, delayed information sharing, and uncoordinated containment measures contributed to prolonged outbreaks and uncertainty for travelers and tourism stakeholders (World Health Organization [WHO], 2020). These shortcomings highlight the urgent need for a structured, multi-tiered health crisis management framework that operates beyond national boundaries while respecting national sovereignty.</w:t>
      </w:r>
    </w:p>
    <w:p w:rsidR="00B57E78" w:rsidRPr="004C0323" w:rsidRDefault="00B57E78" w:rsidP="00B57E78">
      <w:pPr>
        <w:pStyle w:val="NormalWeb"/>
      </w:pPr>
      <w:r w:rsidRPr="004C0323">
        <w:t xml:space="preserve">Strategic crisis management in tourism requires a proactive and integrated approach that combines public health preparedness, risk communication, legal coordination, and industry collaboration. International health bodies such as the WHO and the Centers for Disease Control </w:t>
      </w:r>
      <w:r w:rsidRPr="004C0323">
        <w:lastRenderedPageBreak/>
        <w:t>and Prevention (CDC) have established global standards and guidelines, including the International Health Regulations (IHR), to support early detection and response to public health emergencies. However, the implementation of these standards at the regional tourism level remains uneven, particularly in developing and emerging tourism economies. This gap underscores the importance of aligning tourism governance with international health security frameworks to ensure both public safety and economic resilience.</w:t>
      </w:r>
    </w:p>
    <w:p w:rsidR="00B57E78" w:rsidRPr="004C0323" w:rsidRDefault="00B57E78" w:rsidP="00B57E78">
      <w:pPr>
        <w:pStyle w:val="NormalWeb"/>
      </w:pPr>
      <w:r w:rsidRPr="004C0323">
        <w:t xml:space="preserve">The scope of this assignment focuses on the development of a </w:t>
      </w:r>
      <w:r w:rsidRPr="004C0323">
        <w:rPr>
          <w:rStyle w:val="Strong"/>
        </w:rPr>
        <w:t>multi-tiered strategic framework for managing public health threats in cross-border tourism zones</w:t>
      </w:r>
      <w:r w:rsidRPr="004C0323">
        <w:t>, with particular emphasis on ASEAN-style regional travel arrangements. The framework addresses the full crisis management cycle, including prevention, preparedness, response, recovery, and evaluation. It integrates health surveillance systems, coordinated policy responses, and risk communication strategies while considering the legal, ethical, and operational challenges of cross-border cooperation. The study also draws lessons from real-world case studies, including pandemic responses in Southeast Asia and Europe, to illustrate best practices and systemic weaknesses.</w:t>
      </w:r>
    </w:p>
    <w:p w:rsidR="00B57E78" w:rsidRPr="004C0323" w:rsidRDefault="00B57E78" w:rsidP="00B57E78">
      <w:pPr>
        <w:pStyle w:val="NormalWeb"/>
      </w:pPr>
      <w:r w:rsidRPr="004C0323">
        <w:t>The primary objective of this report is to propose a comprehensive and practical health crisis management framework that enhances regional coordination while maintaining tourism continuity. Specifically, the assignment aims to:</w:t>
      </w:r>
    </w:p>
    <w:p w:rsidR="00B57E78" w:rsidRPr="004C0323" w:rsidRDefault="00B57E78" w:rsidP="00B57E78">
      <w:pPr>
        <w:pStyle w:val="NormalWeb"/>
        <w:numPr>
          <w:ilvl w:val="0"/>
          <w:numId w:val="2"/>
        </w:numPr>
      </w:pPr>
      <w:r w:rsidRPr="004C0323">
        <w:t>Critically examine disparities in health regulations, surveillance systems, and response capacities across countries within cross-border tourism zones.</w:t>
      </w:r>
    </w:p>
    <w:p w:rsidR="00B57E78" w:rsidRPr="004C0323" w:rsidRDefault="00B57E78" w:rsidP="00B57E78">
      <w:pPr>
        <w:pStyle w:val="NormalWeb"/>
        <w:numPr>
          <w:ilvl w:val="0"/>
          <w:numId w:val="2"/>
        </w:numPr>
      </w:pPr>
      <w:r w:rsidRPr="004C0323">
        <w:t>Propose a coordinated, multi-tiered policy framework for health crisis detection, communication, and containment aligned with international health standards.</w:t>
      </w:r>
    </w:p>
    <w:p w:rsidR="00B57E78" w:rsidRPr="004C0323" w:rsidRDefault="00B57E78" w:rsidP="00B57E78">
      <w:pPr>
        <w:pStyle w:val="NormalWeb"/>
        <w:numPr>
          <w:ilvl w:val="0"/>
          <w:numId w:val="2"/>
        </w:numPr>
      </w:pPr>
      <w:r w:rsidRPr="004C0323">
        <w:t>Identify mechanisms for managing fragmented governance through legal coordination, data sharing, and institutional collaboration.</w:t>
      </w:r>
    </w:p>
    <w:p w:rsidR="00B57E78" w:rsidRPr="004C0323" w:rsidRDefault="00B57E78" w:rsidP="00B57E78">
      <w:pPr>
        <w:pStyle w:val="NormalWeb"/>
        <w:numPr>
          <w:ilvl w:val="0"/>
          <w:numId w:val="2"/>
        </w:numPr>
      </w:pPr>
      <w:r w:rsidRPr="004C0323">
        <w:t>Emphasize the role of risk communication and trust-building among governments, tourism stakeholders, and travelers.</w:t>
      </w:r>
    </w:p>
    <w:p w:rsidR="00B57E78" w:rsidRPr="004C0323" w:rsidRDefault="00B57E78" w:rsidP="00B57E78">
      <w:pPr>
        <w:pStyle w:val="NormalWeb"/>
        <w:numPr>
          <w:ilvl w:val="0"/>
          <w:numId w:val="2"/>
        </w:numPr>
      </w:pPr>
      <w:r w:rsidRPr="004C0323">
        <w:t>Contribute to the academic and practical discourse on health security and sustainable tourism management.</w:t>
      </w:r>
    </w:p>
    <w:p w:rsidR="00B57E78" w:rsidRPr="004C0323" w:rsidRDefault="00B57E78" w:rsidP="00B57E78">
      <w:pPr>
        <w:pStyle w:val="NormalWeb"/>
      </w:pPr>
      <w:r w:rsidRPr="004C0323">
        <w:t>By addressing these objectives, the report seeks to bridge the gap between public health governance and tourism crisis management. The findings and recommendations aim to support policymakers, tourism authorities, and international organizations in designing resilient systems capable of mitigating health threats while sustaining cross-border tourism in an increasingly interconnected world.</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35" style="width:0;height:1.5pt" o:hralign="center" o:hrstd="t" o:hr="t" fillcolor="#a0a0a0" stroked="f"/>
        </w:pict>
      </w:r>
    </w:p>
    <w:p w:rsidR="00B57E78" w:rsidRPr="004C0323" w:rsidRDefault="00B57E78" w:rsidP="00B57E78">
      <w:pPr>
        <w:rPr>
          <w:rFonts w:ascii="Times New Roman" w:hAnsi="Times New Roman" w:cs="Times New Roman"/>
          <w:sz w:val="24"/>
          <w:szCs w:val="24"/>
        </w:rPr>
      </w:pPr>
    </w:p>
    <w:p w:rsidR="00B57E78" w:rsidRPr="004C0323" w:rsidRDefault="00B57E78" w:rsidP="00B57E78">
      <w:pPr>
        <w:pStyle w:val="Heading3"/>
        <w:rPr>
          <w:sz w:val="24"/>
          <w:szCs w:val="24"/>
        </w:rPr>
      </w:pPr>
      <w:r w:rsidRPr="004C0323">
        <w:rPr>
          <w:rStyle w:val="Strong"/>
          <w:b/>
          <w:bCs/>
          <w:sz w:val="24"/>
          <w:szCs w:val="24"/>
        </w:rPr>
        <w:t>2. Literature Review</w:t>
      </w:r>
    </w:p>
    <w:p w:rsidR="00B57E78" w:rsidRPr="004C0323" w:rsidRDefault="00B57E78" w:rsidP="004C0323">
      <w:r w:rsidRPr="004C0323">
        <w:rPr>
          <w:rStyle w:val="Strong"/>
          <w:rFonts w:ascii="Times New Roman" w:hAnsi="Times New Roman" w:cs="Times New Roman"/>
          <w:bCs w:val="0"/>
          <w:sz w:val="24"/>
          <w:szCs w:val="24"/>
        </w:rPr>
        <w:t>2.1 Health Threats in Tourism: Conceptual Overview</w:t>
      </w:r>
    </w:p>
    <w:p w:rsidR="00B57E78" w:rsidRPr="004C0323" w:rsidRDefault="00B57E78" w:rsidP="00B57E78">
      <w:pPr>
        <w:pStyle w:val="NormalWeb"/>
      </w:pPr>
      <w:r w:rsidRPr="004C0323">
        <w:lastRenderedPageBreak/>
        <w:t xml:space="preserve">Tourism is inherently sensitive to health threats due to its dependence on mobility, human interaction, and perceptions of safety. Health threats in tourism typically include infectious disease outbreaks (e.g., COVID-19, SARS, </w:t>
      </w:r>
      <w:proofErr w:type="gramStart"/>
      <w:r w:rsidRPr="004C0323">
        <w:t>Ebola</w:t>
      </w:r>
      <w:proofErr w:type="gramEnd"/>
      <w:r w:rsidRPr="004C0323">
        <w:t>), food- and water-borne illnesses, vector-borne diseases, and environmental health risks (Hall et al., 2020). Unlike localized disasters, health crises often transcend national boundaries, spreading rapidly through international travel networks. As a result, tourism destinations—especially cross-border tourism zones—face amplified risks when public health systems fail to respond in a coordinated manner.</w:t>
      </w:r>
    </w:p>
    <w:p w:rsidR="00B57E78" w:rsidRPr="004C0323" w:rsidRDefault="00B57E78" w:rsidP="00B57E78">
      <w:pPr>
        <w:pStyle w:val="NormalWeb"/>
      </w:pPr>
      <w:r w:rsidRPr="004C0323">
        <w:t>Scholars emphasize that health crises affect tourism in both direct and indirect ways. Direct impacts include travel restrictions, border closures, and reduced tourist arrivals, while indirect impacts involve reputational damage, loss of traveler confidence, and long-term economic disruption (</w:t>
      </w:r>
      <w:proofErr w:type="spellStart"/>
      <w:r w:rsidRPr="004C0323">
        <w:t>Zenker</w:t>
      </w:r>
      <w:proofErr w:type="spellEnd"/>
      <w:r w:rsidRPr="004C0323">
        <w:t xml:space="preserve"> &amp; </w:t>
      </w:r>
      <w:proofErr w:type="spellStart"/>
      <w:r w:rsidRPr="004C0323">
        <w:t>Kock</w:t>
      </w:r>
      <w:proofErr w:type="spellEnd"/>
      <w:r w:rsidRPr="004C0323">
        <w:t>, 2020). The literature consistently highlights that perceptions of health safety are a primary determinant of destination choice, often outweighing cost or attractiveness during crisis periods (</w:t>
      </w:r>
      <w:proofErr w:type="spellStart"/>
      <w:r w:rsidRPr="004C0323">
        <w:t>Cahyanto</w:t>
      </w:r>
      <w:proofErr w:type="spellEnd"/>
      <w:r w:rsidRPr="004C0323">
        <w:t xml:space="preserve"> et al., 2016).</w:t>
      </w:r>
    </w:p>
    <w:p w:rsidR="00B57E78" w:rsidRPr="004C0323" w:rsidRDefault="00B57E78" w:rsidP="004C0323">
      <w:r w:rsidRPr="004C0323">
        <w:rPr>
          <w:rStyle w:val="Strong"/>
          <w:rFonts w:ascii="Times New Roman" w:hAnsi="Times New Roman" w:cs="Times New Roman"/>
          <w:bCs w:val="0"/>
          <w:sz w:val="24"/>
          <w:szCs w:val="24"/>
        </w:rPr>
        <w:t>2.2 Crisis Management and Tourism Resilience</w:t>
      </w:r>
    </w:p>
    <w:p w:rsidR="00B57E78" w:rsidRPr="004C0323" w:rsidRDefault="00B57E78" w:rsidP="00B57E78">
      <w:pPr>
        <w:pStyle w:val="NormalWeb"/>
      </w:pPr>
      <w:r w:rsidRPr="004C0323">
        <w:t>Crisis management in tourism has been widely studied through models emphasizing preparedness, response, recovery, and learning. Faulkner’s (2001) tourism disaster management framework remains foundational, outlining six phases: pre-event, prodromal, emergency, intermediate, long-term recovery, and resolution. Later studies adapted this model to public health crises, stressing the need for early detection and proactive planning (Ritchie, 2004).</w:t>
      </w:r>
    </w:p>
    <w:p w:rsidR="00B57E78" w:rsidRPr="004C0323" w:rsidRDefault="00B57E78" w:rsidP="00B57E78">
      <w:pPr>
        <w:pStyle w:val="NormalWeb"/>
      </w:pPr>
      <w:r w:rsidRPr="004C0323">
        <w:t>Tourism resilience theory further explains how destinations can absorb shocks and adapt to disruptions. According to Biggs et al. (2015), resilient tourism systems rely on adaptive governance, diversified markets, stakeholder collaboration, and continuous learning. Health crises test resilience by exposing weaknesses in coordination, healthcare capacity, and communication systems. The COVID-19 pandemic demonstrated that destinations with strong institutional trust and integrated public health strategies recovered faster than those with fragmented responses (OECD, 2021).</w:t>
      </w:r>
    </w:p>
    <w:p w:rsidR="00B57E78" w:rsidRPr="004C0323" w:rsidRDefault="00B57E78" w:rsidP="004C0323">
      <w:r w:rsidRPr="004C0323">
        <w:rPr>
          <w:rStyle w:val="Strong"/>
          <w:rFonts w:ascii="Times New Roman" w:hAnsi="Times New Roman" w:cs="Times New Roman"/>
          <w:bCs w:val="0"/>
          <w:sz w:val="24"/>
          <w:szCs w:val="24"/>
        </w:rPr>
        <w:t>2.3 Cross-Border Tourism Zones and Governance Challenges</w:t>
      </w:r>
    </w:p>
    <w:p w:rsidR="00B57E78" w:rsidRPr="004C0323" w:rsidRDefault="00B57E78" w:rsidP="00B57E78">
      <w:pPr>
        <w:pStyle w:val="NormalWeb"/>
      </w:pPr>
      <w:r w:rsidRPr="004C0323">
        <w:t>Cross-border tourism zones, such as the ASEAN region and the Schengen Area, operate under shared mobility agreements but retain nationally governed health systems. This structural mismatch creates governance gaps during health emergencies. Scholars argue that while tourism integration has advanced rapidly, health security integration has lagged behind (Greer et al., 2020).</w:t>
      </w:r>
    </w:p>
    <w:p w:rsidR="00B57E78" w:rsidRPr="004C0323" w:rsidRDefault="00B57E78" w:rsidP="00B57E78">
      <w:pPr>
        <w:pStyle w:val="NormalWeb"/>
      </w:pPr>
      <w:r w:rsidRPr="004C0323">
        <w:t>Differences in surveillance systems, testing capacity, vaccination policies, and legal authority complicate coordinated responses. For example, during COVID-19, ASEAN countries implemented divergent travel restrictions and quarantine measures, creating confusion among travelers and tourism operators (UNWTO, 2021). Similarly, the European Union faced challenges aligning national responses despite existing health cooperation frameworks.</w:t>
      </w:r>
    </w:p>
    <w:p w:rsidR="00B57E78" w:rsidRPr="004C0323" w:rsidRDefault="00B57E78" w:rsidP="00B57E78">
      <w:pPr>
        <w:pStyle w:val="NormalWeb"/>
      </w:pPr>
      <w:r w:rsidRPr="004C0323">
        <w:lastRenderedPageBreak/>
        <w:t>Literature emphasizes the need for supranational coordination mechanisms that do not replace national sovereignty but facilitate harmonization of standards, mutual recognition of health certifications, and shared risk assessment (McCloskey et al., 2020). Without such coordination, cross-border tourism zones remain vulnerable to delayed detection and uneven containment of outbreaks.</w:t>
      </w:r>
    </w:p>
    <w:p w:rsidR="00B57E78" w:rsidRPr="004C0323" w:rsidRDefault="00B57E78" w:rsidP="004C0323">
      <w:r w:rsidRPr="004C0323">
        <w:rPr>
          <w:rStyle w:val="Strong"/>
          <w:rFonts w:ascii="Times New Roman" w:hAnsi="Times New Roman" w:cs="Times New Roman"/>
          <w:bCs w:val="0"/>
          <w:sz w:val="24"/>
          <w:szCs w:val="24"/>
        </w:rPr>
        <w:t>2.4 International Health and Safety Standards</w:t>
      </w:r>
    </w:p>
    <w:p w:rsidR="00B57E78" w:rsidRPr="004C0323" w:rsidRDefault="00B57E78" w:rsidP="00B57E78">
      <w:pPr>
        <w:pStyle w:val="NormalWeb"/>
      </w:pPr>
      <w:r w:rsidRPr="004C0323">
        <w:t xml:space="preserve">The </w:t>
      </w:r>
      <w:r w:rsidRPr="004C0323">
        <w:rPr>
          <w:rStyle w:val="Strong"/>
        </w:rPr>
        <w:t>World Health Organization (WHO)</w:t>
      </w:r>
      <w:r w:rsidRPr="004C0323">
        <w:t xml:space="preserve"> plays a central role in global health governance through the </w:t>
      </w:r>
      <w:r w:rsidRPr="004C0323">
        <w:rPr>
          <w:rStyle w:val="Strong"/>
        </w:rPr>
        <w:t>International Health Regulations (IHR 2005)</w:t>
      </w:r>
      <w:r w:rsidRPr="004C0323">
        <w:t>. The IHR legally bind member states to detect, assess, report, and respond to public health emergencies of international concern (WHO, 2005). These regulations emphasize early warning systems, transparency, and international cooperation—principles directly relevant to tourism crisis management.</w:t>
      </w:r>
    </w:p>
    <w:p w:rsidR="00B57E78" w:rsidRPr="004C0323" w:rsidRDefault="00B57E78" w:rsidP="00B57E78">
      <w:pPr>
        <w:pStyle w:val="NormalWeb"/>
      </w:pPr>
      <w:r w:rsidRPr="004C0323">
        <w:t xml:space="preserve">The </w:t>
      </w:r>
      <w:r w:rsidRPr="004C0323">
        <w:rPr>
          <w:rStyle w:val="Strong"/>
        </w:rPr>
        <w:t>Centers for Disease Control and Prevention (CDC)</w:t>
      </w:r>
      <w:r w:rsidRPr="004C0323">
        <w:t xml:space="preserve"> provides operational guidelines on disease prevention, traveler health, and outbreak response, influencing both national and destination-level health protocols. In the European context, the </w:t>
      </w:r>
      <w:r w:rsidRPr="004C0323">
        <w:rPr>
          <w:rStyle w:val="Strong"/>
        </w:rPr>
        <w:t>EU Health Security Framework</w:t>
      </w:r>
      <w:r w:rsidRPr="004C0323">
        <w:t xml:space="preserve"> supports cross-border surveillance, joint procurement of medical supplies, and coordinated risk communication.</w:t>
      </w:r>
    </w:p>
    <w:p w:rsidR="00B57E78" w:rsidRPr="004C0323" w:rsidRDefault="00B57E78" w:rsidP="00B57E78">
      <w:pPr>
        <w:pStyle w:val="NormalWeb"/>
      </w:pPr>
      <w:r w:rsidRPr="004C0323">
        <w:t>Despite the existence of these standards, research shows uneven implementation across regions. Low- and middle-income countries often face capacity constraints, while political considerations sometimes delay reporting or enforcement (</w:t>
      </w:r>
      <w:proofErr w:type="spellStart"/>
      <w:r w:rsidRPr="004C0323">
        <w:t>Gostin</w:t>
      </w:r>
      <w:proofErr w:type="spellEnd"/>
      <w:r w:rsidRPr="004C0323">
        <w:t xml:space="preserve"> et al., 2020). The literature stresses that tourism-specific integration of these standards remains insufficient, as health frameworks are rarely aligned with tourism governance structures.</w:t>
      </w:r>
    </w:p>
    <w:p w:rsidR="00B57E78" w:rsidRPr="004C0323" w:rsidRDefault="00B57E78" w:rsidP="004C0323">
      <w:r w:rsidRPr="004C0323">
        <w:rPr>
          <w:rStyle w:val="Strong"/>
          <w:rFonts w:ascii="Times New Roman" w:hAnsi="Times New Roman" w:cs="Times New Roman"/>
          <w:bCs w:val="0"/>
          <w:sz w:val="24"/>
          <w:szCs w:val="24"/>
        </w:rPr>
        <w:t>2.5 Risk Communication and Trust in Health Crises</w:t>
      </w:r>
    </w:p>
    <w:p w:rsidR="00B57E78" w:rsidRPr="004C0323" w:rsidRDefault="00B57E78" w:rsidP="00B57E78">
      <w:pPr>
        <w:pStyle w:val="NormalWeb"/>
      </w:pPr>
      <w:r w:rsidRPr="004C0323">
        <w:t>Risk communication is a critical component of health crisis management in tourism. According to Reynolds and Seeger (2005), effective crisis communication must be timely, transparent, and consistent to maintain public trust. During health crises, misinformation and inconsistent messaging can exacerbate fear and damage destination reputation more than the health threat itself.</w:t>
      </w:r>
    </w:p>
    <w:p w:rsidR="00B57E78" w:rsidRPr="004C0323" w:rsidRDefault="00B57E78" w:rsidP="00B57E78">
      <w:pPr>
        <w:pStyle w:val="NormalWeb"/>
      </w:pPr>
      <w:r w:rsidRPr="004C0323">
        <w:t>Studies on COVID-19 show that destinations with clear communication strategies—such as regular briefings, unified messaging, and multilingual information—were more successful in reassuring travelers (</w:t>
      </w:r>
      <w:proofErr w:type="spellStart"/>
      <w:r w:rsidRPr="004C0323">
        <w:t>Gössling</w:t>
      </w:r>
      <w:proofErr w:type="spellEnd"/>
      <w:r w:rsidRPr="004C0323">
        <w:t xml:space="preserve"> et al., 2021). Trust repair theory suggests that acknowledgment of risks, corrective action, and accountability are essential for restoring confidence after crisis mismanagement (Benoit, 1997).</w:t>
      </w:r>
    </w:p>
    <w:p w:rsidR="00B57E78" w:rsidRPr="004C0323" w:rsidRDefault="00B57E78" w:rsidP="00B57E78">
      <w:pPr>
        <w:pStyle w:val="NormalWeb"/>
      </w:pPr>
      <w:r w:rsidRPr="004C0323">
        <w:t>In cross-border tourism zones, communication challenges are magnified by linguistic diversity, differing media environments, and political narratives. The literature advocates for centralized regional communication platforms and legally mandated information-sharing protocols to ensure coherence and credibility (WHO, 2020).</w:t>
      </w:r>
    </w:p>
    <w:p w:rsidR="00B57E78" w:rsidRPr="004C0323" w:rsidRDefault="00B57E78" w:rsidP="004C0323">
      <w:r w:rsidRPr="004C0323">
        <w:rPr>
          <w:rStyle w:val="Strong"/>
          <w:rFonts w:ascii="Times New Roman" w:hAnsi="Times New Roman" w:cs="Times New Roman"/>
          <w:bCs w:val="0"/>
          <w:sz w:val="24"/>
          <w:szCs w:val="24"/>
        </w:rPr>
        <w:t>2.6 Legal and Ethical Considerations</w:t>
      </w:r>
    </w:p>
    <w:p w:rsidR="00B57E78" w:rsidRPr="004C0323" w:rsidRDefault="00B57E78" w:rsidP="00B57E78">
      <w:pPr>
        <w:pStyle w:val="NormalWeb"/>
      </w:pPr>
      <w:r w:rsidRPr="004C0323">
        <w:lastRenderedPageBreak/>
        <w:t>Health crisis management in tourism raises complex legal and ethical issues, particularly regarding data sharing, privacy, and freedom of movement. Digital contact tracing and health certification systems, while effective, have sparked debates over surveillance, consent, and discrimination (Morley et al., 2020). Cross-border data sharing further complicates compliance with national data protection laws, such as the EU’s General Data Protection Regulation (GDPR).</w:t>
      </w:r>
    </w:p>
    <w:p w:rsidR="00B57E78" w:rsidRPr="004C0323" w:rsidRDefault="00B57E78" w:rsidP="00B57E78">
      <w:pPr>
        <w:pStyle w:val="NormalWeb"/>
      </w:pPr>
      <w:r w:rsidRPr="004C0323">
        <w:t>Ethically, scholars emphasize the principle of proportionality—health measures must be necessary, evidence-based, and time-limited (Upshur, 2002). Overly restrictive travel bans may protect public health but disproportionately harm tourism-dependent economies and vulnerable workers. Therefore, legal coordination mechanisms must balance public health imperatives with human rights and economic sustainability.</w:t>
      </w:r>
    </w:p>
    <w:p w:rsidR="00B57E78" w:rsidRPr="004C0323" w:rsidRDefault="00B57E78" w:rsidP="004C0323">
      <w:r w:rsidRPr="004C0323">
        <w:rPr>
          <w:rStyle w:val="Strong"/>
          <w:rFonts w:ascii="Times New Roman" w:hAnsi="Times New Roman" w:cs="Times New Roman"/>
          <w:bCs w:val="0"/>
          <w:sz w:val="24"/>
          <w:szCs w:val="24"/>
        </w:rPr>
        <w:t>2.7 Gaps in Existing Literature</w:t>
      </w:r>
    </w:p>
    <w:p w:rsidR="00B57E78" w:rsidRPr="004C0323" w:rsidRDefault="00B57E78" w:rsidP="00B57E78">
      <w:pPr>
        <w:pStyle w:val="NormalWeb"/>
      </w:pPr>
      <w:r w:rsidRPr="004C0323">
        <w:t>While extensive research exists on health crises and tourism, several gaps remain. First, most studies focus on national responses rather than regional, cross-border frameworks. Second, there is limited integration between public health governance literature and tourism crisis management models. Third, few studies propose operational, multi-tiered frameworks that align international health standards with tourism-specific governance needs.</w:t>
      </w:r>
    </w:p>
    <w:p w:rsidR="00B57E78" w:rsidRPr="004C0323" w:rsidRDefault="00B57E78" w:rsidP="00B57E78">
      <w:pPr>
        <w:pStyle w:val="NormalWeb"/>
      </w:pPr>
      <w:r w:rsidRPr="004C0323">
        <w:t>This assignment addresses these gaps by proposing a structured, multi-tiered health crisis management framework tailored to cross-border tourism zones. By synthesizing public health regulations, tourism resilience theory, and governance models, the study contributes to both academic scholarship and practical policy development.</w:t>
      </w:r>
    </w:p>
    <w:p w:rsidR="00B57E78" w:rsidRPr="004C0323" w:rsidRDefault="00B57E78" w:rsidP="00B57E78">
      <w:pPr>
        <w:rPr>
          <w:rFonts w:ascii="Times New Roman" w:hAnsi="Times New Roman" w:cs="Times New Roman"/>
          <w:sz w:val="24"/>
          <w:szCs w:val="24"/>
        </w:rPr>
      </w:pP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46" style="width:0;height:1.5pt" o:hralign="center" o:hrstd="t" o:hr="t" fillcolor="#a0a0a0" stroked="f"/>
        </w:pict>
      </w:r>
    </w:p>
    <w:p w:rsidR="00B57E78" w:rsidRPr="004C0323" w:rsidRDefault="00B57E78" w:rsidP="00B57E78">
      <w:pPr>
        <w:pStyle w:val="Heading3"/>
        <w:rPr>
          <w:sz w:val="24"/>
          <w:szCs w:val="24"/>
        </w:rPr>
      </w:pPr>
      <w:r w:rsidRPr="004C0323">
        <w:rPr>
          <w:rStyle w:val="Strong"/>
          <w:b/>
          <w:bCs/>
          <w:sz w:val="24"/>
          <w:szCs w:val="24"/>
        </w:rPr>
        <w:t>3. Methodology</w:t>
      </w:r>
    </w:p>
    <w:p w:rsidR="00B57E78" w:rsidRPr="004C0323" w:rsidRDefault="00B57E78" w:rsidP="00B57E78">
      <w:pPr>
        <w:pStyle w:val="NormalWeb"/>
      </w:pPr>
      <w:r w:rsidRPr="004C0323">
        <w:t>This study adopts a qualitative, exploratory research design to develop a multi-tiered strategic health crisis management framework for cross-border tourism zones. Given the complex and interdisciplinary nature of public health threats in tourism—spanning governance, healthcare systems, legal frameworks, and risk communication—a qualitative approach is appropriate for synthesizing existing knowledge and identifying best practices. The methodology integrates document analysis, comparative case study evaluation, and framework development aligned with international health and tourism standards.</w:t>
      </w:r>
    </w:p>
    <w:p w:rsidR="00B57E78" w:rsidRPr="004C0323" w:rsidRDefault="00B57E78" w:rsidP="004C0323">
      <w:r w:rsidRPr="004C0323">
        <w:rPr>
          <w:rStyle w:val="Strong"/>
          <w:rFonts w:ascii="Times New Roman" w:hAnsi="Times New Roman" w:cs="Times New Roman"/>
          <w:bCs w:val="0"/>
          <w:sz w:val="24"/>
          <w:szCs w:val="24"/>
        </w:rPr>
        <w:t>3.1 Research Design</w:t>
      </w:r>
    </w:p>
    <w:p w:rsidR="00B57E78" w:rsidRPr="004C0323" w:rsidRDefault="00B57E78" w:rsidP="00B57E78">
      <w:pPr>
        <w:pStyle w:val="NormalWeb"/>
      </w:pPr>
      <w:r w:rsidRPr="004C0323">
        <w:t xml:space="preserve">The research design is based on a </w:t>
      </w:r>
      <w:r w:rsidRPr="004C0323">
        <w:rPr>
          <w:rStyle w:val="Strong"/>
        </w:rPr>
        <w:t>policy-oriented analytical approach</w:t>
      </w:r>
      <w:r w:rsidRPr="004C0323">
        <w:t xml:space="preserve">, focusing on the interaction between public health governance and tourism management. Rather than collecting primary data, the study relies on secondary data from authoritative sources, including international organizations, peer-reviewed academic literature, and official government </w:t>
      </w:r>
      <w:r w:rsidRPr="004C0323">
        <w:lastRenderedPageBreak/>
        <w:t>publications. This approach allows for a comprehensive evaluation of existing health safety protocols and crisis management strategies applied in cross-border tourism contexts.</w:t>
      </w:r>
    </w:p>
    <w:p w:rsidR="00B57E78" w:rsidRPr="004C0323" w:rsidRDefault="00B57E78" w:rsidP="00B57E78">
      <w:pPr>
        <w:pStyle w:val="NormalWeb"/>
      </w:pPr>
      <w:r w:rsidRPr="004C0323">
        <w:t>The methodology is structured in three stages:</w:t>
      </w:r>
    </w:p>
    <w:p w:rsidR="00B57E78" w:rsidRPr="004C0323" w:rsidRDefault="00B57E78" w:rsidP="00B57E78">
      <w:pPr>
        <w:pStyle w:val="NormalWeb"/>
        <w:numPr>
          <w:ilvl w:val="0"/>
          <w:numId w:val="3"/>
        </w:numPr>
      </w:pPr>
      <w:r w:rsidRPr="004C0323">
        <w:rPr>
          <w:rStyle w:val="Strong"/>
        </w:rPr>
        <w:t>Risk Identification and Assessment</w:t>
      </w:r>
    </w:p>
    <w:p w:rsidR="00B57E78" w:rsidRPr="004C0323" w:rsidRDefault="00B57E78" w:rsidP="00B57E78">
      <w:pPr>
        <w:pStyle w:val="NormalWeb"/>
        <w:numPr>
          <w:ilvl w:val="0"/>
          <w:numId w:val="3"/>
        </w:numPr>
      </w:pPr>
      <w:r w:rsidRPr="004C0323">
        <w:rPr>
          <w:rStyle w:val="Strong"/>
        </w:rPr>
        <w:t>Comparative Analysis of Cross-Border Health Responses</w:t>
      </w:r>
    </w:p>
    <w:p w:rsidR="00B57E78" w:rsidRPr="004C0323" w:rsidRDefault="00B57E78" w:rsidP="00B57E78">
      <w:pPr>
        <w:pStyle w:val="NormalWeb"/>
        <w:numPr>
          <w:ilvl w:val="0"/>
          <w:numId w:val="3"/>
        </w:numPr>
      </w:pPr>
      <w:r w:rsidRPr="004C0323">
        <w:rPr>
          <w:rStyle w:val="Strong"/>
        </w:rPr>
        <w:t>Framework Development and Validation</w:t>
      </w:r>
    </w:p>
    <w:p w:rsidR="00B57E78" w:rsidRPr="004C0323" w:rsidRDefault="00B57E78" w:rsidP="004C0323">
      <w:r w:rsidRPr="004C0323">
        <w:rPr>
          <w:rStyle w:val="Strong"/>
          <w:rFonts w:ascii="Times New Roman" w:hAnsi="Times New Roman" w:cs="Times New Roman"/>
          <w:bCs w:val="0"/>
          <w:sz w:val="24"/>
          <w:szCs w:val="24"/>
        </w:rPr>
        <w:t>3.2 Risk Identification and Health Threat Assessment</w:t>
      </w:r>
    </w:p>
    <w:p w:rsidR="00B57E78" w:rsidRPr="004C0323" w:rsidRDefault="00B57E78" w:rsidP="00B57E78">
      <w:pPr>
        <w:pStyle w:val="NormalWeb"/>
      </w:pPr>
      <w:r w:rsidRPr="004C0323">
        <w:t>The first stage involves identifying key health threats affecting cross-border tourism zones. Health risks are categorized based on frequency, severity, and transmission potential, following WHO risk assessment guidelines. These include respiratory pandemics (e.g., COVID-19), vector-borne diseases, and emerging zoonotic infections. Particular attention is given to risks amplified by international travel, such as rapid disease spread through airports, cruise ports, and land border crossings.</w:t>
      </w:r>
    </w:p>
    <w:p w:rsidR="00B57E78" w:rsidRPr="004C0323" w:rsidRDefault="00B57E78" w:rsidP="00B57E78">
      <w:pPr>
        <w:pStyle w:val="NormalWeb"/>
      </w:pPr>
      <w:r w:rsidRPr="004C0323">
        <w:t>A qualitative risk matrix is employed to assess vulnerability across tourism nodes, including airports, hotels, transport hubs, and tourist attractions. Factors considered include population density, health infrastructure capacity, surveillance capability, and emergency response readiness. This assessment informs the prioritization of intervention areas within the proposed framework.</w:t>
      </w:r>
    </w:p>
    <w:p w:rsidR="00B57E78" w:rsidRPr="004C0323" w:rsidRDefault="00B57E78" w:rsidP="004C0323">
      <w:r w:rsidRPr="004C0323">
        <w:rPr>
          <w:rStyle w:val="Strong"/>
          <w:rFonts w:ascii="Times New Roman" w:hAnsi="Times New Roman" w:cs="Times New Roman"/>
          <w:bCs w:val="0"/>
          <w:sz w:val="24"/>
          <w:szCs w:val="24"/>
        </w:rPr>
        <w:t>3.3 Comparative Case Study Analysis</w:t>
      </w:r>
    </w:p>
    <w:p w:rsidR="00B57E78" w:rsidRPr="004C0323" w:rsidRDefault="00B57E78" w:rsidP="00B57E78">
      <w:pPr>
        <w:pStyle w:val="NormalWeb"/>
      </w:pPr>
      <w:r w:rsidRPr="004C0323">
        <w:t>The second stage involves a comparative analysis of health crisis responses in selected cross-border tourism regions, particularly ASEAN travel zones and the European Schengen Area. Case studies from the COVID-19 pandemic are examined to identify strengths, weaknesses, and gaps in existing coordination mechanisms. The analysis focuses on:</w:t>
      </w:r>
    </w:p>
    <w:p w:rsidR="00B57E78" w:rsidRPr="004C0323" w:rsidRDefault="00B57E78" w:rsidP="00B57E78">
      <w:pPr>
        <w:pStyle w:val="NormalWeb"/>
        <w:numPr>
          <w:ilvl w:val="0"/>
          <w:numId w:val="4"/>
        </w:numPr>
      </w:pPr>
      <w:r w:rsidRPr="004C0323">
        <w:t>Differences in national health regulations and travel policies</w:t>
      </w:r>
    </w:p>
    <w:p w:rsidR="00B57E78" w:rsidRPr="004C0323" w:rsidRDefault="00B57E78" w:rsidP="00B57E78">
      <w:pPr>
        <w:pStyle w:val="NormalWeb"/>
        <w:numPr>
          <w:ilvl w:val="0"/>
          <w:numId w:val="4"/>
        </w:numPr>
      </w:pPr>
      <w:r w:rsidRPr="004C0323">
        <w:t>Surveillance and data-sharing systems</w:t>
      </w:r>
    </w:p>
    <w:p w:rsidR="00B57E78" w:rsidRPr="004C0323" w:rsidRDefault="00B57E78" w:rsidP="00B57E78">
      <w:pPr>
        <w:pStyle w:val="NormalWeb"/>
        <w:numPr>
          <w:ilvl w:val="0"/>
          <w:numId w:val="4"/>
        </w:numPr>
      </w:pPr>
      <w:r w:rsidRPr="004C0323">
        <w:t>Legal authority and emergency powers</w:t>
      </w:r>
    </w:p>
    <w:p w:rsidR="00B57E78" w:rsidRPr="004C0323" w:rsidRDefault="00B57E78" w:rsidP="00B57E78">
      <w:pPr>
        <w:pStyle w:val="NormalWeb"/>
        <w:numPr>
          <w:ilvl w:val="0"/>
          <w:numId w:val="4"/>
        </w:numPr>
      </w:pPr>
      <w:r w:rsidRPr="004C0323">
        <w:t>Tourism sector engagement and compliance</w:t>
      </w:r>
    </w:p>
    <w:p w:rsidR="00B57E78" w:rsidRPr="004C0323" w:rsidRDefault="00B57E78" w:rsidP="00B57E78">
      <w:pPr>
        <w:pStyle w:val="NormalWeb"/>
      </w:pPr>
      <w:r w:rsidRPr="004C0323">
        <w:t>These case studies provide empirical grounding for the framework and help identify practical challenges related to fragmented governance, delayed communication, and inconsistent policy implementation.</w:t>
      </w:r>
    </w:p>
    <w:p w:rsidR="00B57E78" w:rsidRPr="004C0323" w:rsidRDefault="00B57E78" w:rsidP="004C0323">
      <w:r w:rsidRPr="004C0323">
        <w:rPr>
          <w:rStyle w:val="Strong"/>
          <w:rFonts w:ascii="Times New Roman" w:hAnsi="Times New Roman" w:cs="Times New Roman"/>
          <w:bCs w:val="0"/>
          <w:sz w:val="24"/>
          <w:szCs w:val="24"/>
        </w:rPr>
        <w:t>3.4 Integration of International Health Standards</w:t>
      </w:r>
    </w:p>
    <w:p w:rsidR="00B57E78" w:rsidRPr="004C0323" w:rsidRDefault="00B57E78" w:rsidP="00B57E78">
      <w:pPr>
        <w:pStyle w:val="NormalWeb"/>
      </w:pPr>
      <w:r w:rsidRPr="004C0323">
        <w:t xml:space="preserve">The framework development process explicitly incorporates international health and safety standards, including the WHO International Health Regulations (IHR 2005), CDC travel health guidelines, and regional health security frameworks such as the EU Health Security Framework. These standards serve as normative benchmarks, ensuring that the proposed framework aligns </w:t>
      </w:r>
      <w:r w:rsidRPr="004C0323">
        <w:lastRenderedPageBreak/>
        <w:t>with globally accepted principles of early detection, transparency, proportional response, and international cooperation.</w:t>
      </w:r>
    </w:p>
    <w:p w:rsidR="00B57E78" w:rsidRPr="004C0323" w:rsidRDefault="00B57E78" w:rsidP="00B57E78">
      <w:pPr>
        <w:pStyle w:val="NormalWeb"/>
      </w:pPr>
      <w:r w:rsidRPr="004C0323">
        <w:t>Relevant tourism-specific guidelines issued by organizations such as the United Nations World Tourism Organization (UNWTO) are also considered to ensure that public health measures are compatible with tourism continuity and economic sustainability.</w:t>
      </w:r>
    </w:p>
    <w:p w:rsidR="00B57E78" w:rsidRPr="004C0323" w:rsidRDefault="00B57E78" w:rsidP="004C0323">
      <w:r w:rsidRPr="004C0323">
        <w:rPr>
          <w:rStyle w:val="Strong"/>
          <w:rFonts w:ascii="Times New Roman" w:hAnsi="Times New Roman" w:cs="Times New Roman"/>
          <w:bCs w:val="0"/>
          <w:sz w:val="24"/>
          <w:szCs w:val="24"/>
        </w:rPr>
        <w:t>3.5 Framework Development</w:t>
      </w:r>
    </w:p>
    <w:p w:rsidR="00B57E78" w:rsidRPr="004C0323" w:rsidRDefault="00B57E78" w:rsidP="00B57E78">
      <w:pPr>
        <w:pStyle w:val="NormalWeb"/>
      </w:pPr>
      <w:r w:rsidRPr="004C0323">
        <w:t xml:space="preserve">Based on the findings from the risk assessment and comparative analysis, a </w:t>
      </w:r>
      <w:r w:rsidRPr="004C0323">
        <w:rPr>
          <w:rStyle w:val="Strong"/>
        </w:rPr>
        <w:t>multi-tiered health crisis management framework</w:t>
      </w:r>
      <w:r w:rsidRPr="004C0323">
        <w:t xml:space="preserve"> is developed. The framework is organized into three interrelated tiers:</w:t>
      </w:r>
    </w:p>
    <w:p w:rsidR="00B57E78" w:rsidRPr="004C0323" w:rsidRDefault="00B57E78" w:rsidP="00B57E78">
      <w:pPr>
        <w:pStyle w:val="NormalWeb"/>
        <w:numPr>
          <w:ilvl w:val="0"/>
          <w:numId w:val="5"/>
        </w:numPr>
      </w:pPr>
      <w:r w:rsidRPr="004C0323">
        <w:rPr>
          <w:rStyle w:val="Strong"/>
        </w:rPr>
        <w:t>Early Warning and Surveillance</w:t>
      </w:r>
    </w:p>
    <w:p w:rsidR="00B57E78" w:rsidRPr="004C0323" w:rsidRDefault="00B57E78" w:rsidP="00B57E78">
      <w:pPr>
        <w:pStyle w:val="NormalWeb"/>
        <w:numPr>
          <w:ilvl w:val="0"/>
          <w:numId w:val="5"/>
        </w:numPr>
      </w:pPr>
      <w:r w:rsidRPr="004C0323">
        <w:rPr>
          <w:rStyle w:val="Strong"/>
        </w:rPr>
        <w:t>Coordinated Crisis Response and Containment</w:t>
      </w:r>
    </w:p>
    <w:p w:rsidR="00B57E78" w:rsidRPr="004C0323" w:rsidRDefault="00B57E78" w:rsidP="00B57E78">
      <w:pPr>
        <w:pStyle w:val="NormalWeb"/>
        <w:numPr>
          <w:ilvl w:val="0"/>
          <w:numId w:val="5"/>
        </w:numPr>
      </w:pPr>
      <w:r w:rsidRPr="004C0323">
        <w:rPr>
          <w:rStyle w:val="Strong"/>
        </w:rPr>
        <w:t>Post-Crisis Recovery and System Strengthening</w:t>
      </w:r>
    </w:p>
    <w:p w:rsidR="00B57E78" w:rsidRPr="004C0323" w:rsidRDefault="00B57E78" w:rsidP="00B57E78">
      <w:pPr>
        <w:pStyle w:val="NormalWeb"/>
      </w:pPr>
      <w:r w:rsidRPr="004C0323">
        <w:t>Each tier outlines roles and responsibilities at national, regional, and industry levels, emphasizing coordination rather than centralized control. The framework also integrates legal coordination mechanisms, standardized communication protocols, and tourism-sector compliance guidelines.</w:t>
      </w:r>
    </w:p>
    <w:p w:rsidR="00B57E78" w:rsidRPr="004C0323" w:rsidRDefault="00B57E78" w:rsidP="004C0323">
      <w:r w:rsidRPr="004C0323">
        <w:rPr>
          <w:rStyle w:val="Strong"/>
          <w:rFonts w:ascii="Times New Roman" w:hAnsi="Times New Roman" w:cs="Times New Roman"/>
          <w:bCs w:val="0"/>
          <w:sz w:val="24"/>
          <w:szCs w:val="24"/>
        </w:rPr>
        <w:t>3.6 Validation and Analytical Rigor</w:t>
      </w:r>
    </w:p>
    <w:p w:rsidR="00B57E78" w:rsidRPr="004C0323" w:rsidRDefault="00B57E78" w:rsidP="00B57E78">
      <w:pPr>
        <w:pStyle w:val="NormalWeb"/>
      </w:pPr>
      <w:r w:rsidRPr="004C0323">
        <w:t>To enhance analytical rigor, the framework is cross-referenced with best practices identified in the literature and evaluated against real-world crisis outcomes observed during COVID-19. Triangulation is achieved by comparing findings across multiple sources, including academic studies, policy documents, and international health guidelines. While the study does not include empirical testing, its strength lies in conceptual coherence, practical applicability, and alignment with established international norms.</w:t>
      </w:r>
    </w:p>
    <w:p w:rsidR="00B57E78" w:rsidRPr="004C0323" w:rsidRDefault="00B57E78" w:rsidP="004C0323">
      <w:r w:rsidRPr="004C0323">
        <w:rPr>
          <w:rStyle w:val="Strong"/>
          <w:rFonts w:ascii="Times New Roman" w:hAnsi="Times New Roman" w:cs="Times New Roman"/>
          <w:bCs w:val="0"/>
          <w:sz w:val="24"/>
          <w:szCs w:val="24"/>
        </w:rPr>
        <w:t>3.7 Ethical Considerations</w:t>
      </w:r>
    </w:p>
    <w:p w:rsidR="00B57E78" w:rsidRPr="004C0323" w:rsidRDefault="00B57E78" w:rsidP="00B57E78">
      <w:pPr>
        <w:pStyle w:val="NormalWeb"/>
      </w:pPr>
      <w:r w:rsidRPr="004C0323">
        <w:t>Ethical considerations are addressed by incorporating principles of proportionality, privacy protection, and equity. The framework acknowledges the ethical challenges associated with health surveillance, digital tracking, and cross-border data sharing. Recommendations emphasize compliance with data protection laws and respect for human rights while prioritizing public health safety.</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47" style="width:0;height:1.5pt" o:hralign="center" o:hrstd="t" o:hr="t" fillcolor="#a0a0a0" stroked="f"/>
        </w:pict>
      </w:r>
    </w:p>
    <w:p w:rsidR="00B57E78" w:rsidRPr="004C0323" w:rsidRDefault="00B57E78" w:rsidP="00B57E78">
      <w:pPr>
        <w:rPr>
          <w:rFonts w:ascii="Times New Roman" w:hAnsi="Times New Roman" w:cs="Times New Roman"/>
          <w:sz w:val="24"/>
          <w:szCs w:val="24"/>
        </w:rPr>
      </w:pPr>
    </w:p>
    <w:p w:rsidR="00B57E78" w:rsidRPr="004C0323" w:rsidRDefault="00B57E78" w:rsidP="00B57E78">
      <w:pPr>
        <w:pStyle w:val="NormalWeb"/>
      </w:pPr>
    </w:p>
    <w:p w:rsidR="00B57E78" w:rsidRPr="004C0323" w:rsidRDefault="00B57E78" w:rsidP="00B57E78">
      <w:pPr>
        <w:rPr>
          <w:rFonts w:ascii="Times New Roman" w:hAnsi="Times New Roman" w:cs="Times New Roman"/>
          <w:sz w:val="24"/>
          <w:szCs w:val="24"/>
        </w:rPr>
      </w:pPr>
    </w:p>
    <w:p w:rsidR="00B57E78" w:rsidRPr="004C0323" w:rsidRDefault="00B57E78" w:rsidP="004C0323">
      <w:r w:rsidRPr="004C0323">
        <w:rPr>
          <w:rStyle w:val="Strong"/>
          <w:rFonts w:ascii="Times New Roman" w:hAnsi="Times New Roman" w:cs="Times New Roman"/>
          <w:bCs w:val="0"/>
          <w:sz w:val="24"/>
          <w:szCs w:val="24"/>
        </w:rPr>
        <w:lastRenderedPageBreak/>
        <w:t>4. Findings</w:t>
      </w:r>
    </w:p>
    <w:p w:rsidR="00B57E78" w:rsidRPr="004C0323" w:rsidRDefault="00B57E78" w:rsidP="00B57E78">
      <w:pPr>
        <w:pStyle w:val="NormalWeb"/>
      </w:pPr>
      <w:r w:rsidRPr="004C0323">
        <w:t xml:space="preserve">This section presents the key findings of the study through the development of a </w:t>
      </w:r>
      <w:r w:rsidRPr="004C0323">
        <w:rPr>
          <w:rStyle w:val="Strong"/>
        </w:rPr>
        <w:t>multi-tiered strategic health crisis management framework</w:t>
      </w:r>
      <w:r w:rsidRPr="004C0323">
        <w:t xml:space="preserve"> designed specifically for cross-border tourism zones. The framework addresses weaknesses identified in existing systems, particularly fragmented governance, inconsistent health regulations, and inadequate coordination between tourism and public health authorities. It aligns with international health standards while remaining adaptable to regional contexts such as ASEAN and Schengen-style travel zones.</w:t>
      </w:r>
    </w:p>
    <w:p w:rsidR="00B57E78" w:rsidRPr="004C0323" w:rsidRDefault="00B57E78" w:rsidP="00B57E78">
      <w:pPr>
        <w:pStyle w:val="Heading3"/>
        <w:rPr>
          <w:sz w:val="24"/>
          <w:szCs w:val="24"/>
        </w:rPr>
      </w:pPr>
      <w:r w:rsidRPr="004C0323">
        <w:rPr>
          <w:rStyle w:val="Strong"/>
          <w:b/>
          <w:bCs/>
          <w:sz w:val="24"/>
          <w:szCs w:val="24"/>
        </w:rPr>
        <w:t>4.1 Overview of the Multi-Tiered Framework</w:t>
      </w:r>
    </w:p>
    <w:p w:rsidR="00B57E78" w:rsidRPr="004C0323" w:rsidRDefault="00B57E78" w:rsidP="00B57E78">
      <w:pPr>
        <w:pStyle w:val="NormalWeb"/>
      </w:pPr>
      <w:r w:rsidRPr="004C0323">
        <w:t xml:space="preserve">The proposed framework consists of </w:t>
      </w:r>
      <w:r w:rsidRPr="004C0323">
        <w:rPr>
          <w:rStyle w:val="Strong"/>
        </w:rPr>
        <w:t>three interdependent tiers</w:t>
      </w:r>
      <w:r w:rsidRPr="004C0323">
        <w:t>, each corresponding to a phase of the health crisis management cycle:</w:t>
      </w:r>
    </w:p>
    <w:p w:rsidR="00B57E78" w:rsidRPr="004C0323" w:rsidRDefault="00B57E78" w:rsidP="00B57E78">
      <w:pPr>
        <w:pStyle w:val="NormalWeb"/>
        <w:numPr>
          <w:ilvl w:val="0"/>
          <w:numId w:val="7"/>
        </w:numPr>
      </w:pPr>
      <w:r w:rsidRPr="004C0323">
        <w:rPr>
          <w:rStyle w:val="Strong"/>
        </w:rPr>
        <w:t>Tier 1: Early Warning and Surveillance</w:t>
      </w:r>
    </w:p>
    <w:p w:rsidR="00B57E78" w:rsidRPr="004C0323" w:rsidRDefault="00B57E78" w:rsidP="00B57E78">
      <w:pPr>
        <w:pStyle w:val="NormalWeb"/>
        <w:numPr>
          <w:ilvl w:val="0"/>
          <w:numId w:val="7"/>
        </w:numPr>
      </w:pPr>
      <w:r w:rsidRPr="004C0323">
        <w:rPr>
          <w:rStyle w:val="Strong"/>
        </w:rPr>
        <w:t>Tier 2: Coordinated Crisis Response and Containment</w:t>
      </w:r>
    </w:p>
    <w:p w:rsidR="00B57E78" w:rsidRPr="004C0323" w:rsidRDefault="00B57E78" w:rsidP="00B57E78">
      <w:pPr>
        <w:pStyle w:val="NormalWeb"/>
        <w:numPr>
          <w:ilvl w:val="0"/>
          <w:numId w:val="7"/>
        </w:numPr>
      </w:pPr>
      <w:r w:rsidRPr="004C0323">
        <w:rPr>
          <w:rStyle w:val="Strong"/>
        </w:rPr>
        <w:t>Tier 3: Post-Crisis Recovery, Evaluation, and System Strengthening</w:t>
      </w:r>
    </w:p>
    <w:p w:rsidR="00B57E78" w:rsidRPr="004C0323" w:rsidRDefault="00B57E78" w:rsidP="00B57E78">
      <w:pPr>
        <w:pStyle w:val="NormalWeb"/>
      </w:pPr>
      <w:r w:rsidRPr="004C0323">
        <w:t xml:space="preserve">Rather than functioning sequentially, the tiers operate dynamically, allowing for escalation or de-escalation depending on the severity of the health threat. The framework emphasizes </w:t>
      </w:r>
      <w:r w:rsidRPr="004C0323">
        <w:rPr>
          <w:rStyle w:val="Strong"/>
        </w:rPr>
        <w:t>regional coordination</w:t>
      </w:r>
      <w:r w:rsidRPr="004C0323">
        <w:t>, shared accountability, and standardized decision-making while respecting national sovereignty.</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3"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4.2 Tier 1: Early Warning and Surveillance</w:t>
      </w:r>
    </w:p>
    <w:p w:rsidR="00B57E78" w:rsidRPr="004C0323" w:rsidRDefault="00B57E78" w:rsidP="00B57E78">
      <w:pPr>
        <w:pStyle w:val="Heading3"/>
        <w:rPr>
          <w:sz w:val="24"/>
          <w:szCs w:val="24"/>
        </w:rPr>
      </w:pPr>
      <w:r w:rsidRPr="004C0323">
        <w:rPr>
          <w:rStyle w:val="Strong"/>
          <w:b/>
          <w:bCs/>
          <w:sz w:val="24"/>
          <w:szCs w:val="24"/>
        </w:rPr>
        <w:t>4.2.1 Purpose and Rationale</w:t>
      </w:r>
    </w:p>
    <w:p w:rsidR="00B57E78" w:rsidRPr="004C0323" w:rsidRDefault="00B57E78" w:rsidP="00B57E78">
      <w:pPr>
        <w:pStyle w:val="NormalWeb"/>
      </w:pPr>
      <w:r w:rsidRPr="004C0323">
        <w:t xml:space="preserve">Early detection is the most critical determinant of successful health crisis management. Findings from the COVID-19 pandemic indicate that delays in surveillance reporting and cross-border data sharing significantly increased transmission risks in tourism corridors (WHO, 2020). Tier 1 focuses on establishing a </w:t>
      </w:r>
      <w:r w:rsidRPr="004C0323">
        <w:rPr>
          <w:rStyle w:val="Strong"/>
        </w:rPr>
        <w:t>regional early warning system</w:t>
      </w:r>
      <w:r w:rsidRPr="004C0323">
        <w:t xml:space="preserve"> that integrates national surveillance mechanisms into a shared intelligence platform.</w:t>
      </w:r>
    </w:p>
    <w:p w:rsidR="00B57E78" w:rsidRPr="004C0323" w:rsidRDefault="00B57E78" w:rsidP="00B57E78">
      <w:pPr>
        <w:pStyle w:val="Heading3"/>
        <w:rPr>
          <w:sz w:val="24"/>
          <w:szCs w:val="24"/>
        </w:rPr>
      </w:pPr>
      <w:r w:rsidRPr="004C0323">
        <w:rPr>
          <w:rStyle w:val="Strong"/>
          <w:b/>
          <w:bCs/>
          <w:sz w:val="24"/>
          <w:szCs w:val="24"/>
        </w:rPr>
        <w:t>4.2.2 Key Components</w:t>
      </w:r>
    </w:p>
    <w:p w:rsidR="00B57E78" w:rsidRPr="004C0323" w:rsidRDefault="00B57E78" w:rsidP="00B57E78">
      <w:pPr>
        <w:pStyle w:val="NormalWeb"/>
      </w:pPr>
      <w:r w:rsidRPr="004C0323">
        <w:rPr>
          <w:rStyle w:val="Strong"/>
        </w:rPr>
        <w:t>a. Integrated Surveillance Network</w:t>
      </w:r>
      <w:r w:rsidRPr="004C0323">
        <w:br/>
        <w:t>Cross-border tourism zones should implement a regional surveillance hub that aggregates data from:</w:t>
      </w:r>
    </w:p>
    <w:p w:rsidR="00B57E78" w:rsidRPr="004C0323" w:rsidRDefault="00B57E78" w:rsidP="00B57E78">
      <w:pPr>
        <w:pStyle w:val="NormalWeb"/>
        <w:numPr>
          <w:ilvl w:val="0"/>
          <w:numId w:val="8"/>
        </w:numPr>
      </w:pPr>
      <w:r w:rsidRPr="004C0323">
        <w:t>National public health agencies</w:t>
      </w:r>
    </w:p>
    <w:p w:rsidR="00B57E78" w:rsidRPr="004C0323" w:rsidRDefault="00B57E78" w:rsidP="00B57E78">
      <w:pPr>
        <w:pStyle w:val="NormalWeb"/>
        <w:numPr>
          <w:ilvl w:val="0"/>
          <w:numId w:val="8"/>
        </w:numPr>
      </w:pPr>
      <w:r w:rsidRPr="004C0323">
        <w:t>Airport and port health authorities</w:t>
      </w:r>
    </w:p>
    <w:p w:rsidR="00B57E78" w:rsidRPr="004C0323" w:rsidRDefault="00B57E78" w:rsidP="00B57E78">
      <w:pPr>
        <w:pStyle w:val="NormalWeb"/>
        <w:numPr>
          <w:ilvl w:val="0"/>
          <w:numId w:val="8"/>
        </w:numPr>
      </w:pPr>
      <w:r w:rsidRPr="004C0323">
        <w:t>Hospitals and diagnostic laboratories</w:t>
      </w:r>
    </w:p>
    <w:p w:rsidR="00B57E78" w:rsidRPr="004C0323" w:rsidRDefault="00B57E78" w:rsidP="00B57E78">
      <w:pPr>
        <w:pStyle w:val="NormalWeb"/>
        <w:numPr>
          <w:ilvl w:val="0"/>
          <w:numId w:val="8"/>
        </w:numPr>
      </w:pPr>
      <w:r w:rsidRPr="004C0323">
        <w:t>Tourism facilities (hotels, cruise ships, tour operators)</w:t>
      </w:r>
    </w:p>
    <w:p w:rsidR="00B57E78" w:rsidRPr="004C0323" w:rsidRDefault="00B57E78" w:rsidP="00B57E78">
      <w:pPr>
        <w:pStyle w:val="NormalWeb"/>
      </w:pPr>
      <w:r w:rsidRPr="004C0323">
        <w:lastRenderedPageBreak/>
        <w:t>Data inputs include syndromic surveillance, test positivity rates, hospital capacity indicators, and traveler health declarations. The system must be interoperable across countries to ensure real-time data exchange.</w:t>
      </w:r>
    </w:p>
    <w:p w:rsidR="00B57E78" w:rsidRPr="004C0323" w:rsidRDefault="00B57E78" w:rsidP="00B57E78">
      <w:pPr>
        <w:pStyle w:val="NormalWeb"/>
      </w:pPr>
      <w:r w:rsidRPr="004C0323">
        <w:rPr>
          <w:rStyle w:val="Strong"/>
        </w:rPr>
        <w:t>b. Predictive Risk Indicators</w:t>
      </w:r>
      <w:r w:rsidRPr="004C0323">
        <w:br/>
      </w:r>
      <w:proofErr w:type="gramStart"/>
      <w:r w:rsidRPr="004C0323">
        <w:t>The</w:t>
      </w:r>
      <w:proofErr w:type="gramEnd"/>
      <w:r w:rsidRPr="004C0323">
        <w:t xml:space="preserve"> framework recommends incorporating early risk indicators such as:</w:t>
      </w:r>
    </w:p>
    <w:p w:rsidR="00B57E78" w:rsidRPr="004C0323" w:rsidRDefault="00B57E78" w:rsidP="00B57E78">
      <w:pPr>
        <w:pStyle w:val="NormalWeb"/>
        <w:numPr>
          <w:ilvl w:val="0"/>
          <w:numId w:val="9"/>
        </w:numPr>
      </w:pPr>
      <w:r w:rsidRPr="004C0323">
        <w:t>Sudden spikes in respiratory illnesses near tourist hubs</w:t>
      </w:r>
    </w:p>
    <w:p w:rsidR="00B57E78" w:rsidRPr="004C0323" w:rsidRDefault="00B57E78" w:rsidP="00B57E78">
      <w:pPr>
        <w:pStyle w:val="NormalWeb"/>
        <w:numPr>
          <w:ilvl w:val="0"/>
          <w:numId w:val="9"/>
        </w:numPr>
      </w:pPr>
      <w:r w:rsidRPr="004C0323">
        <w:t>Increased absenteeism among tourism workers</w:t>
      </w:r>
    </w:p>
    <w:p w:rsidR="00B57E78" w:rsidRPr="004C0323" w:rsidRDefault="00B57E78" w:rsidP="00B57E78">
      <w:pPr>
        <w:pStyle w:val="NormalWeb"/>
        <w:numPr>
          <w:ilvl w:val="0"/>
          <w:numId w:val="9"/>
        </w:numPr>
      </w:pPr>
      <w:r w:rsidRPr="004C0323">
        <w:t>Unusual patterns in traveler health reporting</w:t>
      </w:r>
    </w:p>
    <w:p w:rsidR="00B57E78" w:rsidRPr="004C0323" w:rsidRDefault="00B57E78" w:rsidP="00B57E78">
      <w:pPr>
        <w:pStyle w:val="NormalWeb"/>
      </w:pPr>
      <w:r w:rsidRPr="004C0323">
        <w:t>These indicators support pre-emptive interventions before outbreaks escalate into full-scale crises.</w:t>
      </w:r>
    </w:p>
    <w:p w:rsidR="00B57E78" w:rsidRPr="004C0323" w:rsidRDefault="00B57E78" w:rsidP="00B57E78">
      <w:pPr>
        <w:pStyle w:val="NormalWeb"/>
      </w:pPr>
      <w:r w:rsidRPr="004C0323">
        <w:rPr>
          <w:rStyle w:val="Strong"/>
        </w:rPr>
        <w:t>c. Alignment with WHO IHR (2005</w:t>
      </w:r>
      <w:proofErr w:type="gramStart"/>
      <w:r w:rsidRPr="004C0323">
        <w:rPr>
          <w:rStyle w:val="Strong"/>
        </w:rPr>
        <w:t>)</w:t>
      </w:r>
      <w:proofErr w:type="gramEnd"/>
      <w:r w:rsidRPr="004C0323">
        <w:br/>
        <w:t>Tier 1 complies with WHO International Health Regulations by mandating timely reporting of potential public health emergencies of international concern (PHEICs). A designated regional focal point ensures consistency in reporting and verification processes.</w:t>
      </w:r>
    </w:p>
    <w:p w:rsidR="00B57E78" w:rsidRPr="004C0323" w:rsidRDefault="00B57E78" w:rsidP="00B57E78">
      <w:pPr>
        <w:pStyle w:val="Heading3"/>
        <w:rPr>
          <w:sz w:val="24"/>
          <w:szCs w:val="24"/>
        </w:rPr>
      </w:pPr>
      <w:r w:rsidRPr="004C0323">
        <w:rPr>
          <w:rStyle w:val="Strong"/>
          <w:b/>
          <w:bCs/>
          <w:sz w:val="24"/>
          <w:szCs w:val="24"/>
        </w:rPr>
        <w:t>4.2.3 Findings and Implications</w:t>
      </w:r>
    </w:p>
    <w:p w:rsidR="00B57E78" w:rsidRPr="004C0323" w:rsidRDefault="00B57E78" w:rsidP="00B57E78">
      <w:pPr>
        <w:pStyle w:val="NormalWeb"/>
      </w:pPr>
      <w:r w:rsidRPr="004C0323">
        <w:t>The findings suggest that early warning systems are most effective when tourism stakeholders are formally integrated into surveillance networks. Hotels and transport operators often detect illness clusters before health authorities, making their inclusion essential. However, the absence of standardized reporting protocols currently limits their effectiveness.</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4"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4.3 Tier 2: Coordinated Crisis Response and Containment</w:t>
      </w:r>
    </w:p>
    <w:p w:rsidR="00B57E78" w:rsidRPr="004C0323" w:rsidRDefault="00B57E78" w:rsidP="00B57E78">
      <w:pPr>
        <w:pStyle w:val="Heading3"/>
        <w:rPr>
          <w:sz w:val="24"/>
          <w:szCs w:val="24"/>
        </w:rPr>
      </w:pPr>
      <w:r w:rsidRPr="004C0323">
        <w:rPr>
          <w:rStyle w:val="Strong"/>
          <w:b/>
          <w:bCs/>
          <w:sz w:val="24"/>
          <w:szCs w:val="24"/>
        </w:rPr>
        <w:t>4.3.1 Purpose and Rationale</w:t>
      </w:r>
    </w:p>
    <w:p w:rsidR="00B57E78" w:rsidRPr="004C0323" w:rsidRDefault="00B57E78" w:rsidP="00B57E78">
      <w:pPr>
        <w:pStyle w:val="NormalWeb"/>
      </w:pPr>
      <w:r w:rsidRPr="004C0323">
        <w:t>Tier 2 addresses the acute response phase, where rapid coordination is essential to prevent uncontrolled spread while maintaining essential tourism operations. Evidence from ASEAN and EU case studies shows that uncoordinated travel restrictions and inconsistent quarantine rules undermine both health outcomes and traveler confidence (UNWTO, 2021).</w:t>
      </w:r>
    </w:p>
    <w:p w:rsidR="00B57E78" w:rsidRPr="004C0323" w:rsidRDefault="00B57E78" w:rsidP="00B57E78">
      <w:pPr>
        <w:pStyle w:val="Heading3"/>
        <w:rPr>
          <w:sz w:val="24"/>
          <w:szCs w:val="24"/>
        </w:rPr>
      </w:pPr>
      <w:r w:rsidRPr="004C0323">
        <w:rPr>
          <w:rStyle w:val="Strong"/>
          <w:b/>
          <w:bCs/>
          <w:sz w:val="24"/>
          <w:szCs w:val="24"/>
        </w:rPr>
        <w:t>4.3.2 Key Components</w:t>
      </w:r>
    </w:p>
    <w:p w:rsidR="00B57E78" w:rsidRPr="004C0323" w:rsidRDefault="00B57E78" w:rsidP="00B57E78">
      <w:pPr>
        <w:pStyle w:val="NormalWeb"/>
      </w:pPr>
      <w:r w:rsidRPr="004C0323">
        <w:rPr>
          <w:rStyle w:val="Strong"/>
        </w:rPr>
        <w:t>a. Harmonized Travel Health Protocols</w:t>
      </w:r>
      <w:r w:rsidRPr="004C0323">
        <w:br/>
      </w:r>
      <w:proofErr w:type="gramStart"/>
      <w:r w:rsidRPr="004C0323">
        <w:t>The</w:t>
      </w:r>
      <w:proofErr w:type="gramEnd"/>
      <w:r w:rsidRPr="004C0323">
        <w:t xml:space="preserve"> framework proposes regionally agreed-upon baseline measures, including:</w:t>
      </w:r>
    </w:p>
    <w:p w:rsidR="00B57E78" w:rsidRPr="004C0323" w:rsidRDefault="00B57E78" w:rsidP="00B57E78">
      <w:pPr>
        <w:pStyle w:val="NormalWeb"/>
        <w:numPr>
          <w:ilvl w:val="0"/>
          <w:numId w:val="10"/>
        </w:numPr>
      </w:pPr>
      <w:r w:rsidRPr="004C0323">
        <w:t>Mutual recognition of vaccination certificates</w:t>
      </w:r>
    </w:p>
    <w:p w:rsidR="00B57E78" w:rsidRPr="004C0323" w:rsidRDefault="00B57E78" w:rsidP="00B57E78">
      <w:pPr>
        <w:pStyle w:val="NormalWeb"/>
        <w:numPr>
          <w:ilvl w:val="0"/>
          <w:numId w:val="10"/>
        </w:numPr>
      </w:pPr>
      <w:r w:rsidRPr="004C0323">
        <w:t>Standardized testing requirements</w:t>
      </w:r>
    </w:p>
    <w:p w:rsidR="00B57E78" w:rsidRPr="004C0323" w:rsidRDefault="00B57E78" w:rsidP="00B57E78">
      <w:pPr>
        <w:pStyle w:val="NormalWeb"/>
        <w:numPr>
          <w:ilvl w:val="0"/>
          <w:numId w:val="10"/>
        </w:numPr>
      </w:pPr>
      <w:r w:rsidRPr="004C0323">
        <w:t>Coordinated quarantine or isolation protocols</w:t>
      </w:r>
    </w:p>
    <w:p w:rsidR="00B57E78" w:rsidRPr="004C0323" w:rsidRDefault="00B57E78" w:rsidP="00B57E78">
      <w:pPr>
        <w:pStyle w:val="NormalWeb"/>
      </w:pPr>
      <w:r w:rsidRPr="004C0323">
        <w:lastRenderedPageBreak/>
        <w:t>These measures reduce confusion and enhance compliance among travelers and tourism operators.</w:t>
      </w:r>
    </w:p>
    <w:p w:rsidR="00B57E78" w:rsidRPr="004C0323" w:rsidRDefault="00B57E78" w:rsidP="00B57E78">
      <w:pPr>
        <w:pStyle w:val="NormalWeb"/>
      </w:pPr>
      <w:r w:rsidRPr="004C0323">
        <w:rPr>
          <w:rStyle w:val="Strong"/>
        </w:rPr>
        <w:t>b. Joint Crisis Task Force</w:t>
      </w:r>
      <w:r w:rsidRPr="004C0323">
        <w:br/>
      </w:r>
      <w:proofErr w:type="gramStart"/>
      <w:r w:rsidRPr="004C0323">
        <w:t>A</w:t>
      </w:r>
      <w:proofErr w:type="gramEnd"/>
      <w:r w:rsidRPr="004C0323">
        <w:t xml:space="preserve"> regional health crisis task force should be activated during outbreaks, comprising:</w:t>
      </w:r>
    </w:p>
    <w:p w:rsidR="00B57E78" w:rsidRPr="004C0323" w:rsidRDefault="00B57E78" w:rsidP="00B57E78">
      <w:pPr>
        <w:pStyle w:val="NormalWeb"/>
        <w:numPr>
          <w:ilvl w:val="0"/>
          <w:numId w:val="11"/>
        </w:numPr>
      </w:pPr>
      <w:r w:rsidRPr="004C0323">
        <w:t>Public health officials</w:t>
      </w:r>
    </w:p>
    <w:p w:rsidR="00B57E78" w:rsidRPr="004C0323" w:rsidRDefault="00B57E78" w:rsidP="00B57E78">
      <w:pPr>
        <w:pStyle w:val="NormalWeb"/>
        <w:numPr>
          <w:ilvl w:val="0"/>
          <w:numId w:val="11"/>
        </w:numPr>
      </w:pPr>
      <w:r w:rsidRPr="004C0323">
        <w:t>Tourism ministry representatives</w:t>
      </w:r>
    </w:p>
    <w:p w:rsidR="00B57E78" w:rsidRPr="004C0323" w:rsidRDefault="00B57E78" w:rsidP="00B57E78">
      <w:pPr>
        <w:pStyle w:val="NormalWeb"/>
        <w:numPr>
          <w:ilvl w:val="0"/>
          <w:numId w:val="11"/>
        </w:numPr>
      </w:pPr>
      <w:r w:rsidRPr="004C0323">
        <w:t>Border control authorities</w:t>
      </w:r>
    </w:p>
    <w:p w:rsidR="00B57E78" w:rsidRPr="004C0323" w:rsidRDefault="00B57E78" w:rsidP="00B57E78">
      <w:pPr>
        <w:pStyle w:val="NormalWeb"/>
        <w:numPr>
          <w:ilvl w:val="0"/>
          <w:numId w:val="11"/>
        </w:numPr>
      </w:pPr>
      <w:r w:rsidRPr="004C0323">
        <w:t>Legal and communication experts</w:t>
      </w:r>
    </w:p>
    <w:p w:rsidR="00B57E78" w:rsidRPr="004C0323" w:rsidRDefault="00B57E78" w:rsidP="00B57E78">
      <w:pPr>
        <w:pStyle w:val="NormalWeb"/>
      </w:pPr>
      <w:r w:rsidRPr="004C0323">
        <w:t>This task force coordinates decision-making, resource allocation, and public messaging.</w:t>
      </w:r>
    </w:p>
    <w:p w:rsidR="00B57E78" w:rsidRPr="004C0323" w:rsidRDefault="00B57E78" w:rsidP="00B57E78">
      <w:pPr>
        <w:pStyle w:val="NormalWeb"/>
      </w:pPr>
      <w:r w:rsidRPr="004C0323">
        <w:rPr>
          <w:rStyle w:val="Strong"/>
        </w:rPr>
        <w:t>c. Healthcare Resource Coordination</w:t>
      </w:r>
      <w:r w:rsidRPr="004C0323">
        <w:br/>
        <w:t>Cross-border agreements allow for:</w:t>
      </w:r>
    </w:p>
    <w:p w:rsidR="00B57E78" w:rsidRPr="004C0323" w:rsidRDefault="00B57E78" w:rsidP="00B57E78">
      <w:pPr>
        <w:pStyle w:val="NormalWeb"/>
        <w:numPr>
          <w:ilvl w:val="0"/>
          <w:numId w:val="12"/>
        </w:numPr>
      </w:pPr>
      <w:r w:rsidRPr="004C0323">
        <w:t>Sharing of medical supplies</w:t>
      </w:r>
    </w:p>
    <w:p w:rsidR="00B57E78" w:rsidRPr="004C0323" w:rsidRDefault="00B57E78" w:rsidP="00B57E78">
      <w:pPr>
        <w:pStyle w:val="NormalWeb"/>
        <w:numPr>
          <w:ilvl w:val="0"/>
          <w:numId w:val="12"/>
        </w:numPr>
      </w:pPr>
      <w:r w:rsidRPr="004C0323">
        <w:t>Deployment of mobile health units</w:t>
      </w:r>
    </w:p>
    <w:p w:rsidR="00B57E78" w:rsidRPr="004C0323" w:rsidRDefault="00B57E78" w:rsidP="00B57E78">
      <w:pPr>
        <w:pStyle w:val="NormalWeb"/>
        <w:numPr>
          <w:ilvl w:val="0"/>
          <w:numId w:val="12"/>
        </w:numPr>
      </w:pPr>
      <w:r w:rsidRPr="004C0323">
        <w:t>Cross-border patient referrals during system overload</w:t>
      </w:r>
    </w:p>
    <w:p w:rsidR="00B57E78" w:rsidRPr="004C0323" w:rsidRDefault="00B57E78" w:rsidP="00B57E78">
      <w:pPr>
        <w:pStyle w:val="NormalWeb"/>
      </w:pPr>
      <w:r w:rsidRPr="004C0323">
        <w:t>Such cooperation prevents system collapse in tourism hotspots with limited healthcare capacity.</w:t>
      </w:r>
    </w:p>
    <w:p w:rsidR="00B57E78" w:rsidRPr="004C0323" w:rsidRDefault="00B57E78" w:rsidP="00B57E78">
      <w:pPr>
        <w:pStyle w:val="NormalWeb"/>
      </w:pPr>
      <w:r w:rsidRPr="004C0323">
        <w:rPr>
          <w:rStyle w:val="Strong"/>
        </w:rPr>
        <w:t>d. Legal Coordination Mechanisms</w:t>
      </w:r>
      <w:r w:rsidRPr="004C0323">
        <w:br/>
        <w:t>Tier 2 findings emphasize the importance of pre-negotiated legal instruments that authorize temporary emergency measures, data sharing, and movement restrictions without lengthy political delays.</w:t>
      </w:r>
    </w:p>
    <w:p w:rsidR="00B57E78" w:rsidRPr="004C0323" w:rsidRDefault="00B57E78" w:rsidP="00B57E78">
      <w:pPr>
        <w:pStyle w:val="Heading3"/>
        <w:rPr>
          <w:sz w:val="24"/>
          <w:szCs w:val="24"/>
        </w:rPr>
      </w:pPr>
      <w:r w:rsidRPr="004C0323">
        <w:rPr>
          <w:rStyle w:val="Strong"/>
          <w:b/>
          <w:bCs/>
          <w:sz w:val="24"/>
          <w:szCs w:val="24"/>
        </w:rPr>
        <w:t>4.3.3 Findings and Implications</w:t>
      </w:r>
    </w:p>
    <w:p w:rsidR="00B57E78" w:rsidRPr="004C0323" w:rsidRDefault="00B57E78" w:rsidP="00B57E78">
      <w:pPr>
        <w:pStyle w:val="NormalWeb"/>
      </w:pPr>
      <w:r w:rsidRPr="004C0323">
        <w:t>The analysis reveals that crisis response is most effective when legal authority, health policy, and tourism governance are aligned. Fragmented authority—where tourism policies conflict with health directives—leads to inconsistent enforcement and reduced public trust. Regional legal harmonization significantly improves response efficiency.</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5"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4.4 Tier 3: Post-Crisis Recovery, Evaluation, and System Strengthening</w:t>
      </w:r>
    </w:p>
    <w:p w:rsidR="00B57E78" w:rsidRPr="004C0323" w:rsidRDefault="00B57E78" w:rsidP="00B57E78">
      <w:pPr>
        <w:pStyle w:val="Heading3"/>
        <w:rPr>
          <w:sz w:val="24"/>
          <w:szCs w:val="24"/>
        </w:rPr>
      </w:pPr>
      <w:r w:rsidRPr="004C0323">
        <w:rPr>
          <w:rStyle w:val="Strong"/>
          <w:b/>
          <w:bCs/>
          <w:sz w:val="24"/>
          <w:szCs w:val="24"/>
        </w:rPr>
        <w:t>4.4.1 Purpose and Rationale</w:t>
      </w:r>
    </w:p>
    <w:p w:rsidR="00B57E78" w:rsidRPr="004C0323" w:rsidRDefault="00B57E78" w:rsidP="00B57E78">
      <w:pPr>
        <w:pStyle w:val="NormalWeb"/>
      </w:pPr>
      <w:r w:rsidRPr="004C0323">
        <w:t>Tier 3 focuses on recovery and long-term resilience. Health crises often leave lasting reputational damage, particularly in tourism-dependent economies. Findings show that destinations failing to conduct systematic post-crisis evaluations are more likely to repeat the same mistakes in subsequent outbreaks (OECD, 2021).</w:t>
      </w:r>
    </w:p>
    <w:p w:rsidR="00B57E78" w:rsidRPr="004C0323" w:rsidRDefault="00B57E78" w:rsidP="00B57E78">
      <w:pPr>
        <w:pStyle w:val="Heading3"/>
        <w:rPr>
          <w:sz w:val="24"/>
          <w:szCs w:val="24"/>
        </w:rPr>
      </w:pPr>
      <w:r w:rsidRPr="004C0323">
        <w:rPr>
          <w:rStyle w:val="Strong"/>
          <w:b/>
          <w:bCs/>
          <w:sz w:val="24"/>
          <w:szCs w:val="24"/>
        </w:rPr>
        <w:t>4.4.2 Key Components</w:t>
      </w:r>
    </w:p>
    <w:p w:rsidR="00B57E78" w:rsidRPr="004C0323" w:rsidRDefault="00B57E78" w:rsidP="00B57E78">
      <w:pPr>
        <w:pStyle w:val="NormalWeb"/>
      </w:pPr>
      <w:r w:rsidRPr="004C0323">
        <w:rPr>
          <w:rStyle w:val="Strong"/>
        </w:rPr>
        <w:lastRenderedPageBreak/>
        <w:t>a. Health System Evaluation and Learning</w:t>
      </w:r>
      <w:r w:rsidRPr="004C0323">
        <w:br/>
        <w:t>Post-crisis audits assess:</w:t>
      </w:r>
    </w:p>
    <w:p w:rsidR="00B57E78" w:rsidRPr="004C0323" w:rsidRDefault="00B57E78" w:rsidP="00B57E78">
      <w:pPr>
        <w:pStyle w:val="NormalWeb"/>
        <w:numPr>
          <w:ilvl w:val="0"/>
          <w:numId w:val="13"/>
        </w:numPr>
      </w:pPr>
      <w:r w:rsidRPr="004C0323">
        <w:t>Surveillance effectiveness</w:t>
      </w:r>
    </w:p>
    <w:p w:rsidR="00B57E78" w:rsidRPr="004C0323" w:rsidRDefault="00B57E78" w:rsidP="00B57E78">
      <w:pPr>
        <w:pStyle w:val="NormalWeb"/>
        <w:numPr>
          <w:ilvl w:val="0"/>
          <w:numId w:val="13"/>
        </w:numPr>
      </w:pPr>
      <w:r w:rsidRPr="004C0323">
        <w:t>Policy coordination failures</w:t>
      </w:r>
    </w:p>
    <w:p w:rsidR="00B57E78" w:rsidRPr="004C0323" w:rsidRDefault="00B57E78" w:rsidP="00B57E78">
      <w:pPr>
        <w:pStyle w:val="NormalWeb"/>
        <w:numPr>
          <w:ilvl w:val="0"/>
          <w:numId w:val="13"/>
        </w:numPr>
      </w:pPr>
      <w:r w:rsidRPr="004C0323">
        <w:t>Healthcare capacity constraints</w:t>
      </w:r>
    </w:p>
    <w:p w:rsidR="00B57E78" w:rsidRPr="004C0323" w:rsidRDefault="00B57E78" w:rsidP="00B57E78">
      <w:pPr>
        <w:pStyle w:val="NormalWeb"/>
        <w:numPr>
          <w:ilvl w:val="0"/>
          <w:numId w:val="13"/>
        </w:numPr>
      </w:pPr>
      <w:r w:rsidRPr="004C0323">
        <w:t>Tourism compliance levels</w:t>
      </w:r>
    </w:p>
    <w:p w:rsidR="00B57E78" w:rsidRPr="004C0323" w:rsidRDefault="00B57E78" w:rsidP="00B57E78">
      <w:pPr>
        <w:pStyle w:val="NormalWeb"/>
      </w:pPr>
      <w:r w:rsidRPr="004C0323">
        <w:t>Lessons learned are incorporated into revised contingency plans.</w:t>
      </w:r>
    </w:p>
    <w:p w:rsidR="00B57E78" w:rsidRPr="004C0323" w:rsidRDefault="00B57E78" w:rsidP="00B57E78">
      <w:pPr>
        <w:pStyle w:val="NormalWeb"/>
      </w:pPr>
      <w:proofErr w:type="gramStart"/>
      <w:r w:rsidRPr="004C0323">
        <w:rPr>
          <w:rStyle w:val="Strong"/>
        </w:rPr>
        <w:t>b</w:t>
      </w:r>
      <w:proofErr w:type="gramEnd"/>
      <w:r w:rsidRPr="004C0323">
        <w:rPr>
          <w:rStyle w:val="Strong"/>
        </w:rPr>
        <w:t>. Tourism Trust Restoration Measures</w:t>
      </w:r>
      <w:r w:rsidRPr="004C0323">
        <w:br/>
        <w:t>Recovery strategies include:</w:t>
      </w:r>
    </w:p>
    <w:p w:rsidR="00B57E78" w:rsidRPr="004C0323" w:rsidRDefault="00B57E78" w:rsidP="00B57E78">
      <w:pPr>
        <w:pStyle w:val="NormalWeb"/>
        <w:numPr>
          <w:ilvl w:val="0"/>
          <w:numId w:val="14"/>
        </w:numPr>
      </w:pPr>
      <w:r w:rsidRPr="004C0323">
        <w:t>Transparent reporting of health data</w:t>
      </w:r>
    </w:p>
    <w:p w:rsidR="00B57E78" w:rsidRPr="004C0323" w:rsidRDefault="00B57E78" w:rsidP="00B57E78">
      <w:pPr>
        <w:pStyle w:val="NormalWeb"/>
        <w:numPr>
          <w:ilvl w:val="0"/>
          <w:numId w:val="14"/>
        </w:numPr>
      </w:pPr>
      <w:r w:rsidRPr="004C0323">
        <w:t>Independent verification of safety standards</w:t>
      </w:r>
    </w:p>
    <w:p w:rsidR="00B57E78" w:rsidRPr="004C0323" w:rsidRDefault="00B57E78" w:rsidP="00B57E78">
      <w:pPr>
        <w:pStyle w:val="NormalWeb"/>
        <w:numPr>
          <w:ilvl w:val="0"/>
          <w:numId w:val="14"/>
        </w:numPr>
      </w:pPr>
      <w:r w:rsidRPr="004C0323">
        <w:t>International partnerships with WHO and UNWTO</w:t>
      </w:r>
    </w:p>
    <w:p w:rsidR="00B57E78" w:rsidRPr="004C0323" w:rsidRDefault="00B57E78" w:rsidP="00B57E78">
      <w:pPr>
        <w:pStyle w:val="NormalWeb"/>
        <w:numPr>
          <w:ilvl w:val="0"/>
          <w:numId w:val="14"/>
        </w:numPr>
      </w:pPr>
      <w:r w:rsidRPr="004C0323">
        <w:t>Certification schemes for health-secure tourism facilities</w:t>
      </w:r>
    </w:p>
    <w:p w:rsidR="00B57E78" w:rsidRPr="004C0323" w:rsidRDefault="00B57E78" w:rsidP="00B57E78">
      <w:pPr>
        <w:pStyle w:val="NormalWeb"/>
      </w:pPr>
      <w:proofErr w:type="gramStart"/>
      <w:r w:rsidRPr="004C0323">
        <w:rPr>
          <w:rStyle w:val="Strong"/>
        </w:rPr>
        <w:t>c</w:t>
      </w:r>
      <w:proofErr w:type="gramEnd"/>
      <w:r w:rsidRPr="004C0323">
        <w:rPr>
          <w:rStyle w:val="Strong"/>
        </w:rPr>
        <w:t>. Capacity Building and Training</w:t>
      </w:r>
      <w:r w:rsidRPr="004C0323">
        <w:br/>
        <w:t>The framework recommends continuous training for:</w:t>
      </w:r>
    </w:p>
    <w:p w:rsidR="00B57E78" w:rsidRPr="004C0323" w:rsidRDefault="00B57E78" w:rsidP="00B57E78">
      <w:pPr>
        <w:pStyle w:val="NormalWeb"/>
        <w:numPr>
          <w:ilvl w:val="0"/>
          <w:numId w:val="15"/>
        </w:numPr>
      </w:pPr>
      <w:r w:rsidRPr="004C0323">
        <w:t>Tourism workers on health safety protocols</w:t>
      </w:r>
    </w:p>
    <w:p w:rsidR="00B57E78" w:rsidRPr="004C0323" w:rsidRDefault="00B57E78" w:rsidP="00B57E78">
      <w:pPr>
        <w:pStyle w:val="NormalWeb"/>
        <w:numPr>
          <w:ilvl w:val="0"/>
          <w:numId w:val="15"/>
        </w:numPr>
      </w:pPr>
      <w:r w:rsidRPr="004C0323">
        <w:t>Border officials on outbreak management</w:t>
      </w:r>
    </w:p>
    <w:p w:rsidR="00B57E78" w:rsidRPr="004C0323" w:rsidRDefault="00B57E78" w:rsidP="00B57E78">
      <w:pPr>
        <w:pStyle w:val="NormalWeb"/>
        <w:numPr>
          <w:ilvl w:val="0"/>
          <w:numId w:val="15"/>
        </w:numPr>
      </w:pPr>
      <w:r w:rsidRPr="004C0323">
        <w:t>Local authorities on crisis communication</w:t>
      </w:r>
    </w:p>
    <w:p w:rsidR="00B57E78" w:rsidRPr="004C0323" w:rsidRDefault="00B57E78" w:rsidP="00B57E78">
      <w:pPr>
        <w:pStyle w:val="NormalWeb"/>
      </w:pPr>
      <w:r w:rsidRPr="004C0323">
        <w:rPr>
          <w:rStyle w:val="Strong"/>
        </w:rPr>
        <w:t>d. Institutionalization of the Framework</w:t>
      </w:r>
      <w:r w:rsidRPr="004C0323">
        <w:br/>
        <w:t>Tier 3 ensures that the framework is embedded into regional tourism agreements and public health strategies, transforming crisis response from ad hoc to institutionalized practice.</w:t>
      </w:r>
    </w:p>
    <w:p w:rsidR="00B57E78" w:rsidRPr="004C0323" w:rsidRDefault="00B57E78" w:rsidP="00B57E78">
      <w:pPr>
        <w:pStyle w:val="Heading3"/>
        <w:rPr>
          <w:sz w:val="24"/>
          <w:szCs w:val="24"/>
        </w:rPr>
      </w:pPr>
      <w:r w:rsidRPr="004C0323">
        <w:rPr>
          <w:rStyle w:val="Strong"/>
          <w:b/>
          <w:bCs/>
          <w:sz w:val="24"/>
          <w:szCs w:val="24"/>
        </w:rPr>
        <w:t>4.4.3 Findings and Implications</w:t>
      </w:r>
    </w:p>
    <w:p w:rsidR="00B57E78" w:rsidRPr="004C0323" w:rsidRDefault="00B57E78" w:rsidP="00B57E78">
      <w:pPr>
        <w:pStyle w:val="NormalWeb"/>
      </w:pPr>
      <w:r w:rsidRPr="004C0323">
        <w:t>Findings indicate that recovery is fastest when health transparency and international validation are prioritized. Destinations that actively communicated reforms and engaged global health institutions regained tourist confidence more quickly than those relying solely on marketing campaigns.</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6"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4.5 Risk Communication as a Cross-Cutting Element</w:t>
      </w:r>
    </w:p>
    <w:p w:rsidR="00B57E78" w:rsidRPr="004C0323" w:rsidRDefault="00B57E78" w:rsidP="00B57E78">
      <w:pPr>
        <w:pStyle w:val="NormalWeb"/>
      </w:pPr>
      <w:r w:rsidRPr="004C0323">
        <w:t xml:space="preserve">Across all three tiers, </w:t>
      </w:r>
      <w:r w:rsidRPr="004C0323">
        <w:rPr>
          <w:rStyle w:val="Strong"/>
        </w:rPr>
        <w:t>risk communication</w:t>
      </w:r>
      <w:r w:rsidRPr="004C0323">
        <w:t xml:space="preserve"> emerges as a decisive factor. The framework emphasizes:</w:t>
      </w:r>
    </w:p>
    <w:p w:rsidR="00B57E78" w:rsidRPr="004C0323" w:rsidRDefault="00B57E78" w:rsidP="00B57E78">
      <w:pPr>
        <w:pStyle w:val="NormalWeb"/>
        <w:numPr>
          <w:ilvl w:val="0"/>
          <w:numId w:val="16"/>
        </w:numPr>
      </w:pPr>
      <w:r w:rsidRPr="004C0323">
        <w:t>Unified regional messaging</w:t>
      </w:r>
    </w:p>
    <w:p w:rsidR="00B57E78" w:rsidRPr="004C0323" w:rsidRDefault="00B57E78" w:rsidP="00B57E78">
      <w:pPr>
        <w:pStyle w:val="NormalWeb"/>
        <w:numPr>
          <w:ilvl w:val="0"/>
          <w:numId w:val="16"/>
        </w:numPr>
      </w:pPr>
      <w:r w:rsidRPr="004C0323">
        <w:t>Multilingual communication platforms</w:t>
      </w:r>
    </w:p>
    <w:p w:rsidR="00B57E78" w:rsidRPr="004C0323" w:rsidRDefault="00B57E78" w:rsidP="00B57E78">
      <w:pPr>
        <w:pStyle w:val="NormalWeb"/>
        <w:numPr>
          <w:ilvl w:val="0"/>
          <w:numId w:val="16"/>
        </w:numPr>
      </w:pPr>
      <w:r w:rsidRPr="004C0323">
        <w:t>Regular public briefings</w:t>
      </w:r>
    </w:p>
    <w:p w:rsidR="00B57E78" w:rsidRPr="004C0323" w:rsidRDefault="00B57E78" w:rsidP="00B57E78">
      <w:pPr>
        <w:pStyle w:val="NormalWeb"/>
        <w:numPr>
          <w:ilvl w:val="0"/>
          <w:numId w:val="16"/>
        </w:numPr>
      </w:pPr>
      <w:r w:rsidRPr="004C0323">
        <w:t>Counter-misinformation strategies</w:t>
      </w:r>
    </w:p>
    <w:p w:rsidR="00B57E78" w:rsidRPr="004C0323" w:rsidRDefault="00B57E78" w:rsidP="00B57E78">
      <w:pPr>
        <w:pStyle w:val="NormalWeb"/>
      </w:pPr>
      <w:r w:rsidRPr="004C0323">
        <w:lastRenderedPageBreak/>
        <w:t>Effective communication not only informs but also reassures travelers, tourism workers, and local communities.</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7"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4.6 Summary of Findings</w:t>
      </w:r>
    </w:p>
    <w:p w:rsidR="00B57E78" w:rsidRPr="004C0323" w:rsidRDefault="00B57E78" w:rsidP="00B57E78">
      <w:pPr>
        <w:pStyle w:val="NormalWeb"/>
      </w:pPr>
      <w:r w:rsidRPr="004C0323">
        <w:t>The findings demonstrate that managing health threats in cross-border tourism zones requires:</w:t>
      </w:r>
    </w:p>
    <w:p w:rsidR="00B57E78" w:rsidRPr="004C0323" w:rsidRDefault="00B57E78" w:rsidP="00B57E78">
      <w:pPr>
        <w:pStyle w:val="NormalWeb"/>
        <w:numPr>
          <w:ilvl w:val="0"/>
          <w:numId w:val="17"/>
        </w:numPr>
      </w:pPr>
      <w:r w:rsidRPr="004C0323">
        <w:t>Integrated surveillance systems</w:t>
      </w:r>
    </w:p>
    <w:p w:rsidR="00B57E78" w:rsidRPr="004C0323" w:rsidRDefault="00B57E78" w:rsidP="00B57E78">
      <w:pPr>
        <w:pStyle w:val="NormalWeb"/>
        <w:numPr>
          <w:ilvl w:val="0"/>
          <w:numId w:val="17"/>
        </w:numPr>
      </w:pPr>
      <w:r w:rsidRPr="004C0323">
        <w:t>Coordinated legal and policy frameworks</w:t>
      </w:r>
    </w:p>
    <w:p w:rsidR="00B57E78" w:rsidRPr="004C0323" w:rsidRDefault="00B57E78" w:rsidP="00B57E78">
      <w:pPr>
        <w:pStyle w:val="NormalWeb"/>
        <w:numPr>
          <w:ilvl w:val="0"/>
          <w:numId w:val="17"/>
        </w:numPr>
      </w:pPr>
      <w:r w:rsidRPr="004C0323">
        <w:t>Shared responsibility between health and tourism sectors</w:t>
      </w:r>
    </w:p>
    <w:p w:rsidR="00B57E78" w:rsidRPr="004C0323" w:rsidRDefault="00B57E78" w:rsidP="00B57E78">
      <w:pPr>
        <w:pStyle w:val="NormalWeb"/>
        <w:numPr>
          <w:ilvl w:val="0"/>
          <w:numId w:val="17"/>
        </w:numPr>
      </w:pPr>
      <w:r w:rsidRPr="004C0323">
        <w:t>Continuous learning and system strengthening</w:t>
      </w:r>
    </w:p>
    <w:p w:rsidR="00B57E78" w:rsidRPr="004C0323" w:rsidRDefault="00B57E78" w:rsidP="00B57E78">
      <w:pPr>
        <w:pStyle w:val="NormalWeb"/>
      </w:pPr>
      <w:r w:rsidRPr="004C0323">
        <w:t>The proposed multi-tiered framework addresses these needs by offering a structured, adaptable, and internationally aligned model capable of mitigating health risks while sustaining tourism mobility.</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58" style="width:0;height:1.5pt" o:hralign="center" o:hrstd="t" o:hr="t" fillcolor="#a0a0a0" stroked="f"/>
        </w:pict>
      </w:r>
    </w:p>
    <w:p w:rsidR="00B57E78" w:rsidRPr="004C0323" w:rsidRDefault="00B57E78" w:rsidP="00B57E78">
      <w:pPr>
        <w:rPr>
          <w:rFonts w:ascii="Times New Roman" w:hAnsi="Times New Roman" w:cs="Times New Roman"/>
          <w:sz w:val="24"/>
          <w:szCs w:val="24"/>
        </w:rPr>
      </w:pPr>
    </w:p>
    <w:p w:rsidR="00B57E78" w:rsidRPr="004C0323" w:rsidRDefault="00B57E78" w:rsidP="004C0323">
      <w:r w:rsidRPr="004C0323">
        <w:rPr>
          <w:rStyle w:val="Strong"/>
          <w:rFonts w:ascii="Times New Roman" w:hAnsi="Times New Roman" w:cs="Times New Roman"/>
          <w:bCs w:val="0"/>
          <w:sz w:val="24"/>
          <w:szCs w:val="24"/>
        </w:rPr>
        <w:t>5. Discussion</w:t>
      </w:r>
    </w:p>
    <w:p w:rsidR="00B57E78" w:rsidRPr="004C0323" w:rsidRDefault="00B57E78" w:rsidP="00B57E78">
      <w:pPr>
        <w:pStyle w:val="NormalWeb"/>
      </w:pPr>
      <w:r w:rsidRPr="004C0323">
        <w:t>The findings of this study reinforce the central argument that effective management of health threats in cross-border tourism zones requires an integrated, multi-tiered approach that aligns public health governance with tourism systems. The proposed framework responds directly to theoretical models of crisis management, resilience theory, and international health governance, while also addressing practical failures observed during recent global health emergencies.</w:t>
      </w:r>
    </w:p>
    <w:p w:rsidR="00B57E78" w:rsidRPr="004C0323" w:rsidRDefault="00B57E78" w:rsidP="00B57E78">
      <w:pPr>
        <w:pStyle w:val="Heading3"/>
        <w:rPr>
          <w:sz w:val="24"/>
          <w:szCs w:val="24"/>
        </w:rPr>
      </w:pPr>
      <w:r w:rsidRPr="004C0323">
        <w:rPr>
          <w:rStyle w:val="Strong"/>
          <w:b/>
          <w:bCs/>
          <w:sz w:val="24"/>
          <w:szCs w:val="24"/>
        </w:rPr>
        <w:t>5.1 Alignment with Crisis Management and Resilience Theory</w:t>
      </w:r>
    </w:p>
    <w:p w:rsidR="00B57E78" w:rsidRPr="004C0323" w:rsidRDefault="00B57E78" w:rsidP="00B57E78">
      <w:pPr>
        <w:pStyle w:val="NormalWeb"/>
      </w:pPr>
      <w:r w:rsidRPr="004C0323">
        <w:t>The multi-tiered framework aligns strongly with established tourism crisis management models, particularly Faulkner’s (2001) disaster management framework and Ritchie’s (2004) strategic crisis management approach. Tier 1 corresponds to the pre-event and prodromal phases, emphasizing preparedness, early detection, and risk anticipation. Tier 2 reflects the emergency and intermediate phases, where rapid response and containment are essential. Tier 3 mirrors the recovery and resolution phases, focusing on learning, adaptation, and system strengthening.</w:t>
      </w:r>
    </w:p>
    <w:p w:rsidR="00B57E78" w:rsidRPr="004C0323" w:rsidRDefault="00B57E78" w:rsidP="00B57E78">
      <w:pPr>
        <w:pStyle w:val="NormalWeb"/>
      </w:pPr>
      <w:r w:rsidRPr="004C0323">
        <w:t xml:space="preserve">From a resilience perspective, the framework enhances </w:t>
      </w:r>
      <w:r w:rsidRPr="004C0323">
        <w:rPr>
          <w:rStyle w:val="Strong"/>
        </w:rPr>
        <w:t>adaptive capacity</w:t>
      </w:r>
      <w:r w:rsidRPr="004C0323">
        <w:t>, a core principle of resilience theory (Biggs et al., 2015). By institutionalizing learning mechanisms and cross-border cooperation, the framework enables tourism systems to absorb shocks and recover more effectively. The findings suggest that resilience in tourism is not solely dependent on infrastructure or economic resources but also on governance coherence, trust, and communication.</w:t>
      </w:r>
    </w:p>
    <w:p w:rsidR="00B57E78" w:rsidRPr="004C0323" w:rsidRDefault="00B57E78" w:rsidP="00B57E78">
      <w:pPr>
        <w:pStyle w:val="Heading3"/>
        <w:rPr>
          <w:sz w:val="24"/>
          <w:szCs w:val="24"/>
        </w:rPr>
      </w:pPr>
      <w:r w:rsidRPr="004C0323">
        <w:rPr>
          <w:rStyle w:val="Strong"/>
          <w:b/>
          <w:bCs/>
          <w:sz w:val="24"/>
          <w:szCs w:val="24"/>
        </w:rPr>
        <w:t>5.2 Governance Fragmentation and the Need for Regional Coordination</w:t>
      </w:r>
    </w:p>
    <w:p w:rsidR="00B57E78" w:rsidRPr="004C0323" w:rsidRDefault="00B57E78" w:rsidP="00B57E78">
      <w:pPr>
        <w:pStyle w:val="NormalWeb"/>
      </w:pPr>
      <w:r w:rsidRPr="004C0323">
        <w:lastRenderedPageBreak/>
        <w:t xml:space="preserve">The proposed framework addresses this gap by promoting </w:t>
      </w:r>
      <w:r w:rsidRPr="004C0323">
        <w:rPr>
          <w:rStyle w:val="Strong"/>
        </w:rPr>
        <w:t>coordination rather than centralization</w:t>
      </w:r>
      <w:r w:rsidRPr="004C0323">
        <w:t>. It respects national sovereignty while establishing mechanisms for harmonized standards, mutual recognition of health measures, and joint decision-making. This approach is consistent with WHO’s International Health Regulations, which emphasize cooperation without undermining state authority. The discussion highlights that legal preparedness—through pre-negotiated agreements and emergency protocols—is as important as medical readiness.</w:t>
      </w:r>
    </w:p>
    <w:p w:rsidR="00B57E78" w:rsidRPr="004C0323" w:rsidRDefault="00B57E78" w:rsidP="00B57E78">
      <w:pPr>
        <w:pStyle w:val="Heading3"/>
        <w:rPr>
          <w:sz w:val="24"/>
          <w:szCs w:val="24"/>
        </w:rPr>
      </w:pPr>
      <w:r w:rsidRPr="004C0323">
        <w:rPr>
          <w:rStyle w:val="Strong"/>
          <w:b/>
          <w:bCs/>
          <w:sz w:val="24"/>
          <w:szCs w:val="24"/>
        </w:rPr>
        <w:t>5.3 Role of Tourism Stakeholders in Health Security</w:t>
      </w:r>
    </w:p>
    <w:p w:rsidR="00B57E78" w:rsidRPr="004C0323" w:rsidRDefault="00B57E78" w:rsidP="00B57E78">
      <w:pPr>
        <w:pStyle w:val="NormalWeb"/>
      </w:pPr>
      <w:r w:rsidRPr="004C0323">
        <w:t xml:space="preserve">Traditionally, health crisis management has been dominated by public health institutions, with limited involvement from tourism stakeholders. The findings challenge this </w:t>
      </w:r>
      <w:proofErr w:type="spellStart"/>
      <w:r w:rsidRPr="004C0323">
        <w:t>siloed</w:t>
      </w:r>
      <w:proofErr w:type="spellEnd"/>
      <w:r w:rsidRPr="004C0323">
        <w:t xml:space="preserve"> approach by demonstrating that tourism actors are critical contributors to early detection, compliance, and communication. Hotels, airlines, and tour operators often serve as frontline observers of health anomalies among travelers.</w:t>
      </w:r>
    </w:p>
    <w:p w:rsidR="00B57E78" w:rsidRPr="004C0323" w:rsidRDefault="00B57E78" w:rsidP="00B57E78">
      <w:pPr>
        <w:pStyle w:val="Heading3"/>
        <w:rPr>
          <w:sz w:val="24"/>
          <w:szCs w:val="24"/>
        </w:rPr>
      </w:pPr>
      <w:r w:rsidRPr="004C0323">
        <w:rPr>
          <w:rStyle w:val="Strong"/>
          <w:b/>
          <w:bCs/>
          <w:sz w:val="24"/>
          <w:szCs w:val="24"/>
        </w:rPr>
        <w:t>5.4 Risk Communication and Trust Building</w:t>
      </w:r>
    </w:p>
    <w:p w:rsidR="00B57E78" w:rsidRPr="004C0323" w:rsidRDefault="00B57E78" w:rsidP="00B57E78">
      <w:pPr>
        <w:pStyle w:val="NormalWeb"/>
      </w:pPr>
      <w:r w:rsidRPr="004C0323">
        <w:t>Risk communication emerges as a central determinant of crisis outcomes across all tiers of the framework. The findings corroborate crisis communication theory, which emphasizes transparency, consistency, and empathy as foundations of public trust (Reynolds &amp; Seeger, 2005). In cross-border tourism contexts, inconsistent messaging between countries undermines credibility and increases traveler anxiety.</w:t>
      </w:r>
    </w:p>
    <w:p w:rsidR="00B57E78" w:rsidRPr="004C0323" w:rsidRDefault="00B57E78" w:rsidP="00B57E78">
      <w:pPr>
        <w:pStyle w:val="NormalWeb"/>
      </w:pPr>
      <w:r w:rsidRPr="004C0323">
        <w:t>The discussion highlights that communication is not merely informational but strategic. Clear articulation of risks, acknowledgment of uncertainty, and visible corrective actions contribute to trust repair and destination recovery. This aligns with trust repair and image restoration theories (Benoit, 1997), particularly in tourism-dependent economies where reputation is a critical asset.</w:t>
      </w:r>
    </w:p>
    <w:p w:rsidR="00B57E78" w:rsidRPr="004C0323" w:rsidRDefault="00B57E78" w:rsidP="00B57E78">
      <w:pPr>
        <w:pStyle w:val="Heading3"/>
        <w:rPr>
          <w:sz w:val="24"/>
          <w:szCs w:val="24"/>
        </w:rPr>
      </w:pPr>
      <w:r w:rsidRPr="004C0323">
        <w:rPr>
          <w:rStyle w:val="Strong"/>
          <w:b/>
          <w:bCs/>
          <w:sz w:val="24"/>
          <w:szCs w:val="24"/>
        </w:rPr>
        <w:t>5.5 Ethical and Legal Implications</w:t>
      </w:r>
    </w:p>
    <w:p w:rsidR="00B57E78" w:rsidRPr="004C0323" w:rsidRDefault="00B57E78" w:rsidP="00B57E78">
      <w:pPr>
        <w:pStyle w:val="NormalWeb"/>
      </w:pPr>
      <w:r w:rsidRPr="004C0323">
        <w:t>The implementation of integrated surveillance and digital health tools raises ethical concerns related to privacy, data protection, and equity. The discussion emphasizes that health security measures must adhere to ethical principles such as proportionality, necessity, and transparency (Upshur, 2002). Overly intrusive measures risk public resistance and long-term reputational harm.</w:t>
      </w:r>
    </w:p>
    <w:p w:rsidR="00B57E78" w:rsidRPr="004C0323" w:rsidRDefault="00B57E78" w:rsidP="00B57E78">
      <w:pPr>
        <w:pStyle w:val="NormalWeb"/>
      </w:pPr>
      <w:r w:rsidRPr="004C0323">
        <w:t>Cross-border data sharing further complicates legal compliance, particularly in regions with differing data protection standards. The framework’s emphasis on legal coordination mechanisms seeks to mitigate these challenges by establishing clear rules, accountability structures, and safeguards for personal data. This balance between public health protection and individual rights is essential for sustainable crisis governance.</w:t>
      </w:r>
    </w:p>
    <w:p w:rsidR="00B57E78" w:rsidRPr="004C0323" w:rsidRDefault="00B57E78" w:rsidP="00B57E78">
      <w:pPr>
        <w:pStyle w:val="Heading3"/>
        <w:rPr>
          <w:sz w:val="24"/>
          <w:szCs w:val="24"/>
        </w:rPr>
      </w:pPr>
      <w:r w:rsidRPr="004C0323">
        <w:rPr>
          <w:rStyle w:val="Strong"/>
          <w:b/>
          <w:bCs/>
          <w:sz w:val="24"/>
          <w:szCs w:val="24"/>
        </w:rPr>
        <w:t>5.6 Policy and Practical Implications</w:t>
      </w:r>
    </w:p>
    <w:p w:rsidR="00B57E78" w:rsidRPr="004C0323" w:rsidRDefault="00B57E78" w:rsidP="00B57E78">
      <w:pPr>
        <w:pStyle w:val="NormalWeb"/>
      </w:pPr>
      <w:r w:rsidRPr="004C0323">
        <w:t xml:space="preserve">From a policy perspective, the findings suggest that cross-border tourism zones should institutionalize health crisis management within regional tourism agreements. Health </w:t>
      </w:r>
      <w:r w:rsidRPr="004C0323">
        <w:lastRenderedPageBreak/>
        <w:t>preparedness should be treated as a core component of tourism competitiveness, not a temporary emergency measure. Investments in surveillance infrastructure, capacity building, and communication platforms are long-term strategies that enhance both safety and resilience.</w:t>
      </w:r>
    </w:p>
    <w:p w:rsidR="00B57E78" w:rsidRPr="004C0323" w:rsidRDefault="00B57E78" w:rsidP="00B57E78">
      <w:pPr>
        <w:pStyle w:val="NormalWeb"/>
      </w:pPr>
      <w:r w:rsidRPr="004C0323">
        <w:t>Practically, the framework provides tourism authorities with a structured roadmap for preparedness and response. Its tiered design allows flexibility and scalability, making it applicable to diverse regional contexts beyond ASEAN and Europe. The discussion also underscores the importance of continuous evaluation and adaptation, particularly in the face of evolving health threats and climate-driven disease patterns.</w:t>
      </w:r>
    </w:p>
    <w:p w:rsidR="00B57E78" w:rsidRPr="004C0323" w:rsidRDefault="00B57E78" w:rsidP="004C0323">
      <w:r w:rsidRPr="004C0323">
        <w:pict>
          <v:rect id="_x0000_i1073"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Step 9: Conclusion and Future Research Recommendations</w:t>
      </w:r>
    </w:p>
    <w:p w:rsidR="00B57E78" w:rsidRPr="004C0323" w:rsidRDefault="00B57E78" w:rsidP="00B57E78">
      <w:pPr>
        <w:rPr>
          <w:rFonts w:ascii="Times New Roman" w:hAnsi="Times New Roman" w:cs="Times New Roman"/>
          <w:sz w:val="24"/>
          <w:szCs w:val="24"/>
        </w:rPr>
      </w:pPr>
    </w:p>
    <w:p w:rsidR="00B57E78" w:rsidRPr="004C0323" w:rsidRDefault="00B57E78" w:rsidP="004C0323">
      <w:r w:rsidRPr="004C0323">
        <w:rPr>
          <w:rStyle w:val="Strong"/>
          <w:rFonts w:ascii="Times New Roman" w:hAnsi="Times New Roman" w:cs="Times New Roman"/>
          <w:bCs w:val="0"/>
          <w:sz w:val="24"/>
          <w:szCs w:val="24"/>
        </w:rPr>
        <w:t>. Conclusion</w:t>
      </w:r>
    </w:p>
    <w:p w:rsidR="00B57E78" w:rsidRPr="004C0323" w:rsidRDefault="00B57E78" w:rsidP="00B57E78">
      <w:pPr>
        <w:pStyle w:val="NormalWeb"/>
      </w:pPr>
      <w:r w:rsidRPr="004C0323">
        <w:t>Health threats pose one of the most significant challenges to the sustainability and resilience of the global tourism industry, particularly in cross-border tourism zones characterized by high mobility and shared economic interests. This assignment set out to develop a comprehensive, multi-tiered health crisis management framework capable of addressing public health risks while maintaining tourism continuity. Drawing on international health standards, crisis management theory, and real-world experiences from recent pandemics, the study demonstrates that fragmented governance and uncoordinated responses remain major vulnerabilities in regional tourism systems.</w:t>
      </w:r>
    </w:p>
    <w:p w:rsidR="00B57E78" w:rsidRPr="004C0323" w:rsidRDefault="00B57E78" w:rsidP="00B57E78">
      <w:pPr>
        <w:pStyle w:val="NormalWeb"/>
      </w:pPr>
      <w:r w:rsidRPr="004C0323">
        <w:t>The findings confirm that effective health threat management in cross-border tourism zones requires a shift from reactive, nationally isolated responses toward proactive, regionally coordinated strategies. The proposed three-tier framework—encompassing early warning and surveillance, coordinated crisis response and containment, and post-crisis recovery and system strengthening—offers a structured and adaptable approach to managing health crises across borders. By integrating public health authorities, tourism stakeholders, and legal coordination mechanisms, the framework aligns health security objectives with tourism governance needs.</w:t>
      </w:r>
    </w:p>
    <w:p w:rsidR="00B57E78" w:rsidRPr="004C0323" w:rsidRDefault="00B57E78" w:rsidP="00B57E78">
      <w:pPr>
        <w:pStyle w:val="NormalWeb"/>
      </w:pPr>
      <w:r w:rsidRPr="004C0323">
        <w:t xml:space="preserve">A key conclusion of this study is that </w:t>
      </w:r>
      <w:r w:rsidRPr="004C0323">
        <w:rPr>
          <w:rStyle w:val="Strong"/>
        </w:rPr>
        <w:t>early detection and transparent communication are the most powerful tools in preventing health crises from escalating</w:t>
      </w:r>
      <w:r w:rsidRPr="004C0323">
        <w:t>. Integrated surveillance systems that include tourism stakeholders enhance situational awareness and enable timely interventions. Similarly, harmonized travel health protocols and joint crisis task forces reduce confusion, improve compliance, and strengthen traveler confidence. The importance of risk communication as a cross-cutting element cannot be overstated, as trust and credibility directly influence both public behavior and destination recovery.</w:t>
      </w:r>
    </w:p>
    <w:p w:rsidR="00B57E78" w:rsidRPr="004C0323" w:rsidRDefault="00B57E78" w:rsidP="00B57E78">
      <w:pPr>
        <w:pStyle w:val="NormalWeb"/>
      </w:pPr>
      <w:r w:rsidRPr="004C0323">
        <w:t xml:space="preserve">The study also highlights the ethical and legal complexities associated with health surveillance, data sharing, and movement restrictions. Sustainable health crisis management must balance public health protection with respect for privacy, human rights, and economic equity. The </w:t>
      </w:r>
      <w:r w:rsidRPr="004C0323">
        <w:lastRenderedPageBreak/>
        <w:t>framework addresses these concerns by emphasizing proportionality, transparency, and legal preparedness, ensuring that emergency measures are both effective and socially legitimate.</w:t>
      </w:r>
    </w:p>
    <w:p w:rsidR="00B57E78" w:rsidRPr="004C0323" w:rsidRDefault="00B57E78" w:rsidP="00B57E78">
      <w:pPr>
        <w:pStyle w:val="NormalWeb"/>
      </w:pPr>
      <w:r w:rsidRPr="004C0323">
        <w:t>From a policy perspective, this research underscores the need to institutionalize health crisis preparedness within regional tourism agreements and development strategies. Health security should be recognized as a core dimension of tourism competitiveness and resilience, requiring long-term investment in infrastructure, capacity building, and governance coordination. The proposed framework offers policymakers and tourism authorities a practical roadmap for enhancing preparedness and reducing the disruptive impacts of future health threats.</w:t>
      </w:r>
    </w:p>
    <w:p w:rsidR="00B57E78" w:rsidRPr="004C0323" w:rsidRDefault="00B57E78" w:rsidP="00B57E78">
      <w:pPr>
        <w:pStyle w:val="Heading3"/>
        <w:rPr>
          <w:sz w:val="24"/>
          <w:szCs w:val="24"/>
        </w:rPr>
      </w:pPr>
      <w:r w:rsidRPr="004C0323">
        <w:rPr>
          <w:rStyle w:val="Strong"/>
          <w:b/>
          <w:bCs/>
          <w:sz w:val="24"/>
          <w:szCs w:val="24"/>
        </w:rPr>
        <w:t>Future Research Recommendations</w:t>
      </w:r>
    </w:p>
    <w:p w:rsidR="00B57E78" w:rsidRPr="004C0323" w:rsidRDefault="00B57E78" w:rsidP="00B57E78">
      <w:pPr>
        <w:pStyle w:val="NormalWeb"/>
      </w:pPr>
      <w:r w:rsidRPr="004C0323">
        <w:t>While this study provides a conceptual and strategic contribution, future research could enhance its applicability through empirical testing and quantitative modeling. Comparative studies evaluating the effectiveness of regional health coordination mechanisms across different tourism zones would provide valuable insights. Additionally, future research should explore the role of emerging technologies, such as artificial intelligence and digital health passports, in strengthening predictive surveillance while addressing ethical concerns. Investigating community-level perceptions of health measures in tourism destinations would also deepen understanding of compliance and trust dynamics.</w:t>
      </w:r>
    </w:p>
    <w:p w:rsidR="00B57E78" w:rsidRPr="004C0323" w:rsidRDefault="00B57E78" w:rsidP="00B57E78">
      <w:pPr>
        <w:pStyle w:val="NormalWeb"/>
      </w:pPr>
      <w:r w:rsidRPr="004C0323">
        <w:t>In conclusion, managing health threats in tourism requires integrated governance, shared responsibility, and continuous learning. The multi-tiered framework presented in this assignment contributes to the advancement of sustainable, resilient, and health-secure cross-border tourism in an increasingly interconnected world.</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75" style="width:0;height:1.5pt" o:hralign="center" o:hrstd="t" o:hr="t" fillcolor="#a0a0a0" stroked="f"/>
        </w:pict>
      </w:r>
    </w:p>
    <w:p w:rsidR="00B57E78" w:rsidRPr="004C0323" w:rsidRDefault="00B57E78" w:rsidP="00B57E78">
      <w:pPr>
        <w:rPr>
          <w:rFonts w:ascii="Times New Roman" w:hAnsi="Times New Roman" w:cs="Times New Roman"/>
          <w:sz w:val="24"/>
          <w:szCs w:val="24"/>
        </w:rPr>
      </w:pPr>
      <w:bookmarkStart w:id="0" w:name="_GoBack"/>
      <w:bookmarkEnd w:id="0"/>
    </w:p>
    <w:p w:rsidR="00B57E78" w:rsidRPr="006D7201" w:rsidRDefault="00B57E78" w:rsidP="006D7201">
      <w:r w:rsidRPr="006D7201">
        <w:rPr>
          <w:rStyle w:val="Strong"/>
          <w:rFonts w:ascii="Times New Roman" w:hAnsi="Times New Roman" w:cs="Times New Roman"/>
          <w:bCs w:val="0"/>
          <w:sz w:val="24"/>
          <w:szCs w:val="24"/>
        </w:rPr>
        <w:t>References</w:t>
      </w:r>
    </w:p>
    <w:p w:rsidR="00B57E78" w:rsidRPr="004C0323" w:rsidRDefault="00B57E78" w:rsidP="00B57E78">
      <w:pPr>
        <w:pStyle w:val="NormalWeb"/>
      </w:pPr>
      <w:r w:rsidRPr="004C0323">
        <w:t xml:space="preserve">Benoit, W. L. (1997). Image repair discourse and crisis communication. </w:t>
      </w:r>
      <w:r w:rsidRPr="004C0323">
        <w:rPr>
          <w:rStyle w:val="Emphasis"/>
        </w:rPr>
        <w:t>Public Relations Review, 23</w:t>
      </w:r>
      <w:r w:rsidRPr="004C0323">
        <w:t xml:space="preserve">(2), 177–186. </w:t>
      </w:r>
      <w:hyperlink r:id="rId5" w:history="1">
        <w:r w:rsidRPr="004C0323">
          <w:rPr>
            <w:rStyle w:val="Hyperlink"/>
            <w:rFonts w:eastAsiaTheme="majorEastAsia"/>
          </w:rPr>
          <w:t>https://doi.org/10.1016/S0363-8111(97)90023-0</w:t>
        </w:r>
      </w:hyperlink>
    </w:p>
    <w:p w:rsidR="00B57E78" w:rsidRPr="004C0323" w:rsidRDefault="00B57E78" w:rsidP="004C0323">
      <w:pPr>
        <w:pStyle w:val="NormalWeb"/>
      </w:pPr>
      <w:r w:rsidRPr="004C0323">
        <w:t xml:space="preserve">Biggs, D., Hall, C. M., &amp; </w:t>
      </w:r>
      <w:proofErr w:type="spellStart"/>
      <w:r w:rsidRPr="004C0323">
        <w:t>Stoeckl</w:t>
      </w:r>
      <w:proofErr w:type="spellEnd"/>
      <w:r w:rsidRPr="004C0323">
        <w:t xml:space="preserve">, N. (2015). The resilience of formal and informal tourism </w:t>
      </w:r>
    </w:p>
    <w:p w:rsidR="00B57E78" w:rsidRPr="004C0323" w:rsidRDefault="00B57E78" w:rsidP="00B57E78">
      <w:pPr>
        <w:pStyle w:val="NormalWeb"/>
      </w:pPr>
      <w:r w:rsidRPr="004C0323">
        <w:t xml:space="preserve">Faulkner, B. (2001). Towards a framework for tourism disaster management. </w:t>
      </w:r>
      <w:r w:rsidRPr="004C0323">
        <w:rPr>
          <w:rStyle w:val="Emphasis"/>
        </w:rPr>
        <w:t>Tourism Management, 22</w:t>
      </w:r>
      <w:r w:rsidRPr="004C0323">
        <w:t xml:space="preserve">(2), 135–147. </w:t>
      </w:r>
      <w:hyperlink r:id="rId6" w:history="1">
        <w:r w:rsidRPr="004C0323">
          <w:rPr>
            <w:rStyle w:val="Hyperlink"/>
            <w:rFonts w:eastAsiaTheme="majorEastAsia"/>
          </w:rPr>
          <w:t>https://doi.org/10.1016/S0261-5177(00)00048-0</w:t>
        </w:r>
      </w:hyperlink>
    </w:p>
    <w:p w:rsidR="00B57E78" w:rsidRPr="004C0323" w:rsidRDefault="00B57E78" w:rsidP="00B57E78">
      <w:pPr>
        <w:pStyle w:val="NormalWeb"/>
      </w:pPr>
      <w:proofErr w:type="spellStart"/>
      <w:r w:rsidRPr="004C0323">
        <w:t>Gössling</w:t>
      </w:r>
      <w:proofErr w:type="spellEnd"/>
      <w:r w:rsidRPr="004C0323">
        <w:t xml:space="preserve">, S., Scott, D., &amp; Hall, C. M. (2021). Pandemics, tourism and global change: A rapid assessment of COVID-19. </w:t>
      </w:r>
      <w:r w:rsidRPr="004C0323">
        <w:rPr>
          <w:rStyle w:val="Emphasis"/>
        </w:rPr>
        <w:t>Journal of Sustainable Tourism, 29</w:t>
      </w:r>
      <w:r w:rsidRPr="004C0323">
        <w:t xml:space="preserve">(1), 1–20. </w:t>
      </w:r>
      <w:hyperlink r:id="rId7" w:history="1">
        <w:r w:rsidRPr="004C0323">
          <w:rPr>
            <w:rStyle w:val="Hyperlink"/>
            <w:rFonts w:eastAsiaTheme="majorEastAsia"/>
          </w:rPr>
          <w:t>https://doi.org/10.1080/09669582.2020.1758708</w:t>
        </w:r>
      </w:hyperlink>
    </w:p>
    <w:p w:rsidR="00B57E78" w:rsidRPr="004C0323" w:rsidRDefault="00B57E78" w:rsidP="00B57E78">
      <w:pPr>
        <w:pStyle w:val="NormalWeb"/>
      </w:pPr>
      <w:proofErr w:type="spellStart"/>
      <w:r w:rsidRPr="004C0323">
        <w:t>Gostin</w:t>
      </w:r>
      <w:proofErr w:type="spellEnd"/>
      <w:r w:rsidRPr="004C0323">
        <w:t xml:space="preserve">, L. O., Friedman, E. A., &amp; Wetter, S. A. (2020). Responding to COVID-19: How to navigate a public health emergency legally and ethically. </w:t>
      </w:r>
      <w:r w:rsidRPr="004C0323">
        <w:rPr>
          <w:rStyle w:val="Emphasis"/>
        </w:rPr>
        <w:t>Journal of the American Medical Association, 323</w:t>
      </w:r>
      <w:r w:rsidRPr="004C0323">
        <w:t xml:space="preserve">(18), 1761–1762. </w:t>
      </w:r>
      <w:hyperlink r:id="rId8" w:history="1">
        <w:r w:rsidRPr="004C0323">
          <w:rPr>
            <w:rStyle w:val="Hyperlink"/>
            <w:rFonts w:eastAsiaTheme="majorEastAsia"/>
          </w:rPr>
          <w:t>https://doi.org/10.1001/jama.2020.6196</w:t>
        </w:r>
      </w:hyperlink>
    </w:p>
    <w:p w:rsidR="00B57E78" w:rsidRPr="004C0323" w:rsidRDefault="00B57E78" w:rsidP="00B57E78">
      <w:pPr>
        <w:pStyle w:val="NormalWeb"/>
      </w:pPr>
      <w:r w:rsidRPr="004C0323">
        <w:lastRenderedPageBreak/>
        <w:t xml:space="preserve">McCloskey, B., </w:t>
      </w:r>
      <w:proofErr w:type="spellStart"/>
      <w:r w:rsidRPr="004C0323">
        <w:t>Heymann</w:t>
      </w:r>
      <w:proofErr w:type="spellEnd"/>
      <w:r w:rsidRPr="004C0323">
        <w:t xml:space="preserve">, D. L., </w:t>
      </w:r>
      <w:proofErr w:type="spellStart"/>
      <w:r w:rsidRPr="004C0323">
        <w:t>Sahasrabuddhe</w:t>
      </w:r>
      <w:proofErr w:type="spellEnd"/>
      <w:r w:rsidRPr="004C0323">
        <w:t xml:space="preserve">, S., &amp; </w:t>
      </w:r>
      <w:proofErr w:type="spellStart"/>
      <w:r w:rsidRPr="004C0323">
        <w:t>Zumla</w:t>
      </w:r>
      <w:proofErr w:type="spellEnd"/>
      <w:r w:rsidRPr="004C0323">
        <w:t xml:space="preserve">, A. (2020). COVID-19: Challenges for global health surveillance. </w:t>
      </w:r>
      <w:r w:rsidRPr="004C0323">
        <w:rPr>
          <w:rStyle w:val="Emphasis"/>
        </w:rPr>
        <w:t>The Lancet, 395</w:t>
      </w:r>
      <w:r w:rsidRPr="004C0323">
        <w:t xml:space="preserve">(10234), 1035–1036. </w:t>
      </w:r>
      <w:hyperlink r:id="rId9" w:history="1">
        <w:r w:rsidRPr="004C0323">
          <w:rPr>
            <w:rStyle w:val="Hyperlink"/>
            <w:rFonts w:eastAsiaTheme="majorEastAsia"/>
          </w:rPr>
          <w:t>https://doi.org/10.1016/S0140-6736(20)30533-8</w:t>
        </w:r>
      </w:hyperlink>
    </w:p>
    <w:p w:rsidR="00B57E78" w:rsidRPr="004C0323" w:rsidRDefault="00B57E78" w:rsidP="00B57E78">
      <w:pPr>
        <w:pStyle w:val="NormalWeb"/>
      </w:pPr>
      <w:r w:rsidRPr="004C0323">
        <w:t xml:space="preserve">OECD. (2021). </w:t>
      </w:r>
      <w:proofErr w:type="gramStart"/>
      <w:r w:rsidRPr="004C0323">
        <w:rPr>
          <w:rStyle w:val="Emphasis"/>
        </w:rPr>
        <w:t>Rebuilding</w:t>
      </w:r>
      <w:proofErr w:type="gramEnd"/>
      <w:r w:rsidRPr="004C0323">
        <w:rPr>
          <w:rStyle w:val="Emphasis"/>
        </w:rPr>
        <w:t xml:space="preserve"> tourism for the future: COVID-19 policy responses and recovery</w:t>
      </w:r>
      <w:r w:rsidRPr="004C0323">
        <w:t xml:space="preserve">. </w:t>
      </w:r>
      <w:proofErr w:type="spellStart"/>
      <w:r w:rsidRPr="004C0323">
        <w:t>Organisation</w:t>
      </w:r>
      <w:proofErr w:type="spellEnd"/>
      <w:r w:rsidRPr="004C0323">
        <w:t xml:space="preserve"> for Economic Co-operation and Development. </w:t>
      </w:r>
      <w:hyperlink r:id="rId10" w:history="1">
        <w:r w:rsidRPr="004C0323">
          <w:rPr>
            <w:rStyle w:val="Hyperlink"/>
            <w:rFonts w:eastAsiaTheme="majorEastAsia"/>
          </w:rPr>
          <w:t>https://www.oecd.org</w:t>
        </w:r>
      </w:hyperlink>
    </w:p>
    <w:p w:rsidR="00B57E78" w:rsidRPr="004C0323" w:rsidRDefault="00B57E78" w:rsidP="00B57E78">
      <w:pPr>
        <w:pStyle w:val="NormalWeb"/>
      </w:pPr>
      <w:r w:rsidRPr="004C0323">
        <w:t xml:space="preserve">Reynolds, B., &amp; Seeger, M. W. (2005). Crisis and emergency risk communication as an integrative model. </w:t>
      </w:r>
      <w:r w:rsidRPr="004C0323">
        <w:rPr>
          <w:rStyle w:val="Emphasis"/>
        </w:rPr>
        <w:t>Journal of Health Communication, 10</w:t>
      </w:r>
      <w:r w:rsidRPr="004C0323">
        <w:t xml:space="preserve">(1), 43–55. </w:t>
      </w:r>
      <w:hyperlink r:id="rId11" w:history="1">
        <w:r w:rsidRPr="004C0323">
          <w:rPr>
            <w:rStyle w:val="Hyperlink"/>
            <w:rFonts w:eastAsiaTheme="majorEastAsia"/>
          </w:rPr>
          <w:t>https://doi.org/10.1080/1081073</w:t>
        </w:r>
        <w:r w:rsidRPr="004C0323">
          <w:rPr>
            <w:rStyle w:val="Hyperlink"/>
            <w:rFonts w:eastAsiaTheme="majorEastAsia"/>
          </w:rPr>
          <w:t>0</w:t>
        </w:r>
        <w:r w:rsidRPr="004C0323">
          <w:rPr>
            <w:rStyle w:val="Hyperlink"/>
            <w:rFonts w:eastAsiaTheme="majorEastAsia"/>
          </w:rPr>
          <w:t>590904571</w:t>
        </w:r>
      </w:hyperlink>
    </w:p>
    <w:p w:rsidR="00B57E78" w:rsidRPr="004C0323" w:rsidRDefault="00B57E78" w:rsidP="00B57E78">
      <w:pPr>
        <w:pStyle w:val="NormalWeb"/>
      </w:pPr>
      <w:r w:rsidRPr="004C0323">
        <w:t xml:space="preserve">Ritchie, B. W. (2004). Chaos, crises and disasters: A strategic approach to crisis management in the tourism industry. </w:t>
      </w:r>
      <w:r w:rsidRPr="004C0323">
        <w:rPr>
          <w:rStyle w:val="Emphasis"/>
        </w:rPr>
        <w:t>Tourism Management, 25</w:t>
      </w:r>
      <w:r w:rsidRPr="004C0323">
        <w:t xml:space="preserve">(6), 669–683. </w:t>
      </w:r>
      <w:hyperlink r:id="rId12" w:history="1">
        <w:r w:rsidRPr="004C0323">
          <w:rPr>
            <w:rStyle w:val="Hyperlink"/>
            <w:rFonts w:eastAsiaTheme="majorEastAsia"/>
          </w:rPr>
          <w:t>https://doi.org/10.1016/j.t</w:t>
        </w:r>
        <w:r w:rsidRPr="004C0323">
          <w:rPr>
            <w:rStyle w:val="Hyperlink"/>
            <w:rFonts w:eastAsiaTheme="majorEastAsia"/>
          </w:rPr>
          <w:t>o</w:t>
        </w:r>
        <w:r w:rsidRPr="004C0323">
          <w:rPr>
            <w:rStyle w:val="Hyperlink"/>
            <w:rFonts w:eastAsiaTheme="majorEastAsia"/>
          </w:rPr>
          <w:t>urman.2003.09.004</w:t>
        </w:r>
      </w:hyperlink>
    </w:p>
    <w:p w:rsidR="00B57E78" w:rsidRPr="004C0323" w:rsidRDefault="00B57E78" w:rsidP="00B57E78">
      <w:pPr>
        <w:pStyle w:val="NormalWeb"/>
      </w:pPr>
      <w:r w:rsidRPr="004C0323">
        <w:t xml:space="preserve">UNWTO. (2021). </w:t>
      </w:r>
      <w:r w:rsidRPr="004C0323">
        <w:rPr>
          <w:rStyle w:val="Emphasis"/>
        </w:rPr>
        <w:t>Tourism and COVID-19: Policy responses</w:t>
      </w:r>
      <w:r w:rsidRPr="004C0323">
        <w:t xml:space="preserve">. United Nations World Tourism Organization. </w:t>
      </w:r>
      <w:hyperlink r:id="rId13" w:history="1">
        <w:r w:rsidRPr="004C0323">
          <w:rPr>
            <w:rStyle w:val="Hyperlink"/>
            <w:rFonts w:eastAsiaTheme="majorEastAsia"/>
          </w:rPr>
          <w:t>https://w</w:t>
        </w:r>
        <w:r w:rsidRPr="004C0323">
          <w:rPr>
            <w:rStyle w:val="Hyperlink"/>
            <w:rFonts w:eastAsiaTheme="majorEastAsia"/>
          </w:rPr>
          <w:t>w</w:t>
        </w:r>
        <w:r w:rsidRPr="004C0323">
          <w:rPr>
            <w:rStyle w:val="Hyperlink"/>
            <w:rFonts w:eastAsiaTheme="majorEastAsia"/>
          </w:rPr>
          <w:t>w.unwto.org</w:t>
        </w:r>
      </w:hyperlink>
    </w:p>
    <w:p w:rsidR="00B57E78" w:rsidRPr="004C0323" w:rsidRDefault="00B57E78" w:rsidP="00B57E78">
      <w:pPr>
        <w:pStyle w:val="NormalWeb"/>
      </w:pPr>
      <w:r w:rsidRPr="004C0323">
        <w:t xml:space="preserve">World Health Organization. (2005). </w:t>
      </w:r>
      <w:r w:rsidRPr="004C0323">
        <w:rPr>
          <w:rStyle w:val="Emphasis"/>
        </w:rPr>
        <w:t>International Health Regulations (2005)</w:t>
      </w:r>
      <w:r w:rsidRPr="004C0323">
        <w:t xml:space="preserve">. WHO </w:t>
      </w:r>
      <w:proofErr w:type="gramStart"/>
      <w:r w:rsidRPr="004C0323">
        <w:t>Press.</w:t>
      </w:r>
      <w:proofErr w:type="gramEnd"/>
      <w:r w:rsidRPr="004C0323">
        <w:t xml:space="preserve"> </w:t>
      </w:r>
      <w:hyperlink r:id="rId14" w:history="1">
        <w:r w:rsidRPr="004C0323">
          <w:rPr>
            <w:rStyle w:val="Hyperlink"/>
            <w:rFonts w:eastAsiaTheme="majorEastAsia"/>
          </w:rPr>
          <w:t>https://www.wh</w:t>
        </w:r>
        <w:r w:rsidRPr="004C0323">
          <w:rPr>
            <w:rStyle w:val="Hyperlink"/>
            <w:rFonts w:eastAsiaTheme="majorEastAsia"/>
          </w:rPr>
          <w:t>o</w:t>
        </w:r>
        <w:r w:rsidRPr="004C0323">
          <w:rPr>
            <w:rStyle w:val="Hyperlink"/>
            <w:rFonts w:eastAsiaTheme="majorEastAsia"/>
          </w:rPr>
          <w:t>.int</w:t>
        </w:r>
      </w:hyperlink>
    </w:p>
    <w:p w:rsidR="00B57E78" w:rsidRPr="004C0323" w:rsidRDefault="00B57E78" w:rsidP="00B57E78">
      <w:pPr>
        <w:pStyle w:val="NormalWeb"/>
      </w:pPr>
      <w:r w:rsidRPr="004C0323">
        <w:t xml:space="preserve">World Health Organization. (2020). </w:t>
      </w:r>
      <w:proofErr w:type="gramStart"/>
      <w:r w:rsidRPr="004C0323">
        <w:rPr>
          <w:rStyle w:val="Emphasis"/>
        </w:rPr>
        <w:t>Managing</w:t>
      </w:r>
      <w:proofErr w:type="gramEnd"/>
      <w:r w:rsidRPr="004C0323">
        <w:rPr>
          <w:rStyle w:val="Emphasis"/>
        </w:rPr>
        <w:t xml:space="preserve"> epidemics: Key facts about major deadly diseases</w:t>
      </w:r>
      <w:r w:rsidRPr="004C0323">
        <w:t xml:space="preserve">. WHO </w:t>
      </w:r>
      <w:proofErr w:type="gramStart"/>
      <w:r w:rsidRPr="004C0323">
        <w:t>Press.</w:t>
      </w:r>
      <w:proofErr w:type="gramEnd"/>
      <w:r w:rsidRPr="004C0323">
        <w:t xml:space="preserve"> </w:t>
      </w:r>
      <w:hyperlink r:id="rId15" w:history="1">
        <w:r w:rsidRPr="004C0323">
          <w:rPr>
            <w:rStyle w:val="Hyperlink"/>
            <w:rFonts w:eastAsiaTheme="majorEastAsia"/>
          </w:rPr>
          <w:t>htt</w:t>
        </w:r>
        <w:r w:rsidRPr="004C0323">
          <w:rPr>
            <w:rStyle w:val="Hyperlink"/>
            <w:rFonts w:eastAsiaTheme="majorEastAsia"/>
          </w:rPr>
          <w:t>p</w:t>
        </w:r>
        <w:r w:rsidRPr="004C0323">
          <w:rPr>
            <w:rStyle w:val="Hyperlink"/>
            <w:rFonts w:eastAsiaTheme="majorEastAsia"/>
          </w:rPr>
          <w:t>s://www.who.int</w:t>
        </w:r>
      </w:hyperlink>
    </w:p>
    <w:p w:rsidR="00B57E78" w:rsidRPr="004C0323" w:rsidRDefault="00B57E78" w:rsidP="00B57E78">
      <w:pPr>
        <w:pStyle w:val="NormalWeb"/>
      </w:pPr>
      <w:proofErr w:type="spellStart"/>
      <w:r w:rsidRPr="004C0323">
        <w:t>Zenker</w:t>
      </w:r>
      <w:proofErr w:type="spellEnd"/>
      <w:r w:rsidRPr="004C0323">
        <w:t xml:space="preserve">, S., &amp; </w:t>
      </w:r>
      <w:proofErr w:type="spellStart"/>
      <w:r w:rsidRPr="004C0323">
        <w:t>Kock</w:t>
      </w:r>
      <w:proofErr w:type="spellEnd"/>
      <w:r w:rsidRPr="004C0323">
        <w:t xml:space="preserve">, F. (2020). The coronavirus pandemic – A critical discussion of a tourism research agenda. </w:t>
      </w:r>
      <w:r w:rsidRPr="004C0323">
        <w:rPr>
          <w:rStyle w:val="Emphasis"/>
        </w:rPr>
        <w:t>Tourism Management, 81</w:t>
      </w:r>
      <w:r w:rsidRPr="004C0323">
        <w:t xml:space="preserve">, 104164. </w:t>
      </w:r>
      <w:hyperlink r:id="rId16" w:history="1">
        <w:r w:rsidRPr="004C0323">
          <w:rPr>
            <w:rStyle w:val="Hyperlink"/>
            <w:rFonts w:eastAsiaTheme="majorEastAsia"/>
          </w:rPr>
          <w:t>https://doi.org/10.1</w:t>
        </w:r>
        <w:r w:rsidRPr="004C0323">
          <w:rPr>
            <w:rStyle w:val="Hyperlink"/>
            <w:rFonts w:eastAsiaTheme="majorEastAsia"/>
          </w:rPr>
          <w:t>0</w:t>
        </w:r>
        <w:r w:rsidRPr="004C0323">
          <w:rPr>
            <w:rStyle w:val="Hyperlink"/>
            <w:rFonts w:eastAsiaTheme="majorEastAsia"/>
          </w:rPr>
          <w:t>16/j.tourman.2020.104164</w:t>
        </w:r>
      </w:hyperlink>
    </w:p>
    <w:p w:rsidR="00B57E78" w:rsidRPr="004C0323" w:rsidRDefault="00B57E78" w:rsidP="00B57E78">
      <w:pPr>
        <w:rPr>
          <w:rFonts w:ascii="Times New Roman" w:hAnsi="Times New Roman" w:cs="Times New Roman"/>
          <w:sz w:val="24"/>
          <w:szCs w:val="24"/>
        </w:rPr>
      </w:pP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83" style="width:0;height:1.5pt" o:hralign="center" o:hrstd="t" o:hr="t" fillcolor="#a0a0a0" stroked="f"/>
        </w:pict>
      </w:r>
    </w:p>
    <w:p w:rsidR="00B57E78" w:rsidRPr="004C0323" w:rsidRDefault="00B57E78" w:rsidP="004C0323">
      <w:r w:rsidRPr="004C0323">
        <w:rPr>
          <w:rStyle w:val="Strong"/>
          <w:rFonts w:ascii="Times New Roman" w:hAnsi="Times New Roman" w:cs="Times New Roman"/>
          <w:bCs w:val="0"/>
          <w:sz w:val="24"/>
          <w:szCs w:val="24"/>
        </w:rPr>
        <w:t>Appendices</w:t>
      </w:r>
    </w:p>
    <w:p w:rsidR="00B57E78" w:rsidRPr="004C0323" w:rsidRDefault="00B57E78" w:rsidP="00B57E78">
      <w:pPr>
        <w:rPr>
          <w:rFonts w:ascii="Times New Roman" w:hAnsi="Times New Roman" w:cs="Times New Roman"/>
          <w:sz w:val="24"/>
          <w:szCs w:val="24"/>
        </w:rPr>
      </w:pPr>
    </w:p>
    <w:p w:rsidR="00B57E78" w:rsidRDefault="004C0323" w:rsidP="004C0323">
      <w:pPr>
        <w:rPr>
          <w:rStyle w:val="Strong"/>
          <w:rFonts w:ascii="Times New Roman" w:hAnsi="Times New Roman" w:cs="Times New Roman"/>
          <w:bCs w:val="0"/>
          <w:sz w:val="24"/>
          <w:szCs w:val="24"/>
        </w:rPr>
      </w:pPr>
      <w:r>
        <w:rPr>
          <w:rStyle w:val="Strong"/>
          <w:rFonts w:ascii="Times New Roman" w:hAnsi="Times New Roman" w:cs="Times New Roman"/>
          <w:bCs w:val="0"/>
          <w:sz w:val="24"/>
          <w:szCs w:val="24"/>
        </w:rPr>
        <w:t>Appendix A</w:t>
      </w:r>
      <w:r w:rsidR="00B57E78" w:rsidRPr="004C0323">
        <w:rPr>
          <w:rStyle w:val="Strong"/>
          <w:rFonts w:ascii="Times New Roman" w:hAnsi="Times New Roman" w:cs="Times New Roman"/>
          <w:bCs w:val="0"/>
          <w:sz w:val="24"/>
          <w:szCs w:val="24"/>
        </w:rPr>
        <w:t>: Roles of Key Stakeholders in Health Crisis Management</w:t>
      </w:r>
    </w:p>
    <w:p w:rsidR="004C0323" w:rsidRPr="004C0323" w:rsidRDefault="004C0323" w:rsidP="004C032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4"/>
        <w:gridCol w:w="3441"/>
      </w:tblGrid>
      <w:tr w:rsidR="00B57E78" w:rsidRPr="004C0323" w:rsidTr="00B57E78">
        <w:trPr>
          <w:tblHeader/>
          <w:tblCellSpacing w:w="15" w:type="dxa"/>
        </w:trPr>
        <w:tc>
          <w:tcPr>
            <w:tcW w:w="0" w:type="auto"/>
            <w:vAlign w:val="center"/>
            <w:hideMark/>
          </w:tcPr>
          <w:p w:rsidR="00B57E78" w:rsidRPr="004C0323" w:rsidRDefault="00B57E78">
            <w:pPr>
              <w:jc w:val="center"/>
              <w:rPr>
                <w:rFonts w:ascii="Times New Roman" w:hAnsi="Times New Roman" w:cs="Times New Roman"/>
                <w:b/>
                <w:bCs/>
                <w:sz w:val="24"/>
                <w:szCs w:val="24"/>
              </w:rPr>
            </w:pPr>
            <w:r w:rsidRPr="004C0323">
              <w:rPr>
                <w:rStyle w:val="Strong"/>
                <w:rFonts w:ascii="Times New Roman" w:hAnsi="Times New Roman" w:cs="Times New Roman"/>
                <w:sz w:val="24"/>
                <w:szCs w:val="24"/>
              </w:rPr>
              <w:t>Stakeholder</w:t>
            </w:r>
          </w:p>
        </w:tc>
        <w:tc>
          <w:tcPr>
            <w:tcW w:w="0" w:type="auto"/>
            <w:vAlign w:val="center"/>
            <w:hideMark/>
          </w:tcPr>
          <w:p w:rsidR="00B57E78" w:rsidRPr="004C0323" w:rsidRDefault="00B57E78">
            <w:pPr>
              <w:jc w:val="center"/>
              <w:rPr>
                <w:rFonts w:ascii="Times New Roman" w:hAnsi="Times New Roman" w:cs="Times New Roman"/>
                <w:b/>
                <w:bCs/>
                <w:sz w:val="24"/>
                <w:szCs w:val="24"/>
              </w:rPr>
            </w:pPr>
            <w:r w:rsidRPr="004C0323">
              <w:rPr>
                <w:rStyle w:val="Strong"/>
                <w:rFonts w:ascii="Times New Roman" w:hAnsi="Times New Roman" w:cs="Times New Roman"/>
                <w:sz w:val="24"/>
                <w:szCs w:val="24"/>
              </w:rPr>
              <w:t>Primary Role</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World Health Organization (WHO)</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Global guidance and coordination</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National Health Ministries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Disease surveillance and response</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Tourism Authorities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Implementation of safety protocols</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lastRenderedPageBreak/>
              <w:t>Airlines and Transport Operators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Health screening and compliance</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Hotels and Attractions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On-site health measures</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Travelers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Adherence to guidelines</w:t>
            </w:r>
          </w:p>
        </w:tc>
      </w:tr>
    </w:tbl>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88" style="width:0;height:1.5pt" o:hralign="center" o:hrstd="t" o:hr="t" fillcolor="#a0a0a0" stroked="f"/>
        </w:pict>
      </w:r>
    </w:p>
    <w:p w:rsidR="00B57E78" w:rsidRPr="004C0323" w:rsidRDefault="004C0323" w:rsidP="004C0323">
      <w:r>
        <w:rPr>
          <w:rStyle w:val="Strong"/>
          <w:rFonts w:ascii="Times New Roman" w:hAnsi="Times New Roman" w:cs="Times New Roman"/>
          <w:bCs w:val="0"/>
          <w:sz w:val="24"/>
          <w:szCs w:val="24"/>
        </w:rPr>
        <w:t>Appendix B</w:t>
      </w:r>
      <w:r w:rsidR="00B57E78" w:rsidRPr="004C0323">
        <w:rPr>
          <w:rStyle w:val="Strong"/>
          <w:rFonts w:ascii="Times New Roman" w:hAnsi="Times New Roman" w:cs="Times New Roman"/>
          <w:bCs w:val="0"/>
          <w:sz w:val="24"/>
          <w:szCs w:val="24"/>
        </w:rPr>
        <w:t>: Alignment with International Health Protocols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4"/>
        <w:gridCol w:w="4600"/>
      </w:tblGrid>
      <w:tr w:rsidR="00B57E78" w:rsidRPr="004C0323" w:rsidTr="00B57E78">
        <w:trPr>
          <w:tblHeader/>
          <w:tblCellSpacing w:w="15" w:type="dxa"/>
        </w:trPr>
        <w:tc>
          <w:tcPr>
            <w:tcW w:w="0" w:type="auto"/>
            <w:vAlign w:val="center"/>
            <w:hideMark/>
          </w:tcPr>
          <w:p w:rsidR="00B57E78" w:rsidRPr="004C0323" w:rsidRDefault="00B57E78">
            <w:pPr>
              <w:jc w:val="center"/>
              <w:rPr>
                <w:rFonts w:ascii="Times New Roman" w:hAnsi="Times New Roman" w:cs="Times New Roman"/>
                <w:b/>
                <w:bCs/>
                <w:sz w:val="24"/>
                <w:szCs w:val="24"/>
              </w:rPr>
            </w:pPr>
            <w:r w:rsidRPr="004C0323">
              <w:rPr>
                <w:rStyle w:val="Strong"/>
                <w:rFonts w:ascii="Times New Roman" w:hAnsi="Times New Roman" w:cs="Times New Roman"/>
                <w:sz w:val="24"/>
                <w:szCs w:val="24"/>
              </w:rPr>
              <w:t>Framework</w:t>
            </w:r>
          </w:p>
        </w:tc>
        <w:tc>
          <w:tcPr>
            <w:tcW w:w="0" w:type="auto"/>
            <w:vAlign w:val="center"/>
            <w:hideMark/>
          </w:tcPr>
          <w:p w:rsidR="00B57E78" w:rsidRPr="004C0323" w:rsidRDefault="00B57E78">
            <w:pPr>
              <w:jc w:val="center"/>
              <w:rPr>
                <w:rFonts w:ascii="Times New Roman" w:hAnsi="Times New Roman" w:cs="Times New Roman"/>
                <w:b/>
                <w:bCs/>
                <w:sz w:val="24"/>
                <w:szCs w:val="24"/>
              </w:rPr>
            </w:pPr>
            <w:r w:rsidRPr="004C0323">
              <w:rPr>
                <w:rStyle w:val="Strong"/>
                <w:rFonts w:ascii="Times New Roman" w:hAnsi="Times New Roman" w:cs="Times New Roman"/>
                <w:sz w:val="24"/>
                <w:szCs w:val="24"/>
              </w:rPr>
              <w:t>Relevance to Tourism Health Management</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WHO International Health Regulations (IHR)</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Legal basis for cross-border health cooperation</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EU Health Security Framework</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Regional crisis coordination model</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ASEAN Tourism Strategic Plan</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Regional tourism resilience planning</w:t>
            </w:r>
          </w:p>
        </w:tc>
      </w:tr>
      <w:tr w:rsidR="00B57E78" w:rsidRPr="004C0323" w:rsidTr="00B57E78">
        <w:trPr>
          <w:tblCellSpacing w:w="15" w:type="dxa"/>
        </w:trPr>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UNWTO Tourism Recovery Guidelines</w:t>
            </w:r>
          </w:p>
        </w:tc>
        <w:tc>
          <w:tcPr>
            <w:tcW w:w="0" w:type="auto"/>
            <w:vAlign w:val="center"/>
            <w:hideMark/>
          </w:tcPr>
          <w:p w:rsidR="00B57E78" w:rsidRPr="004C0323" w:rsidRDefault="00B57E78">
            <w:pPr>
              <w:rPr>
                <w:rFonts w:ascii="Times New Roman" w:hAnsi="Times New Roman" w:cs="Times New Roman"/>
                <w:sz w:val="24"/>
                <w:szCs w:val="24"/>
              </w:rPr>
            </w:pPr>
            <w:r w:rsidRPr="004C0323">
              <w:rPr>
                <w:rFonts w:ascii="Times New Roman" w:hAnsi="Times New Roman" w:cs="Times New Roman"/>
                <w:sz w:val="24"/>
                <w:szCs w:val="24"/>
              </w:rPr>
              <w:t>Tourism sector recovery support</w:t>
            </w:r>
          </w:p>
        </w:tc>
      </w:tr>
    </w:tbl>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89" style="width:0;height:1.5pt" o:hralign="center" o:hrstd="t" o:hr="t" fillcolor="#a0a0a0" stroked="f"/>
        </w:pict>
      </w:r>
    </w:p>
    <w:p w:rsidR="00B57E78" w:rsidRPr="004C0323" w:rsidRDefault="004C0323" w:rsidP="004C0323">
      <w:r>
        <w:rPr>
          <w:rStyle w:val="Strong"/>
          <w:rFonts w:ascii="Times New Roman" w:hAnsi="Times New Roman" w:cs="Times New Roman"/>
          <w:bCs w:val="0"/>
          <w:sz w:val="24"/>
          <w:szCs w:val="24"/>
        </w:rPr>
        <w:t>Appendix C</w:t>
      </w:r>
      <w:r w:rsidR="00B57E78" w:rsidRPr="004C0323">
        <w:rPr>
          <w:rStyle w:val="Strong"/>
          <w:rFonts w:ascii="Times New Roman" w:hAnsi="Times New Roman" w:cs="Times New Roman"/>
          <w:bCs w:val="0"/>
          <w:sz w:val="24"/>
          <w:szCs w:val="24"/>
        </w:rPr>
        <w:t>: Sample Joint Health Policy Measures for Cross-Border Zones</w:t>
      </w:r>
    </w:p>
    <w:p w:rsidR="00B57E78" w:rsidRPr="004C0323" w:rsidRDefault="00B57E78" w:rsidP="00B57E78">
      <w:pPr>
        <w:pStyle w:val="NormalWeb"/>
        <w:numPr>
          <w:ilvl w:val="0"/>
          <w:numId w:val="25"/>
        </w:numPr>
      </w:pPr>
      <w:r w:rsidRPr="004C0323">
        <w:t>Mutual recognition of vaccination and testing certificates</w:t>
      </w:r>
    </w:p>
    <w:p w:rsidR="00B57E78" w:rsidRPr="004C0323" w:rsidRDefault="00B57E78" w:rsidP="00B57E78">
      <w:pPr>
        <w:pStyle w:val="NormalWeb"/>
        <w:numPr>
          <w:ilvl w:val="0"/>
          <w:numId w:val="25"/>
        </w:numPr>
      </w:pPr>
      <w:r w:rsidRPr="004C0323">
        <w:t>Standardized entry screening procedures</w:t>
      </w:r>
    </w:p>
    <w:p w:rsidR="00B57E78" w:rsidRPr="004C0323" w:rsidRDefault="00B57E78" w:rsidP="00B57E78">
      <w:pPr>
        <w:pStyle w:val="NormalWeb"/>
        <w:numPr>
          <w:ilvl w:val="0"/>
          <w:numId w:val="25"/>
        </w:numPr>
      </w:pPr>
      <w:r w:rsidRPr="004C0323">
        <w:t>Shared digital health surveillance dashboards</w:t>
      </w:r>
    </w:p>
    <w:p w:rsidR="00B57E78" w:rsidRPr="004C0323" w:rsidRDefault="00B57E78" w:rsidP="00B57E78">
      <w:pPr>
        <w:pStyle w:val="NormalWeb"/>
        <w:numPr>
          <w:ilvl w:val="0"/>
          <w:numId w:val="25"/>
        </w:numPr>
      </w:pPr>
      <w:r w:rsidRPr="004C0323">
        <w:t>Emergency travel corridor agreements</w:t>
      </w:r>
    </w:p>
    <w:p w:rsidR="00B57E78" w:rsidRPr="004C0323" w:rsidRDefault="00B57E78" w:rsidP="00B57E78">
      <w:pPr>
        <w:pStyle w:val="NormalWeb"/>
        <w:numPr>
          <w:ilvl w:val="0"/>
          <w:numId w:val="25"/>
        </w:numPr>
      </w:pPr>
      <w:r w:rsidRPr="004C0323">
        <w:t>Joint training programs for tourism workers</w:t>
      </w:r>
    </w:p>
    <w:p w:rsidR="00B57E78" w:rsidRPr="004C0323" w:rsidRDefault="00B57E78" w:rsidP="00B57E78">
      <w:pPr>
        <w:rPr>
          <w:rFonts w:ascii="Times New Roman" w:hAnsi="Times New Roman" w:cs="Times New Roman"/>
          <w:sz w:val="24"/>
          <w:szCs w:val="24"/>
        </w:rPr>
      </w:pPr>
      <w:r w:rsidRPr="004C0323">
        <w:rPr>
          <w:rFonts w:ascii="Times New Roman" w:hAnsi="Times New Roman" w:cs="Times New Roman"/>
          <w:sz w:val="24"/>
          <w:szCs w:val="24"/>
        </w:rPr>
        <w:pict>
          <v:rect id="_x0000_i1090" style="width:0;height:1.5pt" o:hralign="center" o:hrstd="t" o:hr="t" fillcolor="#a0a0a0" stroked="f"/>
        </w:pict>
      </w:r>
    </w:p>
    <w:p w:rsidR="007C7CF7" w:rsidRPr="004C0323" w:rsidRDefault="007C7CF7">
      <w:pPr>
        <w:rPr>
          <w:rFonts w:ascii="Times New Roman" w:hAnsi="Times New Roman" w:cs="Times New Roman"/>
          <w:sz w:val="24"/>
          <w:szCs w:val="24"/>
        </w:rPr>
      </w:pPr>
    </w:p>
    <w:sectPr w:rsidR="007C7CF7" w:rsidRPr="004C03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EC5"/>
    <w:multiLevelType w:val="multilevel"/>
    <w:tmpl w:val="9DE0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5107B"/>
    <w:multiLevelType w:val="multilevel"/>
    <w:tmpl w:val="FF3E9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3232E"/>
    <w:multiLevelType w:val="multilevel"/>
    <w:tmpl w:val="C058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E1BDF"/>
    <w:multiLevelType w:val="multilevel"/>
    <w:tmpl w:val="F1C84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A3124"/>
    <w:multiLevelType w:val="multilevel"/>
    <w:tmpl w:val="DF72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C0C7C"/>
    <w:multiLevelType w:val="multilevel"/>
    <w:tmpl w:val="2170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B2F01"/>
    <w:multiLevelType w:val="multilevel"/>
    <w:tmpl w:val="EC7C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33EDC"/>
    <w:multiLevelType w:val="multilevel"/>
    <w:tmpl w:val="8F0C6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466A30"/>
    <w:multiLevelType w:val="multilevel"/>
    <w:tmpl w:val="000A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C131FC"/>
    <w:multiLevelType w:val="multilevel"/>
    <w:tmpl w:val="773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A65E0"/>
    <w:multiLevelType w:val="multilevel"/>
    <w:tmpl w:val="0C92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B1680"/>
    <w:multiLevelType w:val="multilevel"/>
    <w:tmpl w:val="DC68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03D82"/>
    <w:multiLevelType w:val="multilevel"/>
    <w:tmpl w:val="EF68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E10A8"/>
    <w:multiLevelType w:val="multilevel"/>
    <w:tmpl w:val="86C25A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2342E"/>
    <w:multiLevelType w:val="multilevel"/>
    <w:tmpl w:val="23E2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FB16B7"/>
    <w:multiLevelType w:val="multilevel"/>
    <w:tmpl w:val="37F6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746374"/>
    <w:multiLevelType w:val="multilevel"/>
    <w:tmpl w:val="665A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8F5C4F"/>
    <w:multiLevelType w:val="multilevel"/>
    <w:tmpl w:val="0D1C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F442E"/>
    <w:multiLevelType w:val="multilevel"/>
    <w:tmpl w:val="CDD6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F65C42"/>
    <w:multiLevelType w:val="multilevel"/>
    <w:tmpl w:val="403C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261E5"/>
    <w:multiLevelType w:val="multilevel"/>
    <w:tmpl w:val="AD588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134032"/>
    <w:multiLevelType w:val="multilevel"/>
    <w:tmpl w:val="197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473E30"/>
    <w:multiLevelType w:val="multilevel"/>
    <w:tmpl w:val="DBD88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870A32"/>
    <w:multiLevelType w:val="multilevel"/>
    <w:tmpl w:val="88C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0D5BB9"/>
    <w:multiLevelType w:val="multilevel"/>
    <w:tmpl w:val="02CE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15086C"/>
    <w:multiLevelType w:val="multilevel"/>
    <w:tmpl w:val="A14C6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B006CF"/>
    <w:multiLevelType w:val="multilevel"/>
    <w:tmpl w:val="B49E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
  </w:num>
  <w:num w:numId="3">
    <w:abstractNumId w:val="20"/>
  </w:num>
  <w:num w:numId="4">
    <w:abstractNumId w:val="19"/>
  </w:num>
  <w:num w:numId="5">
    <w:abstractNumId w:val="3"/>
  </w:num>
  <w:num w:numId="6">
    <w:abstractNumId w:val="12"/>
  </w:num>
  <w:num w:numId="7">
    <w:abstractNumId w:val="22"/>
  </w:num>
  <w:num w:numId="8">
    <w:abstractNumId w:val="0"/>
  </w:num>
  <w:num w:numId="9">
    <w:abstractNumId w:val="26"/>
  </w:num>
  <w:num w:numId="10">
    <w:abstractNumId w:val="9"/>
  </w:num>
  <w:num w:numId="11">
    <w:abstractNumId w:val="16"/>
  </w:num>
  <w:num w:numId="12">
    <w:abstractNumId w:val="23"/>
  </w:num>
  <w:num w:numId="13">
    <w:abstractNumId w:val="18"/>
  </w:num>
  <w:num w:numId="14">
    <w:abstractNumId w:val="8"/>
  </w:num>
  <w:num w:numId="15">
    <w:abstractNumId w:val="10"/>
  </w:num>
  <w:num w:numId="16">
    <w:abstractNumId w:val="14"/>
  </w:num>
  <w:num w:numId="17">
    <w:abstractNumId w:val="4"/>
  </w:num>
  <w:num w:numId="18">
    <w:abstractNumId w:val="17"/>
  </w:num>
  <w:num w:numId="19">
    <w:abstractNumId w:val="2"/>
  </w:num>
  <w:num w:numId="20">
    <w:abstractNumId w:val="7"/>
  </w:num>
  <w:num w:numId="21">
    <w:abstractNumId w:val="5"/>
  </w:num>
  <w:num w:numId="22">
    <w:abstractNumId w:val="15"/>
  </w:num>
  <w:num w:numId="23">
    <w:abstractNumId w:val="24"/>
  </w:num>
  <w:num w:numId="24">
    <w:abstractNumId w:val="13"/>
  </w:num>
  <w:num w:numId="25">
    <w:abstractNumId w:val="21"/>
  </w:num>
  <w:num w:numId="26">
    <w:abstractNumId w:val="11"/>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E0D"/>
    <w:rsid w:val="00336E0D"/>
    <w:rsid w:val="004C0323"/>
    <w:rsid w:val="00576979"/>
    <w:rsid w:val="006D7201"/>
    <w:rsid w:val="007C7CF7"/>
    <w:rsid w:val="008933BD"/>
    <w:rsid w:val="00B57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E2B1"/>
  <w15:chartTrackingRefBased/>
  <w15:docId w15:val="{5FB751A3-453C-4F44-ACAA-45FBEAD5C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7E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57E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57E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57E7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7E78"/>
    <w:rPr>
      <w:rFonts w:ascii="Times New Roman" w:eastAsia="Times New Roman" w:hAnsi="Times New Roman" w:cs="Times New Roman"/>
      <w:b/>
      <w:bCs/>
      <w:sz w:val="27"/>
      <w:szCs w:val="27"/>
    </w:rPr>
  </w:style>
  <w:style w:type="paragraph" w:styleId="NormalWeb">
    <w:name w:val="Normal (Web)"/>
    <w:basedOn w:val="Normal"/>
    <w:uiPriority w:val="99"/>
    <w:unhideWhenUsed/>
    <w:rsid w:val="00B57E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57E78"/>
    <w:rPr>
      <w:b/>
      <w:bCs/>
    </w:rPr>
  </w:style>
  <w:style w:type="character" w:customStyle="1" w:styleId="Heading2Char">
    <w:name w:val="Heading 2 Char"/>
    <w:basedOn w:val="DefaultParagraphFont"/>
    <w:link w:val="Heading2"/>
    <w:uiPriority w:val="9"/>
    <w:semiHidden/>
    <w:rsid w:val="00B57E78"/>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B57E78"/>
    <w:rPr>
      <w:i/>
      <w:iCs/>
    </w:rPr>
  </w:style>
  <w:style w:type="character" w:customStyle="1" w:styleId="Heading4Char">
    <w:name w:val="Heading 4 Char"/>
    <w:basedOn w:val="DefaultParagraphFont"/>
    <w:link w:val="Heading4"/>
    <w:uiPriority w:val="9"/>
    <w:semiHidden/>
    <w:rsid w:val="00B57E78"/>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B57E7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B57E78"/>
    <w:rPr>
      <w:color w:val="0000FF"/>
      <w:u w:val="single"/>
    </w:rPr>
  </w:style>
  <w:style w:type="character" w:styleId="FollowedHyperlink">
    <w:name w:val="FollowedHyperlink"/>
    <w:basedOn w:val="DefaultParagraphFont"/>
    <w:uiPriority w:val="99"/>
    <w:semiHidden/>
    <w:unhideWhenUsed/>
    <w:rsid w:val="004C03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6924">
      <w:bodyDiv w:val="1"/>
      <w:marLeft w:val="0"/>
      <w:marRight w:val="0"/>
      <w:marTop w:val="0"/>
      <w:marBottom w:val="0"/>
      <w:divBdr>
        <w:top w:val="none" w:sz="0" w:space="0" w:color="auto"/>
        <w:left w:val="none" w:sz="0" w:space="0" w:color="auto"/>
        <w:bottom w:val="none" w:sz="0" w:space="0" w:color="auto"/>
        <w:right w:val="none" w:sz="0" w:space="0" w:color="auto"/>
      </w:divBdr>
    </w:div>
    <w:div w:id="238290734">
      <w:bodyDiv w:val="1"/>
      <w:marLeft w:val="0"/>
      <w:marRight w:val="0"/>
      <w:marTop w:val="0"/>
      <w:marBottom w:val="0"/>
      <w:divBdr>
        <w:top w:val="none" w:sz="0" w:space="0" w:color="auto"/>
        <w:left w:val="none" w:sz="0" w:space="0" w:color="auto"/>
        <w:bottom w:val="none" w:sz="0" w:space="0" w:color="auto"/>
        <w:right w:val="none" w:sz="0" w:space="0" w:color="auto"/>
      </w:divBdr>
    </w:div>
    <w:div w:id="553977582">
      <w:bodyDiv w:val="1"/>
      <w:marLeft w:val="0"/>
      <w:marRight w:val="0"/>
      <w:marTop w:val="0"/>
      <w:marBottom w:val="0"/>
      <w:divBdr>
        <w:top w:val="none" w:sz="0" w:space="0" w:color="auto"/>
        <w:left w:val="none" w:sz="0" w:space="0" w:color="auto"/>
        <w:bottom w:val="none" w:sz="0" w:space="0" w:color="auto"/>
        <w:right w:val="none" w:sz="0" w:space="0" w:color="auto"/>
      </w:divBdr>
    </w:div>
    <w:div w:id="810367319">
      <w:bodyDiv w:val="1"/>
      <w:marLeft w:val="0"/>
      <w:marRight w:val="0"/>
      <w:marTop w:val="0"/>
      <w:marBottom w:val="0"/>
      <w:divBdr>
        <w:top w:val="none" w:sz="0" w:space="0" w:color="auto"/>
        <w:left w:val="none" w:sz="0" w:space="0" w:color="auto"/>
        <w:bottom w:val="none" w:sz="0" w:space="0" w:color="auto"/>
        <w:right w:val="none" w:sz="0" w:space="0" w:color="auto"/>
      </w:divBdr>
    </w:div>
    <w:div w:id="944654880">
      <w:bodyDiv w:val="1"/>
      <w:marLeft w:val="0"/>
      <w:marRight w:val="0"/>
      <w:marTop w:val="0"/>
      <w:marBottom w:val="0"/>
      <w:divBdr>
        <w:top w:val="none" w:sz="0" w:space="0" w:color="auto"/>
        <w:left w:val="none" w:sz="0" w:space="0" w:color="auto"/>
        <w:bottom w:val="none" w:sz="0" w:space="0" w:color="auto"/>
        <w:right w:val="none" w:sz="0" w:space="0" w:color="auto"/>
      </w:divBdr>
    </w:div>
    <w:div w:id="1662928571">
      <w:bodyDiv w:val="1"/>
      <w:marLeft w:val="0"/>
      <w:marRight w:val="0"/>
      <w:marTop w:val="0"/>
      <w:marBottom w:val="0"/>
      <w:divBdr>
        <w:top w:val="none" w:sz="0" w:space="0" w:color="auto"/>
        <w:left w:val="none" w:sz="0" w:space="0" w:color="auto"/>
        <w:bottom w:val="none" w:sz="0" w:space="0" w:color="auto"/>
        <w:right w:val="none" w:sz="0" w:space="0" w:color="auto"/>
      </w:divBdr>
    </w:div>
    <w:div w:id="1914048566">
      <w:bodyDiv w:val="1"/>
      <w:marLeft w:val="0"/>
      <w:marRight w:val="0"/>
      <w:marTop w:val="0"/>
      <w:marBottom w:val="0"/>
      <w:divBdr>
        <w:top w:val="none" w:sz="0" w:space="0" w:color="auto"/>
        <w:left w:val="none" w:sz="0" w:space="0" w:color="auto"/>
        <w:bottom w:val="none" w:sz="0" w:space="0" w:color="auto"/>
        <w:right w:val="none" w:sz="0" w:space="0" w:color="auto"/>
      </w:divBdr>
    </w:div>
    <w:div w:id="1949116463">
      <w:bodyDiv w:val="1"/>
      <w:marLeft w:val="0"/>
      <w:marRight w:val="0"/>
      <w:marTop w:val="0"/>
      <w:marBottom w:val="0"/>
      <w:divBdr>
        <w:top w:val="none" w:sz="0" w:space="0" w:color="auto"/>
        <w:left w:val="none" w:sz="0" w:space="0" w:color="auto"/>
        <w:bottom w:val="none" w:sz="0" w:space="0" w:color="auto"/>
        <w:right w:val="none" w:sz="0" w:space="0" w:color="auto"/>
      </w:divBdr>
    </w:div>
    <w:div w:id="204435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ama.2020.6196" TargetMode="External"/><Relationship Id="rId13" Type="http://schemas.openxmlformats.org/officeDocument/2006/relationships/hyperlink" Target="https://www.unwto.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9669582.2020.1758708" TargetMode="External"/><Relationship Id="rId12" Type="http://schemas.openxmlformats.org/officeDocument/2006/relationships/hyperlink" Target="https://doi.org/10.1016/j.tourman.2003.09.0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tourman.2020.104164" TargetMode="External"/><Relationship Id="rId1" Type="http://schemas.openxmlformats.org/officeDocument/2006/relationships/numbering" Target="numbering.xml"/><Relationship Id="rId6" Type="http://schemas.openxmlformats.org/officeDocument/2006/relationships/hyperlink" Target="https://doi.org/10.1016/S0261-5177(00)00048-0" TargetMode="External"/><Relationship Id="rId11" Type="http://schemas.openxmlformats.org/officeDocument/2006/relationships/hyperlink" Target="https://doi.org/10.1080/10810730590904571" TargetMode="External"/><Relationship Id="rId5" Type="http://schemas.openxmlformats.org/officeDocument/2006/relationships/hyperlink" Target="https://doi.org/10.1016/S0363-8111(97)90023-0" TargetMode="External"/><Relationship Id="rId15" Type="http://schemas.openxmlformats.org/officeDocument/2006/relationships/hyperlink" Target="https://www.who.int/" TargetMode="External"/><Relationship Id="rId10" Type="http://schemas.openxmlformats.org/officeDocument/2006/relationships/hyperlink" Target="https://www.oecd.org/" TargetMode="External"/><Relationship Id="rId4" Type="http://schemas.openxmlformats.org/officeDocument/2006/relationships/webSettings" Target="webSettings.xml"/><Relationship Id="rId9" Type="http://schemas.openxmlformats.org/officeDocument/2006/relationships/hyperlink" Target="https://doi.org/10.1016/S0140-6736(20)30533-8"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18</Pages>
  <Words>6142</Words>
  <Characters>35016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3</cp:revision>
  <dcterms:created xsi:type="dcterms:W3CDTF">2025-12-24T18:25:00Z</dcterms:created>
  <dcterms:modified xsi:type="dcterms:W3CDTF">2025-12-24T18:50:00Z</dcterms:modified>
</cp:coreProperties>
</file>