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0"/>
        <w:jc w:val="center"/>
      </w:pPr>
      <w:r>
        <w:rPr>
          <w:rFonts w:ascii="Times New Roman" w:hAnsi="Times New Roman"/>
          <w:b/>
          <w:sz w:val="32"/>
        </w:rPr>
        <w:t>M06 – HUMAN RESOURCES MANAGEMENT &amp; MANAGEMENT SKILLS</w:t>
      </w:r>
    </w:p>
    <w:p>
      <w:pPr>
        <w:spacing w:before="700"/>
        <w:jc w:val="center"/>
      </w:pPr>
      <w:r>
        <w:rPr>
          <w:rFonts w:ascii="Times New Roman" w:hAnsi="Times New Roman"/>
          <w:b/>
          <w:sz w:val="36"/>
        </w:rPr>
        <w:t>Strategic Human Resource Management and Organisational Performance</w:t>
      </w:r>
    </w:p>
    <w:p>
      <w:pPr>
        <w:spacing w:line="480" w:lineRule="auto"/>
        <w:jc w:val="center"/>
      </w:pPr>
      <w:r>
        <w:rPr>
          <w:rFonts w:ascii="Times New Roman" w:hAnsi="Times New Roman"/>
          <w:sz w:val="24"/>
        </w:rPr>
        <w:t>Strategic Report</w:t>
      </w:r>
    </w:p>
    <w:p>
      <w:pPr>
        <w:spacing w:line="480" w:lineRule="auto"/>
        <w:jc w:val="center"/>
      </w:pPr>
      <w:r>
        <w:rPr>
          <w:rFonts w:ascii="Times New Roman" w:hAnsi="Times New Roman"/>
          <w:sz w:val="24"/>
        </w:rPr>
      </w:r>
    </w:p>
    <w:p>
      <w:pPr>
        <w:spacing w:line="480" w:lineRule="auto"/>
        <w:jc w:val="center"/>
      </w:pPr>
      <w:r>
        <w:rPr>
          <w:rFonts w:ascii="Times New Roman" w:hAnsi="Times New Roman"/>
          <w:sz w:val="24"/>
        </w:rPr>
        <w:t>Student Name: Divya</w:t>
      </w:r>
    </w:p>
    <w:p>
      <w:pPr>
        <w:spacing w:line="480" w:lineRule="auto"/>
        <w:jc w:val="center"/>
      </w:pPr>
      <w:r>
        <w:rPr>
          <w:rFonts w:ascii="Times New Roman" w:hAnsi="Times New Roman"/>
          <w:sz w:val="24"/>
        </w:rPr>
        <w:t>Student ID: PMB26001</w:t>
      </w:r>
    </w:p>
    <w:p>
      <w:pPr>
        <w:spacing w:line="480" w:lineRule="auto"/>
        <w:jc w:val="center"/>
      </w:pPr>
      <w:r>
        <w:rPr>
          <w:rFonts w:ascii="Times New Roman" w:hAnsi="Times New Roman"/>
          <w:sz w:val="24"/>
        </w:rPr>
        <w:t>Institution: EIIET</w:t>
      </w:r>
    </w:p>
    <w:p>
      <w:pPr>
        <w:spacing w:line="480" w:lineRule="auto"/>
        <w:jc w:val="center"/>
      </w:pPr>
      <w:r>
        <w:rPr>
          <w:rFonts w:ascii="Times New Roman" w:hAnsi="Times New Roman"/>
          <w:sz w:val="24"/>
        </w:rPr>
        <w:t>Subject: M06 Management – HRM &amp; Management Skills</w:t>
      </w:r>
    </w:p>
    <w:p>
      <w:pPr>
        <w:spacing w:line="480" w:lineRule="auto"/>
        <w:jc w:val="center"/>
      </w:pPr>
      <w:r>
        <w:rPr>
          <w:rFonts w:ascii="Times New Roman" w:hAnsi="Times New Roman"/>
          <w:sz w:val="24"/>
        </w:rPr>
        <w:t>Submission Date: 30 September 2026</w:t>
      </w:r>
    </w:p>
    <w:p>
      <w:r>
        <w:br w:type="page"/>
      </w:r>
    </w:p>
    <w:p>
      <w:pPr>
        <w:pStyle w:val="Heading1"/>
        <w:spacing w:line="480" w:lineRule="auto"/>
      </w:pPr>
      <w:r>
        <w:t>Table of Contents</w:t>
      </w:r>
    </w:p>
    <w:p>
      <w:r>
        <w:rPr>
          <w:rFonts w:ascii="Times New Roman" w:hAnsi="Times New Roman"/>
          <w:b w:val="0"/>
          <w:i w:val="0"/>
          <w:sz w:val="24"/>
        </w:rPr>
        <w:t>Abstract</w:t>
      </w:r>
    </w:p>
    <w:p>
      <w:r>
        <w:rPr>
          <w:rFonts w:ascii="Times New Roman" w:hAnsi="Times New Roman"/>
          <w:b w:val="0"/>
          <w:i w:val="0"/>
          <w:sz w:val="24"/>
        </w:rPr>
        <w:t>1. Introduction</w:t>
      </w:r>
    </w:p>
    <w:p>
      <w:r>
        <w:rPr>
          <w:rFonts w:ascii="Times New Roman" w:hAnsi="Times New Roman"/>
          <w:b w:val="0"/>
          <w:i w:val="0"/>
          <w:sz w:val="24"/>
        </w:rPr>
        <w:t>2. Literature Review</w:t>
      </w:r>
    </w:p>
    <w:p>
      <w:r>
        <w:rPr>
          <w:rFonts w:ascii="Times New Roman" w:hAnsi="Times New Roman"/>
          <w:b w:val="0"/>
          <w:i w:val="0"/>
          <w:sz w:val="24"/>
        </w:rPr>
        <w:t xml:space="preserve">   2.1 Strategic Human Resource Management</w:t>
      </w:r>
    </w:p>
    <w:p>
      <w:r>
        <w:rPr>
          <w:rFonts w:ascii="Times New Roman" w:hAnsi="Times New Roman"/>
          <w:b w:val="0"/>
          <w:i w:val="0"/>
          <w:sz w:val="24"/>
        </w:rPr>
        <w:t xml:space="preserve">   2.2 Theoretical Foundations: RBV, AMO and Strategic Fit</w:t>
      </w:r>
    </w:p>
    <w:p>
      <w:r>
        <w:rPr>
          <w:rFonts w:ascii="Times New Roman" w:hAnsi="Times New Roman"/>
          <w:b w:val="0"/>
          <w:i w:val="0"/>
          <w:sz w:val="24"/>
        </w:rPr>
        <w:t xml:space="preserve">   2.3 High-Performance Work Systems</w:t>
      </w:r>
    </w:p>
    <w:p>
      <w:r>
        <w:rPr>
          <w:rFonts w:ascii="Times New Roman" w:hAnsi="Times New Roman"/>
          <w:b w:val="0"/>
          <w:i w:val="0"/>
          <w:sz w:val="24"/>
        </w:rPr>
        <w:t xml:space="preserve">   2.4 Workforce Planning, Recruitment, Selection and Talent Management</w:t>
      </w:r>
    </w:p>
    <w:p>
      <w:r>
        <w:rPr>
          <w:rFonts w:ascii="Times New Roman" w:hAnsi="Times New Roman"/>
          <w:b w:val="0"/>
          <w:i w:val="0"/>
          <w:sz w:val="24"/>
        </w:rPr>
        <w:t xml:space="preserve">   2.5 Employee Development, Training and Knowledge Management</w:t>
      </w:r>
    </w:p>
    <w:p>
      <w:r>
        <w:rPr>
          <w:rFonts w:ascii="Times New Roman" w:hAnsi="Times New Roman"/>
          <w:b w:val="0"/>
          <w:i w:val="0"/>
          <w:sz w:val="24"/>
        </w:rPr>
        <w:t xml:space="preserve">   2.6 Motivation, Engagement and Performance</w:t>
      </w:r>
    </w:p>
    <w:p>
      <w:r>
        <w:rPr>
          <w:rFonts w:ascii="Times New Roman" w:hAnsi="Times New Roman"/>
          <w:b w:val="0"/>
          <w:i w:val="0"/>
          <w:sz w:val="24"/>
        </w:rPr>
        <w:t>3. Methodology</w:t>
      </w:r>
    </w:p>
    <w:p>
      <w:r>
        <w:rPr>
          <w:rFonts w:ascii="Times New Roman" w:hAnsi="Times New Roman"/>
          <w:b w:val="0"/>
          <w:i w:val="0"/>
          <w:sz w:val="24"/>
        </w:rPr>
        <w:t>4. Findings and Analysis</w:t>
      </w:r>
    </w:p>
    <w:p>
      <w:r>
        <w:rPr>
          <w:rFonts w:ascii="Times New Roman" w:hAnsi="Times New Roman"/>
          <w:b w:val="0"/>
          <w:i w:val="0"/>
          <w:sz w:val="24"/>
        </w:rPr>
        <w:t xml:space="preserve">   4.1 How Strategic HRM Creates Organisational Value</w:t>
      </w:r>
    </w:p>
    <w:p>
      <w:r>
        <w:rPr>
          <w:rFonts w:ascii="Times New Roman" w:hAnsi="Times New Roman"/>
          <w:b w:val="0"/>
          <w:i w:val="0"/>
          <w:sz w:val="24"/>
        </w:rPr>
        <w:t xml:space="preserve">   4.2 Workforce Planning and Talent Architecture</w:t>
      </w:r>
    </w:p>
    <w:p>
      <w:r>
        <w:rPr>
          <w:rFonts w:ascii="Times New Roman" w:hAnsi="Times New Roman"/>
          <w:b w:val="0"/>
          <w:i w:val="0"/>
          <w:sz w:val="24"/>
        </w:rPr>
        <w:t xml:space="preserve">   4.3 Development, Learning and Knowledge Transfer</w:t>
      </w:r>
    </w:p>
    <w:p>
      <w:r>
        <w:rPr>
          <w:rFonts w:ascii="Times New Roman" w:hAnsi="Times New Roman"/>
          <w:b w:val="0"/>
          <w:i w:val="0"/>
          <w:sz w:val="24"/>
        </w:rPr>
        <w:t xml:space="preserve">   4.4 Motivation, Engagement and Performance</w:t>
      </w:r>
    </w:p>
    <w:p>
      <w:r>
        <w:rPr>
          <w:rFonts w:ascii="Times New Roman" w:hAnsi="Times New Roman"/>
          <w:b w:val="0"/>
          <w:i w:val="0"/>
          <w:sz w:val="24"/>
        </w:rPr>
        <w:t xml:space="preserve">   4.5 Strategic HRM in Practice: Microsoft and Google</w:t>
      </w:r>
    </w:p>
    <w:p>
      <w:r>
        <w:rPr>
          <w:rFonts w:ascii="Times New Roman" w:hAnsi="Times New Roman"/>
          <w:b w:val="0"/>
          <w:i w:val="0"/>
          <w:sz w:val="24"/>
        </w:rPr>
        <w:t xml:space="preserve">   4.6 Risks and Limitations of Strategic HRM</w:t>
      </w:r>
    </w:p>
    <w:p>
      <w:r>
        <w:rPr>
          <w:rFonts w:ascii="Times New Roman" w:hAnsi="Times New Roman"/>
          <w:b w:val="0"/>
          <w:i w:val="0"/>
          <w:sz w:val="24"/>
        </w:rPr>
        <w:t>5. Discussion</w:t>
      </w:r>
    </w:p>
    <w:p>
      <w:r>
        <w:rPr>
          <w:rFonts w:ascii="Times New Roman" w:hAnsi="Times New Roman"/>
          <w:b w:val="0"/>
          <w:i w:val="0"/>
          <w:sz w:val="24"/>
        </w:rPr>
        <w:t>6. Recommendations and Sustainable HR Strategy</w:t>
      </w:r>
    </w:p>
    <w:p>
      <w:r>
        <w:rPr>
          <w:rFonts w:ascii="Times New Roman" w:hAnsi="Times New Roman"/>
          <w:b w:val="0"/>
          <w:i w:val="0"/>
          <w:sz w:val="24"/>
        </w:rPr>
        <w:t>7. Conclusion</w:t>
      </w:r>
    </w:p>
    <w:p>
      <w:r>
        <w:rPr>
          <w:rFonts w:ascii="Times New Roman" w:hAnsi="Times New Roman"/>
          <w:b w:val="0"/>
          <w:i w:val="0"/>
          <w:sz w:val="24"/>
        </w:rPr>
        <w:t>References</w:t>
      </w:r>
    </w:p>
    <w:p>
      <w:r>
        <w:rPr>
          <w:rFonts w:ascii="Times New Roman" w:hAnsi="Times New Roman"/>
          <w:b w:val="0"/>
          <w:i w:val="0"/>
          <w:sz w:val="24"/>
        </w:rPr>
        <w:t>Appendix A: Strategic HR Performance Dashboard</w:t>
      </w:r>
    </w:p>
    <w:p>
      <w:r>
        <w:br w:type="page"/>
      </w:r>
    </w:p>
    <w:p>
      <w:pPr>
        <w:pStyle w:val="Heading1"/>
        <w:spacing w:line="480" w:lineRule="auto"/>
      </w:pPr>
      <w:r>
        <w:t>Abstract</w:t>
      </w:r>
    </w:p>
    <w:p>
      <w:r>
        <w:rPr>
          <w:rFonts w:ascii="Times New Roman" w:hAnsi="Times New Roman"/>
          <w:b w:val="0"/>
          <w:i w:val="0"/>
          <w:sz w:val="24"/>
        </w:rPr>
        <w:t>Strategic Human Resource Management (SHRM) treats people management as a core component of business strategy rather than as an administrative support activity. This report analyses how strategic HR practices contribute to organisational performance and competitive advantage, with particular attention to workforce planning, recruitment and selection, talent management, employee development, knowledge management, motivation, engagement and performance. The report uses the Resource-Based View (RBV), the Ability–Motivation–Opportunity (AMO) framework, and the concept of strategic fit to explain the mechanisms through which HR systems can create value. A secondary-research methodology is used, drawing on peer-reviewed research and contemporary organisational evidence. The literature indicates that integrated HR systems can influence human capital, employee motivation, retention, operational outcomes and financial performance, although the relationship is contingent on implementation quality, organisational context and alignment with business strategy. Examples from Microsoft and Google illustrate how large technology organisations connect workforce capability, continuous learning, culture and strategic priorities. The report concludes that sustainable HR strategy requires an integrated architecture in which the organisation recruits appropriate capabilities, develops them continuously, motivates employees fairly, creates opportunities for contribution and measures HR outcomes against business objectives. The central argument is that competitive advantage does not arise from isolated HR practices; it is more likely to emerge when mutually reinforcing practices are deliberately designed, consistently implemented and aligned with the organisation’s strategic direction.</w:t>
      </w:r>
    </w:p>
    <w:p>
      <w:pPr>
        <w:pStyle w:val="Heading1"/>
        <w:spacing w:line="480" w:lineRule="auto"/>
      </w:pPr>
      <w:r>
        <w:t>1. Introduction</w:t>
      </w:r>
    </w:p>
    <w:p>
      <w:r>
        <w:rPr>
          <w:rFonts w:ascii="Times New Roman" w:hAnsi="Times New Roman"/>
          <w:b w:val="0"/>
          <w:i w:val="0"/>
          <w:sz w:val="24"/>
        </w:rPr>
        <w:t>Human resources have become increasingly important to organisational strategy because knowledge, skills, relationships, innovation and organisational culture are major sources of value in modern economies. Although HR departments traditionally focused on administrative activities such as payroll, staffing records and employment compliance, contemporary organisations increasingly expect HR professionals to contribute to strategic decisions about capability, organisational design, leadership, workforce risks and long-term performance. Strategic Human Resource Management (SHRM) refers to the deliberate alignment of HR policies and practices with the strategic objectives of an organisation. The strategic perspective therefore asks not only whether an organisation has competent employees, but also whether it has the right capabilities, behaviours, incentives and structures to execute its strategy.</w:t>
      </w:r>
    </w:p>
    <w:p>
      <w:r>
        <w:rPr>
          <w:rFonts w:ascii="Times New Roman" w:hAnsi="Times New Roman"/>
          <w:b w:val="0"/>
          <w:i w:val="0"/>
          <w:sz w:val="24"/>
        </w:rPr>
        <w:t>The relationship between HRM and organisational performance has been studied extensively. Huselid (1995) found that systems of high-performance work practices were associated with employee and organisational outcomes including turnover, productivity and financial performance. A later meta-analysis by Combs et al. (2006) reported a positive association between high-performance work practices and organisational performance, while Jiang et al. (2012) showed that HR systems can influence financial outcomes through intermediate mechanisms such as human capital, motivation, turnover and operational outcomes. More recent research continues to examine the mechanisms through which HR systems generate performance rather than assuming that any single practice automatically produces superior results.</w:t>
      </w:r>
    </w:p>
    <w:p>
      <w:r>
        <w:rPr>
          <w:rFonts w:ascii="Times New Roman" w:hAnsi="Times New Roman"/>
          <w:b w:val="0"/>
          <w:i w:val="0"/>
          <w:sz w:val="24"/>
        </w:rPr>
        <w:t>This report focuses on Option 1 of the assessment brief: Strategic Human Resource Management and Organisational Performance. It evaluates the contribution of workforce planning, recruitment, selection and talent management; examines employee development, training and knowledge management; analyses the connections between HR, motivation, engagement and performance; and considers organisational examples of strategic HR practice. The report also identifies strategies for building strong and sustainable HR systems. The analysis recognises that HR practices do not operate in isolation: their effects depend on organisational strategy, leadership, line-management implementation, culture, labour-market conditions and the extent to which employees experience the HR system as coherent and credible.</w:t>
      </w:r>
    </w:p>
    <w:p>
      <w:pPr>
        <w:pStyle w:val="Heading1"/>
        <w:spacing w:line="480" w:lineRule="auto"/>
      </w:pPr>
      <w:r>
        <w:t>2. Literature Review</w:t>
      </w:r>
    </w:p>
    <w:p>
      <w:pPr>
        <w:pStyle w:val="Heading2"/>
        <w:spacing w:line="480" w:lineRule="auto"/>
      </w:pPr>
      <w:r>
        <w:t>2.1 Strategic Human Resource Management</w:t>
      </w:r>
    </w:p>
    <w:p>
      <w:r>
        <w:rPr>
          <w:rFonts w:ascii="Times New Roman" w:hAnsi="Times New Roman"/>
          <w:b w:val="0"/>
          <w:i w:val="0"/>
          <w:sz w:val="24"/>
        </w:rPr>
        <w:t>SHRM can be understood as the pattern of planned HR deployments and activities intended to enable an organisation to achieve its goals. Wright and McMahan (1992) positioned SHRM within a broader theoretical field that includes behavioural, resource-based, institutional and economic perspectives. The strategic approach differs from a purely operational approach because it begins with organisational direction and asks what workforce capabilities and behaviours are required for implementation. For example, a business competing through innovation may need employees who can experiment, collaborate across functions and learn rapidly, while a business competing primarily through operational efficiency may emphasise standardisation, process discipline and productivity.</w:t>
      </w:r>
    </w:p>
    <w:p>
      <w:r>
        <w:rPr>
          <w:rFonts w:ascii="Times New Roman" w:hAnsi="Times New Roman"/>
          <w:b w:val="0"/>
          <w:i w:val="0"/>
          <w:sz w:val="24"/>
        </w:rPr>
        <w:t>Strategic HRM therefore involves vertical alignment between business strategy and HR strategy and horizontal alignment among HR practices themselves. Vertical alignment means that recruitment, development, rewards and performance management reinforce the capabilities required by business priorities. Horizontal alignment means that the practices are mutually consistent. For instance, an organisation cannot credibly claim to value innovation if its recruitment system selects highly risk-averse employees, its performance system punishes experimentation and its reward system focuses only on short-term output. Strategic HRM is consequently concerned with the design of a coherent system rather than a collection of disconnected initiatives.</w:t>
      </w:r>
    </w:p>
    <w:p>
      <w:pPr>
        <w:pStyle w:val="Heading2"/>
        <w:spacing w:line="480" w:lineRule="auto"/>
      </w:pPr>
      <w:r>
        <w:t>2.2 Theoretical Foundations: RBV, AMO and Strategic Fit</w:t>
      </w:r>
    </w:p>
    <w:p>
      <w:r>
        <w:rPr>
          <w:rFonts w:ascii="Times New Roman" w:hAnsi="Times New Roman"/>
          <w:b w:val="0"/>
          <w:i w:val="0"/>
          <w:sz w:val="24"/>
        </w:rPr>
        <w:t>The Resource-Based View (RBV) provides an important foundation for explaining why HR can contribute to competitive advantage. Barney (1991) argued that resources with characteristics such as value, rarity and difficulty of imitation can provide the basis for sustained competitive advantage. Human capital can potentially meet these conditions when employees possess firm-specific knowledge, experience, relationships and capabilities that competitors cannot easily reproduce. However, employees are not automatically a strategic resource. The organisation must recruit appropriate people, develop their capabilities, retain valuable knowledge and create systems that allow those capabilities to be deployed effectively.</w:t>
      </w:r>
    </w:p>
    <w:p>
      <w:r>
        <w:rPr>
          <w:rFonts w:ascii="Times New Roman" w:hAnsi="Times New Roman"/>
          <w:b w:val="0"/>
          <w:i w:val="0"/>
          <w:sz w:val="24"/>
        </w:rPr>
        <w:t>The AMO framework complements the RBV by explaining an important mechanism linking HR practices to employee performance. The framework proposes that performance depends on employees having the Ability to perform, the Motivation to perform and the Opportunity to contribute. Ability can be developed through careful recruitment, selection and training; motivation can be supported through meaningful work, fair rewards, feedback and career opportunities; and opportunity can be created through participation, autonomy, teamwork and access to information. Jiang et al. (2012) found that skill-, motivation- and opportunity-enhancing HR practices can influence organisational outcomes through different pathways. Bos-Nehles et al. (2023), reviewing 104 quantitative HRM studies, also highlight that the relationships among AMO components and performance are complex and depend on how variables are conceptualised and connected across levels.</w:t>
      </w:r>
    </w:p>
    <w:p>
      <w:r>
        <w:rPr>
          <w:rFonts w:ascii="Times New Roman" w:hAnsi="Times New Roman"/>
          <w:b w:val="0"/>
          <w:i w:val="0"/>
          <w:sz w:val="24"/>
        </w:rPr>
        <w:t>Strategic fit is another important concept. Delery and Shaw (2001) distinguish between internal fit among HR practices and external fit between HR systems and organisational strategy. The implication is that an HR practice should not be evaluated only on whether it is generally regarded as 'good'. Its value depends partly on whether it supports the organisation's strategy and complements other practices. This perspective discourages one-size-fits-all HRM and supports evidence-based adaptation to industry, technology, workforce composition and competitive conditions.</w:t>
      </w:r>
    </w:p>
    <w:p>
      <w:pPr>
        <w:pStyle w:val="Heading2"/>
        <w:spacing w:line="480" w:lineRule="auto"/>
      </w:pPr>
      <w:r>
        <w:t>2.3 High-Performance Work Systems</w:t>
      </w:r>
    </w:p>
    <w:p>
      <w:r>
        <w:rPr>
          <w:rFonts w:ascii="Times New Roman" w:hAnsi="Times New Roman"/>
          <w:b w:val="0"/>
          <w:i w:val="0"/>
          <w:sz w:val="24"/>
        </w:rPr>
        <w:t>High-Performance Work Systems (HPWS) refer to bundles of mutually reinforcing practices designed to improve employee capability, motivation and involvement. Typical practices include selective staffing, extensive training, performance feedback, employee participation, information sharing, employment security, incentive compensation and structured career development. Huselid (1995) reported that systems of high-performance practices were associated with lower turnover and higher productivity as well as improved financial outcomes. Becker and Huselid (1998) further argued that HR systems can act as organisational resources supporting strategy implementation.</w:t>
      </w:r>
    </w:p>
    <w:p>
      <w:r>
        <w:rPr>
          <w:rFonts w:ascii="Times New Roman" w:hAnsi="Times New Roman"/>
          <w:b w:val="0"/>
          <w:i w:val="0"/>
          <w:sz w:val="24"/>
        </w:rPr>
        <w:t>The systems perspective is important because individual HR practices may have limited effects when implemented in isolation. For example, training may improve skills, but its impact can be reduced if employees have no opportunity to apply the new skills. Similarly, incentive pay may encourage effort but can create unintended behaviour if targets are poorly designed. Combs et al. (2006) found that the effects of high-performance practices are stronger when practices are used as coherent systems. The implication for managers is that HR design should focus on complementary bundles and the employee experience across the employment lifecycle.</w:t>
      </w:r>
    </w:p>
    <w:p>
      <w:pPr>
        <w:pStyle w:val="Heading2"/>
        <w:spacing w:line="480" w:lineRule="auto"/>
      </w:pPr>
      <w:r>
        <w:t>2.4 Workforce Planning, Recruitment, Selection and Talent Management</w:t>
      </w:r>
    </w:p>
    <w:p>
      <w:r>
        <w:rPr>
          <w:rFonts w:ascii="Times New Roman" w:hAnsi="Times New Roman"/>
          <w:b w:val="0"/>
          <w:i w:val="0"/>
          <w:sz w:val="24"/>
        </w:rPr>
        <w:t>Workforce planning connects future business requirements with the availability and development of people. It involves analysing the current workforce, forecasting future demand and supply, identifying capability gaps and deciding how those gaps will be addressed through recruitment, development, redeployment, succession planning or technology. Effective workforce planning reduces the risk of both labour shortages and unnecessary labour costs. It also helps organisations prepare for demographic changes, new technologies, changing customer needs and strategic expansion.</w:t>
      </w:r>
    </w:p>
    <w:p>
      <w:r>
        <w:rPr>
          <w:rFonts w:ascii="Times New Roman" w:hAnsi="Times New Roman"/>
          <w:b w:val="0"/>
          <w:i w:val="0"/>
          <w:sz w:val="24"/>
        </w:rPr>
        <w:t>Recruitment and selection are strategically important because they determine the quality and diversity of the talent entering the organisation. Recruitment should therefore begin with job and competency analysis rather than generic hiring targets. Selection methods such as structured interviews, work samples, assessment exercises and validated tests can improve consistency and job relevance. Talent management extends beyond hiring by identifying critical roles and capabilities, developing high-potential employees, planning succession and retaining scarce skills. A strategic approach should avoid treating talent as a fixed list of 'star employees'; instead, it should identify which capabilities are strategically important and create fair mechanisms through which those capabilities can be developed.</w:t>
      </w:r>
    </w:p>
    <w:p>
      <w:pPr>
        <w:pStyle w:val="Heading2"/>
        <w:spacing w:line="480" w:lineRule="auto"/>
      </w:pPr>
      <w:r>
        <w:t>2.5 Employee Development, Training and Knowledge Management</w:t>
      </w:r>
    </w:p>
    <w:p>
      <w:r>
        <w:rPr>
          <w:rFonts w:ascii="Times New Roman" w:hAnsi="Times New Roman"/>
          <w:b w:val="0"/>
          <w:i w:val="0"/>
          <w:sz w:val="24"/>
        </w:rPr>
        <w:t>Continuous learning is central to strategic HRM because organisational capabilities can become obsolete when technologies, regulations and customer expectations change. Training can improve job-specific skills, while development includes broader activities such as coaching, mentoring, leadership development, job rotation and career planning. Strategic learning begins with a needs analysis: managers identify what employees currently know, what the strategy requires them to know and which learning interventions can close the gap.</w:t>
      </w:r>
    </w:p>
    <w:p>
      <w:r>
        <w:rPr>
          <w:rFonts w:ascii="Times New Roman" w:hAnsi="Times New Roman"/>
          <w:b w:val="0"/>
          <w:i w:val="0"/>
          <w:sz w:val="24"/>
        </w:rPr>
        <w:t>Knowledge management is closely related. Organisations create value not only through individual expertise but also through systems that capture, share and apply knowledge. Communities of practice, mentoring, documentation, after-action reviews and collaborative technology can reduce knowledge loss when experienced employees leave. A strategic HR function therefore supports both individual learning and organisational learning. The value of learning should also be evaluated through measures such as skill acquisition, behaviour change, productivity, quality, innovation and business outcomes rather than participation numbers alone.</w:t>
      </w:r>
    </w:p>
    <w:p>
      <w:pPr>
        <w:pStyle w:val="Heading2"/>
        <w:spacing w:line="480" w:lineRule="auto"/>
      </w:pPr>
      <w:r>
        <w:t>2.6 Motivation, Engagement and Performance</w:t>
      </w:r>
    </w:p>
    <w:p>
      <w:r>
        <w:rPr>
          <w:rFonts w:ascii="Times New Roman" w:hAnsi="Times New Roman"/>
          <w:b w:val="0"/>
          <w:i w:val="0"/>
          <w:sz w:val="24"/>
        </w:rPr>
        <w:t>Motivation concerns the forces that influence the direction, intensity and persistence of employee effort, while engagement is commonly associated with employees' psychological connection, energy and involvement in their work. HR practices influence these outcomes through job design, recognition, fair rewards, autonomy, development opportunities, supportive management and communication. However, motivation cannot be reduced to financial incentives. Intrinsic motivation, meaningful work, mastery, social relationships and perceived fairness can also shape behaviour.</w:t>
      </w:r>
    </w:p>
    <w:p>
      <w:r>
        <w:rPr>
          <w:rFonts w:ascii="Times New Roman" w:hAnsi="Times New Roman"/>
          <w:b w:val="0"/>
          <w:i w:val="0"/>
          <w:sz w:val="24"/>
        </w:rPr>
        <w:t>Performance management should translate organisational strategy into clear expectations and provide employees with regular feedback and development support. Traditional annual appraisal systems can be supplemented with more frequent conversations, goal reviews and coaching. The aim is not simply to rate employees but to improve performance, identify development needs and maintain alignment between individual objectives and organisational priorities. An effective system should combine accountability with learning; excessive focus on short-term numerical targets can encourage gaming, unhealthy competition or neglect of longer-term capability building.</w:t>
      </w:r>
    </w:p>
    <w:p>
      <w:pPr>
        <w:pStyle w:val="Heading1"/>
        <w:spacing w:line="480" w:lineRule="auto"/>
      </w:pPr>
      <w:r>
        <w:t>3. Methodology</w:t>
      </w:r>
    </w:p>
    <w:p>
      <w:r>
        <w:rPr>
          <w:rFonts w:ascii="Times New Roman" w:hAnsi="Times New Roman"/>
          <w:b w:val="0"/>
          <w:i w:val="0"/>
          <w:sz w:val="24"/>
        </w:rPr>
        <w:t>This report uses a qualitative secondary-research methodology. The evidence base consists of peer-reviewed academic literature on SHRM, high-performance work systems, the RBV, the AMO framework and HRM-performance relationships, supplemented by publicly available organisational evidence from major technology companies. Academic sources were prioritised because the assignment requires theoretical grounding and critical analysis. Contemporary corporate information was used only to illustrate how organisations describe and implement people-management practices in practice.</w:t>
      </w:r>
    </w:p>
    <w:p>
      <w:r>
        <w:rPr>
          <w:rFonts w:ascii="Times New Roman" w:hAnsi="Times New Roman"/>
          <w:b w:val="0"/>
          <w:i w:val="0"/>
          <w:sz w:val="24"/>
        </w:rPr>
        <w:t>The analysis followed four stages. First, core SHRM theories were identified, including the RBV, AMO and strategic fit. Second, empirical research and meta-analyses were reviewed to identify mechanisms connecting HR practices with performance. Third, organisational examples were examined to illustrate the practical application of workforce development, culture and capability-building. Fourth, the evidence was synthesised into recommendations for a sustainable HR architecture. The methodology is appropriate for an analytical assignment but has limitations: publicly reported company practices may emphasise positive initiatives, academic findings may vary by context, and secondary research cannot establish causal effects for a specific organisation without primary data.</w:t>
      </w:r>
    </w:p>
    <w:p>
      <w:pPr>
        <w:pStyle w:val="Heading1"/>
        <w:spacing w:line="480" w:lineRule="auto"/>
      </w:pPr>
      <w:r>
        <w:t>4. Findings and Analysis</w:t>
      </w:r>
    </w:p>
    <w:p>
      <w:pPr>
        <w:pStyle w:val="Heading2"/>
        <w:spacing w:line="480" w:lineRule="auto"/>
      </w:pPr>
      <w:r>
        <w:t>4.1 How Strategic HRM Creates Organisational Value</w:t>
      </w:r>
    </w:p>
    <w:p>
      <w:r>
        <w:rPr>
          <w:rFonts w:ascii="Times New Roman" w:hAnsi="Times New Roman"/>
          <w:b w:val="0"/>
          <w:i w:val="0"/>
          <w:sz w:val="24"/>
        </w:rPr>
        <w:t>The evidence indicates that strategic HRM creates value through several interconnected pathways. First, it builds human capital by attracting and developing knowledge and skills. Second, it influences motivation through rewards, recognition, meaningful work and career opportunities. Third, it affects behaviour by shaping job design, leadership, culture and employee involvement. Fourth, it influences retention and therefore the preservation of organisational knowledge. Finally, these employee-level effects can contribute to operational outcomes such as quality, innovation, customer service and productivity, which can subsequently influence financial performance.</w:t>
      </w:r>
    </w:p>
    <w:p>
      <w:r>
        <w:rPr>
          <w:rFonts w:ascii="Times New Roman" w:hAnsi="Times New Roman"/>
          <w:b w:val="0"/>
          <w:i w:val="0"/>
          <w:sz w:val="24"/>
        </w:rPr>
        <w:t>The research also cautions against a simplistic claim that HR investment automatically produces financial returns. Jiang et al. (2012) show that HR systems influence outcomes through mediating processes, while Bos-Nehles et al. (2023) emphasise complexity in the AMO-performance relationship. This means managers should ask 'through what mechanism?' when evaluating HR initiatives. A leadership programme, for example, should specify which behaviours it is expected to change and how those behaviours support operational outcomes. The strategic value of HR therefore depends on a clear line of sight between business objectives, workforce requirements, HR interventions and measurable outcomes.</w:t>
      </w:r>
    </w:p>
    <w:p>
      <w:pPr>
        <w:pStyle w:val="Heading2"/>
        <w:spacing w:line="480" w:lineRule="auto"/>
      </w:pPr>
      <w:r>
        <w:t>4.2 Workforce Planning and Talent Architecture</w:t>
      </w:r>
    </w:p>
    <w:p>
      <w:r>
        <w:rPr>
          <w:rFonts w:ascii="Times New Roman" w:hAnsi="Times New Roman"/>
          <w:b w:val="0"/>
          <w:i w:val="0"/>
          <w:sz w:val="24"/>
        </w:rPr>
        <w:t>Workforce planning is particularly important in environments where skills are changing quickly. A strategic process begins with scenario planning rather than a single headcount forecast. Organisations can model alternative futures such as rapid growth, recession, automation or changes in customer demand. They can then identify critical roles, scarce skills and vulnerable knowledge areas. This approach allows HR to decide which capabilities should be built internally, bought through recruitment, borrowed through external partnerships or redesigned through technology.</w:t>
      </w:r>
    </w:p>
    <w:p>
      <w:r>
        <w:rPr>
          <w:rFonts w:ascii="Times New Roman" w:hAnsi="Times New Roman"/>
          <w:b w:val="0"/>
          <w:i w:val="0"/>
          <w:sz w:val="24"/>
        </w:rPr>
        <w:t>Recruitment should be integrated with this capability architecture. Instead of measuring recruitment success only through time-to-fill, organisations should examine quality-of-hire indicators such as performance after six or twelve months, retention, skills match and hiring-manager satisfaction. Selection should also support diversity and fairness by using job-relevant criteria and structured processes. Talent management should then connect recruitment with onboarding, development and succession. The strategic benefit is a more continuous talent pipeline rather than repeated emergency hiring.</w:t>
      </w:r>
    </w:p>
    <w:p>
      <w:pPr>
        <w:pStyle w:val="Heading2"/>
        <w:spacing w:line="480" w:lineRule="auto"/>
      </w:pPr>
      <w:r>
        <w:t>4.3 Development, Learning and Knowledge Transfer</w:t>
      </w:r>
    </w:p>
    <w:p>
      <w:r>
        <w:rPr>
          <w:rFonts w:ascii="Times New Roman" w:hAnsi="Times New Roman"/>
          <w:b w:val="0"/>
          <w:i w:val="0"/>
          <w:sz w:val="24"/>
        </w:rPr>
        <w:t>Employee development is strategically valuable when it is connected to future capability needs. Digital transformation, artificial intelligence, sustainability and new business models can create skills gaps that cannot be solved through recruitment alone. Internal development allows organisations to preserve institutional knowledge while building new competencies. It can also support retention when employees see credible career pathways.</w:t>
      </w:r>
    </w:p>
    <w:p>
      <w:r>
        <w:rPr>
          <w:rFonts w:ascii="Times New Roman" w:hAnsi="Times New Roman"/>
          <w:b w:val="0"/>
          <w:i w:val="0"/>
          <w:sz w:val="24"/>
        </w:rPr>
        <w:t>A strong learning architecture combines formal training with learning in the flow of work. Formal courses can provide foundational knowledge, while coaching, mentoring, projects and peer learning allow employees to practise and transfer that knowledge. Knowledge management systems can capture lessons learned and make expertise accessible across teams. Managers should evaluate learning using a logic chain: learning activity → capability change → behaviour change → operational outcome → business value. This prevents HR from treating course completion as proof of organisational impact.</w:t>
      </w:r>
    </w:p>
    <w:p>
      <w:pPr>
        <w:pStyle w:val="Heading2"/>
        <w:spacing w:line="480" w:lineRule="auto"/>
      </w:pPr>
      <w:r>
        <w:t>4.4 Motivation, Engagement and Performance</w:t>
      </w:r>
    </w:p>
    <w:p>
      <w:r>
        <w:rPr>
          <w:rFonts w:ascii="Times New Roman" w:hAnsi="Times New Roman"/>
          <w:b w:val="0"/>
          <w:i w:val="0"/>
          <w:sz w:val="24"/>
        </w:rPr>
        <w:t>Motivation and engagement strengthen the connection between HR systems and performance because employees must be willing and able to apply their capabilities. Fair rewards are important, but a strategic reward system should combine financial and non-financial elements. Recognition, development, autonomy, flexible working arrangements where appropriate, meaningful work and supportive management can reinforce commitment.</w:t>
      </w:r>
    </w:p>
    <w:p>
      <w:r>
        <w:rPr>
          <w:rFonts w:ascii="Times New Roman" w:hAnsi="Times New Roman"/>
          <w:b w:val="0"/>
          <w:i w:val="0"/>
          <w:sz w:val="24"/>
        </w:rPr>
        <w:t>Performance management should create clarity rather than bureaucracy. Organisational objectives can be translated into team and individual goals, supported by regular feedback. Managers should distinguish between outcome goals and behaviour or capability goals, particularly where innovation and long-term development matter. A balanced approach can reduce the risk that employees optimise one metric at the expense of customer experience, quality, collaboration or learning.</w:t>
      </w:r>
    </w:p>
    <w:p>
      <w:r>
        <w:rPr>
          <w:rFonts w:ascii="Times New Roman" w:hAnsi="Times New Roman"/>
          <w:b w:val="0"/>
          <w:i w:val="0"/>
          <w:sz w:val="24"/>
        </w:rPr>
        <w:t>Engagement should also be treated as an organisational outcome that managers can influence rather than as an employee attitude for HR alone to measure. If surveys show low trust or weak recognition, the response should involve line managers, leadership and job design rather than simply another HR campaign. This reflects the wider SHRM principle that HR strategy is implemented through the organisation's management system, not only through the HR department.</w:t>
      </w:r>
    </w:p>
    <w:p>
      <w:pPr>
        <w:pStyle w:val="Heading2"/>
        <w:spacing w:line="480" w:lineRule="auto"/>
      </w:pPr>
      <w:r>
        <w:t>4.5 Strategic HRM in Practice: Microsoft and Google</w:t>
      </w:r>
    </w:p>
    <w:p>
      <w:r>
        <w:rPr>
          <w:rFonts w:ascii="Times New Roman" w:hAnsi="Times New Roman"/>
          <w:b w:val="0"/>
          <w:i w:val="0"/>
          <w:sz w:val="24"/>
        </w:rPr>
        <w:t>Microsoft provides a useful contemporary example of how a large technology organisation frames human capital strategically. In its 2025 Annual Report, Microsoft reported approximately 228,000 full-time employees as of June 30, 2025 and described programmes intended to attract, reward and retain talent while supporting continuous employee development. The company also reported investment in employee wellbeing and access to internal and external learning content. Its stated culture emphasises a growth mindset, experimentation and continuous improvement. These practices are consistent with an AMO interpretation: recruitment and development support Ability, reward and recognition can support Motivation, and collaboration and broader job scopes can support Opportunity. However, public company reporting primarily describes policies and intentions; it does not by itself prove that each practice causes financial performance.</w:t>
      </w:r>
    </w:p>
    <w:p>
      <w:r>
        <w:rPr>
          <w:rFonts w:ascii="Times New Roman" w:hAnsi="Times New Roman"/>
          <w:b w:val="0"/>
          <w:i w:val="0"/>
          <w:sz w:val="24"/>
        </w:rPr>
        <w:t>Microsoft's current strategy also illustrates the relationship between technology change and workforce development. Its 2025 reporting described AI skilling initiatives and wider efforts to help people participate in the AI economy. For HR, the strategic implication is that workforce capability must evolve with the business model. HR can support this by mapping future skills, redesigning jobs, creating learning pathways and helping managers lead organisational change.</w:t>
      </w:r>
    </w:p>
    <w:p>
      <w:r>
        <w:rPr>
          <w:rFonts w:ascii="Times New Roman" w:hAnsi="Times New Roman"/>
          <w:b w:val="0"/>
          <w:i w:val="0"/>
          <w:sz w:val="24"/>
        </w:rPr>
        <w:t>Google provides another illustration through its publicly described learning and people-development roles. Current Google Careers materials describe learning platforms, leadership development, AI-enabled learning and systems designed to connect learning with business outcomes. This demonstrates an increasingly digital approach to learning in which learning technology, measurement and capability development are integrated. From an SHRM perspective, the key lesson is not to copy a particular programme but to connect learning architecture to the capabilities required by the organisation's strategy.</w:t>
      </w:r>
    </w:p>
    <w:p>
      <w:pPr>
        <w:pStyle w:val="Heading2"/>
        <w:spacing w:line="480" w:lineRule="auto"/>
      </w:pPr>
      <w:r>
        <w:t>4.6 Risks and Limitations of Strategic HRM</w:t>
      </w:r>
    </w:p>
    <w:p>
      <w:r>
        <w:rPr>
          <w:rFonts w:ascii="Times New Roman" w:hAnsi="Times New Roman"/>
          <w:b w:val="0"/>
          <w:i w:val="0"/>
          <w:sz w:val="24"/>
        </w:rPr>
        <w:t>Strategic HRM also creates risks when it is poorly designed. One risk is instrumentalism: treating employees only as resources for productivity. Sustainable HRM requires attention to fairness, wellbeing, development and employee voice alongside performance. A second risk is over-standardisation. A single HR policy may not suit different roles, cultures or stages of organisational development. A third risk is measurement overload, where managers focus on indicators that are easy to count rather than outcomes that matter.</w:t>
      </w:r>
    </w:p>
    <w:p>
      <w:r>
        <w:rPr>
          <w:rFonts w:ascii="Times New Roman" w:hAnsi="Times New Roman"/>
          <w:b w:val="0"/>
          <w:i w:val="0"/>
          <w:sz w:val="24"/>
        </w:rPr>
        <w:t>There are also implementation risks. HR strategy may fail when line managers lack the capability or motivation to apply policies consistently. Communication can also create a gap between the intended and experienced HR system. Bowen and Ostroff (2004) argue that the strength of the HRM system matters because employees interpret HR practices collectively and form shared perceptions about what behaviours are expected and rewarded. Therefore, consistency, clarity and agreement across managers are essential.</w:t>
      </w:r>
    </w:p>
    <w:p>
      <w:pPr>
        <w:pStyle w:val="Heading1"/>
        <w:spacing w:line="480" w:lineRule="auto"/>
      </w:pPr>
      <w:r>
        <w:t>5. Discussion</w:t>
      </w:r>
    </w:p>
    <w:p>
      <w:r>
        <w:rPr>
          <w:rFonts w:ascii="Times New Roman" w:hAnsi="Times New Roman"/>
          <w:b w:val="0"/>
          <w:i w:val="0"/>
          <w:sz w:val="24"/>
        </w:rPr>
        <w:t>The literature and organisational evidence support a systems-based understanding of SHRM. The strongest strategic logic is not that a particular practice is universally effective, but that HR practices should be configured around organisational requirements and implemented as a coherent system. The RBV explains why human and social capital can become strategically valuable; the AMO framework explains how HR practices can build capability, motivation and opportunity; and strategic fit explains why the same practice may have different effects in different contexts.</w:t>
      </w:r>
    </w:p>
    <w:p>
      <w:r>
        <w:rPr>
          <w:rFonts w:ascii="Times New Roman" w:hAnsi="Times New Roman"/>
          <w:b w:val="0"/>
          <w:i w:val="0"/>
          <w:sz w:val="24"/>
        </w:rPr>
        <w:t>A major implication is that HR should be integrated into business planning at an early stage. If a company decides to enter a new market, launch an AI-enabled product or change its operating model, HR should be involved in determining the required skills, leadership capabilities, organisational structures, rewards and learning systems. This shifts HR from reacting to workforce problems toward anticipating capability requirements.</w:t>
      </w:r>
    </w:p>
    <w:p>
      <w:r>
        <w:rPr>
          <w:rFonts w:ascii="Times New Roman" w:hAnsi="Times New Roman"/>
          <w:b w:val="0"/>
          <w:i w:val="0"/>
          <w:sz w:val="24"/>
        </w:rPr>
        <w:t>The evidence also suggests that employee development should be viewed as a strategic investment rather than simply a benefit. Where technology changes rapidly, organisations need mechanisms for continuous reskilling and knowledge transfer. This does not mean training everyone in every emerging technology. Instead, HR should identify strategically important skills and create differentiated learning pathways linked to roles and business priorities.</w:t>
      </w:r>
    </w:p>
    <w:p>
      <w:r>
        <w:rPr>
          <w:rFonts w:ascii="Times New Roman" w:hAnsi="Times New Roman"/>
          <w:b w:val="0"/>
          <w:i w:val="0"/>
          <w:sz w:val="24"/>
        </w:rPr>
        <w:t>At the same time, the report finds that strategic HRM must remain people-centred. Competitive advantage built on exhausted or disengaged employees is unlikely to be sustainable. Fairness, voice, wellbeing, inclusion and career development can support the conditions under which employees are willing to contribute discretionary effort and share knowledge. The strategic challenge is therefore to integrate employee interests with organisational objectives rather than treating them as separate agendas.</w:t>
      </w:r>
    </w:p>
    <w:p>
      <w:pPr>
        <w:pStyle w:val="Heading1"/>
        <w:spacing w:line="480" w:lineRule="auto"/>
      </w:pPr>
      <w:r>
        <w:t>6. Recommendations and Sustainable HR Strategy</w:t>
      </w:r>
    </w:p>
    <w:p>
      <w:pPr>
        <w:spacing w:line="480" w:lineRule="auto"/>
      </w:pPr>
      <w:r>
        <w:rPr>
          <w:rFonts w:ascii="Times New Roman" w:hAnsi="Times New Roman"/>
          <w:b/>
          <w:sz w:val="24"/>
        </w:rPr>
        <w:t xml:space="preserve">1. Build a formal workforce-capability plan. </w:t>
      </w:r>
      <w:r>
        <w:rPr>
          <w:rFonts w:ascii="Times New Roman" w:hAnsi="Times New Roman"/>
          <w:sz w:val="24"/>
        </w:rPr>
        <w:t>Translate the business strategy into a three- to five-year capability map. Identify critical roles, scarce skills, succession risks and future skill requirements. Review the plan at least annually and whenever strategy changes.</w:t>
      </w:r>
    </w:p>
    <w:p>
      <w:pPr>
        <w:spacing w:line="480" w:lineRule="auto"/>
      </w:pPr>
      <w:r>
        <w:rPr>
          <w:rFonts w:ascii="Times New Roman" w:hAnsi="Times New Roman"/>
          <w:b/>
          <w:sz w:val="24"/>
        </w:rPr>
        <w:t xml:space="preserve">2. Introduce evidence-based recruitment and selection. </w:t>
      </w:r>
      <w:r>
        <w:rPr>
          <w:rFonts w:ascii="Times New Roman" w:hAnsi="Times New Roman"/>
          <w:sz w:val="24"/>
        </w:rPr>
        <w:t>Use structured job analysis, competency profiles, consistent interview questions and job-relevant assessment methods. Track quality-of-hire, early performance and retention rather than relying only on time-to-fill.</w:t>
      </w:r>
    </w:p>
    <w:p>
      <w:pPr>
        <w:spacing w:line="480" w:lineRule="auto"/>
      </w:pPr>
      <w:r>
        <w:rPr>
          <w:rFonts w:ascii="Times New Roman" w:hAnsi="Times New Roman"/>
          <w:b/>
          <w:sz w:val="24"/>
        </w:rPr>
        <w:t xml:space="preserve">3. Create integrated talent pathways. </w:t>
      </w:r>
      <w:r>
        <w:rPr>
          <w:rFonts w:ascii="Times New Roman" w:hAnsi="Times New Roman"/>
          <w:sz w:val="24"/>
        </w:rPr>
        <w:t>Connect recruitment, onboarding, performance management, career development and succession planning. Define transparent criteria for critical roles and provide development opportunities for a broad range of employees.</w:t>
      </w:r>
    </w:p>
    <w:p>
      <w:pPr>
        <w:spacing w:line="480" w:lineRule="auto"/>
      </w:pPr>
      <w:r>
        <w:rPr>
          <w:rFonts w:ascii="Times New Roman" w:hAnsi="Times New Roman"/>
          <w:b/>
          <w:sz w:val="24"/>
        </w:rPr>
        <w:t xml:space="preserve">4. Establish a strategic learning architecture. </w:t>
      </w:r>
      <w:r>
        <w:rPr>
          <w:rFonts w:ascii="Times New Roman" w:hAnsi="Times New Roman"/>
          <w:sz w:val="24"/>
        </w:rPr>
        <w:t>Map current skills against future requirements and offer blended learning through formal courses, coaching, mentoring, projects and digital resources. Evaluate learning through capability and business outcomes rather than attendance alone.</w:t>
      </w:r>
    </w:p>
    <w:p>
      <w:pPr>
        <w:spacing w:line="480" w:lineRule="auto"/>
      </w:pPr>
      <w:r>
        <w:rPr>
          <w:rFonts w:ascii="Times New Roman" w:hAnsi="Times New Roman"/>
          <w:b/>
          <w:sz w:val="24"/>
        </w:rPr>
        <w:t xml:space="preserve">5. Strengthen knowledge management. </w:t>
      </w:r>
      <w:r>
        <w:rPr>
          <w:rFonts w:ascii="Times New Roman" w:hAnsi="Times New Roman"/>
          <w:sz w:val="24"/>
        </w:rPr>
        <w:t>Create mechanisms for documenting critical knowledge, mentoring less-experienced employees and conducting after-action reviews. Use collaboration tools to make expertise easier to find while protecting sensitive information.</w:t>
      </w:r>
    </w:p>
    <w:p>
      <w:pPr>
        <w:spacing w:line="480" w:lineRule="auto"/>
      </w:pPr>
      <w:r>
        <w:rPr>
          <w:rFonts w:ascii="Times New Roman" w:hAnsi="Times New Roman"/>
          <w:b/>
          <w:sz w:val="24"/>
        </w:rPr>
        <w:t xml:space="preserve">6. Redesign performance management around continuous feedback. </w:t>
      </w:r>
      <w:r>
        <w:rPr>
          <w:rFonts w:ascii="Times New Roman" w:hAnsi="Times New Roman"/>
          <w:sz w:val="24"/>
        </w:rPr>
        <w:t>Combine clear objectives with regular coaching conversations. Include both short-term outcomes and longer-term capability or behavioural goals. Train managers to give specific, fair and development-oriented feedback.</w:t>
      </w:r>
    </w:p>
    <w:p>
      <w:pPr>
        <w:spacing w:line="480" w:lineRule="auto"/>
      </w:pPr>
      <w:r>
        <w:rPr>
          <w:rFonts w:ascii="Times New Roman" w:hAnsi="Times New Roman"/>
          <w:b/>
          <w:sz w:val="24"/>
        </w:rPr>
        <w:t xml:space="preserve">7. Align reward and recognition with strategic priorities. </w:t>
      </w:r>
      <w:r>
        <w:rPr>
          <w:rFonts w:ascii="Times New Roman" w:hAnsi="Times New Roman"/>
          <w:sz w:val="24"/>
        </w:rPr>
        <w:t>Use a balanced reward system that recognises individual contribution, teamwork and behaviours that support long-term strategy. Monitor internal equity and unintended incentives.</w:t>
      </w:r>
    </w:p>
    <w:p>
      <w:pPr>
        <w:spacing w:line="480" w:lineRule="auto"/>
      </w:pPr>
      <w:r>
        <w:rPr>
          <w:rFonts w:ascii="Times New Roman" w:hAnsi="Times New Roman"/>
          <w:b/>
          <w:sz w:val="24"/>
        </w:rPr>
        <w:t xml:space="preserve">8. Measure HR through a strategic dashboard. </w:t>
      </w:r>
      <w:r>
        <w:rPr>
          <w:rFonts w:ascii="Times New Roman" w:hAnsi="Times New Roman"/>
          <w:sz w:val="24"/>
        </w:rPr>
        <w:t>Track leading indicators such as skills coverage, internal mobility, learning application and engagement alongside lagging indicators such as turnover, productivity, quality and financial outcomes.</w:t>
      </w:r>
    </w:p>
    <w:p>
      <w:pPr>
        <w:spacing w:line="480" w:lineRule="auto"/>
      </w:pPr>
      <w:r>
        <w:rPr>
          <w:rFonts w:ascii="Times New Roman" w:hAnsi="Times New Roman"/>
          <w:b/>
          <w:sz w:val="24"/>
        </w:rPr>
        <w:t xml:space="preserve">9. Strengthen line-manager accountability. </w:t>
      </w:r>
      <w:r>
        <w:rPr>
          <w:rFonts w:ascii="Times New Roman" w:hAnsi="Times New Roman"/>
          <w:sz w:val="24"/>
        </w:rPr>
        <w:t>Make people-management responsibilities explicit in managerial roles. Provide managers with training, tools and support, and include appropriate people outcomes in management performance reviews.</w:t>
      </w:r>
    </w:p>
    <w:p>
      <w:pPr>
        <w:spacing w:line="480" w:lineRule="auto"/>
      </w:pPr>
      <w:r>
        <w:rPr>
          <w:rFonts w:ascii="Times New Roman" w:hAnsi="Times New Roman"/>
          <w:b/>
          <w:sz w:val="24"/>
        </w:rPr>
        <w:t xml:space="preserve">10. Apply sustainable HR principles. </w:t>
      </w:r>
      <w:r>
        <w:rPr>
          <w:rFonts w:ascii="Times New Roman" w:hAnsi="Times New Roman"/>
          <w:sz w:val="24"/>
        </w:rPr>
        <w:t>Balance performance with wellbeing, fairness, inclusion, employee voice and responsible use of workforce data. Review HR policies for unintended consequences and maintain mechanisms through which employees can raise concerns.</w:t>
      </w:r>
    </w:p>
    <w:p>
      <w:pPr>
        <w:pStyle w:val="Heading1"/>
        <w:spacing w:line="480" w:lineRule="auto"/>
      </w:pPr>
      <w:r>
        <w:t>7. Conclusion</w:t>
      </w:r>
    </w:p>
    <w:p>
      <w:r>
        <w:rPr>
          <w:rFonts w:ascii="Times New Roman" w:hAnsi="Times New Roman"/>
          <w:b w:val="0"/>
          <w:i w:val="0"/>
          <w:sz w:val="24"/>
        </w:rPr>
        <w:t>Strategic Human Resource Management can make a substantial contribution to organisational performance when HR practices are integrated with business strategy and implemented as a coherent system. The evidence reviewed in this report shows that workforce planning, recruitment, talent management, development, knowledge management, motivation, engagement and performance management can influence the human and organisational conditions required for effective strategy execution.</w:t>
      </w:r>
    </w:p>
    <w:p>
      <w:r>
        <w:rPr>
          <w:rFonts w:ascii="Times New Roman" w:hAnsi="Times New Roman"/>
          <w:b w:val="0"/>
          <w:i w:val="0"/>
          <w:sz w:val="24"/>
        </w:rPr>
        <w:t>The RBV explains how distinctive human and social capital can become strategically valuable, while the AMO framework shows how HR systems can strengthen employees' ability, motivation and opportunity to perform. Research on high-performance work systems and meta-analytic evidence supports the view that bundles of complementary HR practices are more informative than isolated interventions. At the same time, the evidence cautions against universal prescriptions because organisational context, implementation quality and strategic fit affect outcomes.</w:t>
      </w:r>
    </w:p>
    <w:p>
      <w:r>
        <w:rPr>
          <w:rFonts w:ascii="Times New Roman" w:hAnsi="Times New Roman"/>
          <w:b w:val="0"/>
          <w:i w:val="0"/>
          <w:sz w:val="24"/>
        </w:rPr>
        <w:t>The examples of Microsoft and Google illustrate how contemporary organisations connect workforce development, learning, culture and strategic priorities, particularly in technology-intensive environments. For organisations seeking sustainable performance, the practical priority is therefore to build a clear line of sight from strategy to capability, from capability to employee behaviour, and from behaviour to measurable organisational outcomes. HR should be positioned as a strategic partner while remaining accountable for fairness, employee development, wellbeing and responsible management. Ultimately, sustainable competitive advantage depends not simply on having talented people, but on building the organisational system that enables those people to learn, contribute, collaborate and create value over time.</w:t>
      </w:r>
    </w:p>
    <w:p>
      <w:pPr>
        <w:pStyle w:val="Heading1"/>
        <w:spacing w:line="480" w:lineRule="auto"/>
      </w:pPr>
      <w:r>
        <w:t>References</w:t>
      </w:r>
    </w:p>
    <w:p>
      <w:pPr>
        <w:spacing w:line="480" w:lineRule="auto"/>
        <w:ind w:left="720" w:hanging="720"/>
      </w:pPr>
      <w:r>
        <w:rPr>
          <w:rFonts w:ascii="Times New Roman" w:hAnsi="Times New Roman"/>
          <w:sz w:val="24"/>
        </w:rPr>
        <w:t>Appelbaum, E., Bailey, T., Berg, P., &amp; Kalleberg, A. L. (2000). Manufacturing advantage: Why high-performance work systems pay off. Cornell University Press.</w:t>
      </w:r>
    </w:p>
    <w:p>
      <w:pPr>
        <w:spacing w:line="480" w:lineRule="auto"/>
        <w:ind w:left="720" w:hanging="720"/>
      </w:pPr>
      <w:r>
        <w:rPr>
          <w:rFonts w:ascii="Times New Roman" w:hAnsi="Times New Roman"/>
          <w:sz w:val="24"/>
        </w:rPr>
        <w:t>Barney, J. (1991). Firm resources and sustained competitive advantage. Journal of Management, 17(1), 99–120. https://doi.org/10.1177/014920639101700108</w:t>
      </w:r>
    </w:p>
    <w:p>
      <w:pPr>
        <w:spacing w:line="480" w:lineRule="auto"/>
        <w:ind w:left="720" w:hanging="720"/>
      </w:pPr>
      <w:r>
        <w:rPr>
          <w:rFonts w:ascii="Times New Roman" w:hAnsi="Times New Roman"/>
          <w:sz w:val="24"/>
        </w:rPr>
        <w:t>Becker, B. E., &amp; Huselid, M. A. (1998). High performance work systems and firm performance: A synthesis of research and managerial implications. Research in Personnel and Human Resources Management, 16, 53–101.</w:t>
      </w:r>
    </w:p>
    <w:p>
      <w:pPr>
        <w:spacing w:line="480" w:lineRule="auto"/>
        <w:ind w:left="720" w:hanging="720"/>
      </w:pPr>
      <w:r>
        <w:rPr>
          <w:rFonts w:ascii="Times New Roman" w:hAnsi="Times New Roman"/>
          <w:sz w:val="24"/>
        </w:rPr>
        <w:t>Bos-Nehles, A., Townsend, K., Cafferkey, K., &amp; Trullen, J. (2023). Examining the Ability, Motivation and Opportunity (AMO) framework in HRM research: Conceptualization, measurement and interactions. International Journal of Management Reviews, 25(4), 725–739. https://doi.org/10.1111/ijmr.12332</w:t>
      </w:r>
    </w:p>
    <w:p>
      <w:pPr>
        <w:spacing w:line="480" w:lineRule="auto"/>
        <w:ind w:left="720" w:hanging="720"/>
      </w:pPr>
      <w:r>
        <w:rPr>
          <w:rFonts w:ascii="Times New Roman" w:hAnsi="Times New Roman"/>
          <w:sz w:val="24"/>
        </w:rPr>
        <w:t>Bowen, D. E., &amp; Ostroff, C. (2004). Understanding HRM–firm performance linkages: The role of the strength of the HRM system. Academy of Management Review, 29(2), 203–221. https://doi.org/10.5465/AMR.2004.12736076</w:t>
      </w:r>
    </w:p>
    <w:p>
      <w:pPr>
        <w:spacing w:line="480" w:lineRule="auto"/>
        <w:ind w:left="720" w:hanging="720"/>
      </w:pPr>
      <w:r>
        <w:rPr>
          <w:rFonts w:ascii="Times New Roman" w:hAnsi="Times New Roman"/>
          <w:sz w:val="24"/>
        </w:rPr>
        <w:t>Combs, J., Liu, Y., Hall, A., &amp; Ketchen, D. (2006). How much do high-performance work practices matter? A meta-analysis of their effects on organizational performance. Personnel Psychology, 59(3), 501–528. https://doi.org/10.1111/j.1744-6570.2006.00045.x</w:t>
      </w:r>
    </w:p>
    <w:p>
      <w:pPr>
        <w:spacing w:line="480" w:lineRule="auto"/>
        <w:ind w:left="720" w:hanging="720"/>
      </w:pPr>
      <w:r>
        <w:rPr>
          <w:rFonts w:ascii="Times New Roman" w:hAnsi="Times New Roman"/>
          <w:sz w:val="24"/>
        </w:rPr>
        <w:t>Delery, J. E., &amp; Shaw, J. D. (2001). The strategic management of people in work organizations: Review, synthesis, and extension. Research in Personnel and Human Resources Management, 20, 165–197.</w:t>
      </w:r>
    </w:p>
    <w:p>
      <w:pPr>
        <w:spacing w:line="480" w:lineRule="auto"/>
        <w:ind w:left="720" w:hanging="720"/>
      </w:pPr>
      <w:r>
        <w:rPr>
          <w:rFonts w:ascii="Times New Roman" w:hAnsi="Times New Roman"/>
          <w:sz w:val="24"/>
        </w:rPr>
        <w:t>Huselid, M. A. (1995). The impact of human resource management practices on turnover, productivity, and corporate financial performance. Academy of Management Journal, 38(3), 635–672. https://doi.org/10.5465/256741</w:t>
      </w:r>
    </w:p>
    <w:p>
      <w:pPr>
        <w:spacing w:line="480" w:lineRule="auto"/>
        <w:ind w:left="720" w:hanging="720"/>
      </w:pPr>
      <w:r>
        <w:rPr>
          <w:rFonts w:ascii="Times New Roman" w:hAnsi="Times New Roman"/>
          <w:sz w:val="24"/>
        </w:rPr>
        <w:t>Jiang, K., Lepak, D. P., Hu, J., &amp; Baer, J. C. (2012). How does human resource management influence organizational outcomes? A meta-analytic investigation of mediating mechanisms. Academy of Management Journal, 55(6), 1264–1294. https://doi.org/10.5465/amj.2011.0088</w:t>
      </w:r>
    </w:p>
    <w:p>
      <w:pPr>
        <w:spacing w:line="480" w:lineRule="auto"/>
        <w:ind w:left="720" w:hanging="720"/>
      </w:pPr>
      <w:r>
        <w:rPr>
          <w:rFonts w:ascii="Times New Roman" w:hAnsi="Times New Roman"/>
          <w:sz w:val="24"/>
        </w:rPr>
        <w:t>Microsoft. (2025). Microsoft 2025 annual report. Microsoft Investor Relations. https://www.microsoft.com/investor/reports/ar25/index.html</w:t>
      </w:r>
    </w:p>
    <w:p>
      <w:pPr>
        <w:spacing w:line="480" w:lineRule="auto"/>
        <w:ind w:left="720" w:hanging="720"/>
      </w:pPr>
      <w:r>
        <w:rPr>
          <w:rFonts w:ascii="Times New Roman" w:hAnsi="Times New Roman"/>
          <w:sz w:val="24"/>
        </w:rPr>
        <w:t>Microsoft. (2025). Culture. Microsoft Careers. https://careers.microsoft.com/v2/global/en/life-at-microsoft/culture.html</w:t>
      </w:r>
    </w:p>
    <w:p>
      <w:pPr>
        <w:spacing w:line="480" w:lineRule="auto"/>
        <w:ind w:left="720" w:hanging="720"/>
      </w:pPr>
      <w:r>
        <w:rPr>
          <w:rFonts w:ascii="Times New Roman" w:hAnsi="Times New Roman"/>
          <w:sz w:val="24"/>
        </w:rPr>
        <w:t>Wright, P. M., &amp; McMahan, G. C. (1992). Theoretical perspectives for strategic human resource management. Journal of Management, 18(2), 295–320. https://doi.org/10.1177/014920639201800205</w:t>
      </w:r>
    </w:p>
    <w:p>
      <w:r>
        <w:br w:type="page"/>
      </w:r>
    </w:p>
    <w:p>
      <w:pPr>
        <w:pStyle w:val="Heading1"/>
        <w:spacing w:line="480" w:lineRule="auto"/>
      </w:pPr>
      <w:r>
        <w:t>Appendix A: Strategic HR Performance Dashboard</w:t>
      </w:r>
    </w:p>
    <w:p>
      <w:r>
        <w:rPr>
          <w:rFonts w:ascii="Times New Roman" w:hAnsi="Times New Roman"/>
          <w:b w:val="0"/>
          <w:i w:val="0"/>
          <w:sz w:val="24"/>
        </w:rPr>
        <w:t>The following illustrative dashboard can be used to connect HR activities to organisational strategy.</w:t>
      </w:r>
    </w:p>
    <w:tbl>
      <w:tblPr>
        <w:tblStyle w:val="TableGrid"/>
        <w:tblW w:type="auto" w:w="0"/>
        <w:jc w:val="center"/>
        <w:tblLook w:firstColumn="1" w:firstRow="1" w:lastColumn="0" w:lastRow="0" w:noHBand="0" w:noVBand="1" w:val="04A0"/>
      </w:tblPr>
      <w:tblGrid>
        <w:gridCol w:w="2340"/>
        <w:gridCol w:w="2340"/>
        <w:gridCol w:w="2340"/>
        <w:gridCol w:w="2340"/>
      </w:tblGrid>
      <w:tr>
        <w:tc>
          <w:tcPr>
            <w:tcW w:type="dxa" w:w="2340"/>
          </w:tcPr>
          <w:p>
            <w:r>
              <w:t>Strategic Area</w:t>
            </w:r>
          </w:p>
        </w:tc>
        <w:tc>
          <w:tcPr>
            <w:tcW w:type="dxa" w:w="2340"/>
          </w:tcPr>
          <w:p>
            <w:r>
              <w:t>Example KPI</w:t>
            </w:r>
          </w:p>
        </w:tc>
        <w:tc>
          <w:tcPr>
            <w:tcW w:type="dxa" w:w="2340"/>
          </w:tcPr>
          <w:p>
            <w:r>
              <w:t>Why It Matters</w:t>
            </w:r>
          </w:p>
        </w:tc>
        <w:tc>
          <w:tcPr>
            <w:tcW w:type="dxa" w:w="2340"/>
          </w:tcPr>
          <w:p>
            <w:r>
              <w:t>Review Frequency</w:t>
            </w:r>
          </w:p>
        </w:tc>
      </w:tr>
      <w:tr>
        <w:tc>
          <w:tcPr>
            <w:tcW w:type="dxa" w:w="2340"/>
            <w:vAlign w:val="center"/>
          </w:tcPr>
          <w:p>
            <w:r>
              <w:t>Workforce planning</w:t>
            </w:r>
          </w:p>
        </w:tc>
        <w:tc>
          <w:tcPr>
            <w:tcW w:type="dxa" w:w="2340"/>
            <w:vAlign w:val="center"/>
          </w:tcPr>
          <w:p>
            <w:r>
              <w:t>Critical-skill coverage</w:t>
            </w:r>
          </w:p>
        </w:tc>
        <w:tc>
          <w:tcPr>
            <w:tcW w:type="dxa" w:w="2340"/>
            <w:vAlign w:val="center"/>
          </w:tcPr>
          <w:p>
            <w:r>
              <w:t>Shows whether future capability needs are covered</w:t>
            </w:r>
          </w:p>
        </w:tc>
        <w:tc>
          <w:tcPr>
            <w:tcW w:type="dxa" w:w="2340"/>
            <w:vAlign w:val="center"/>
          </w:tcPr>
          <w:p>
            <w:r>
              <w:t>Quarterly</w:t>
            </w:r>
          </w:p>
        </w:tc>
      </w:tr>
      <w:tr>
        <w:tc>
          <w:tcPr>
            <w:tcW w:type="dxa" w:w="2340"/>
            <w:vAlign w:val="center"/>
          </w:tcPr>
          <w:p>
            <w:r>
              <w:t>Recruitment</w:t>
            </w:r>
          </w:p>
        </w:tc>
        <w:tc>
          <w:tcPr>
            <w:tcW w:type="dxa" w:w="2340"/>
            <w:vAlign w:val="center"/>
          </w:tcPr>
          <w:p>
            <w:r>
              <w:t>Quality of hire / 12-month retention</w:t>
            </w:r>
          </w:p>
        </w:tc>
        <w:tc>
          <w:tcPr>
            <w:tcW w:type="dxa" w:w="2340"/>
            <w:vAlign w:val="center"/>
          </w:tcPr>
          <w:p>
            <w:r>
              <w:t>Tests whether recruitment creates sustainable capability</w:t>
            </w:r>
          </w:p>
        </w:tc>
        <w:tc>
          <w:tcPr>
            <w:tcW w:type="dxa" w:w="2340"/>
            <w:vAlign w:val="center"/>
          </w:tcPr>
          <w:p>
            <w:r>
              <w:t>Quarterly</w:t>
            </w:r>
          </w:p>
        </w:tc>
      </w:tr>
      <w:tr>
        <w:tc>
          <w:tcPr>
            <w:tcW w:type="dxa" w:w="2340"/>
            <w:vAlign w:val="center"/>
          </w:tcPr>
          <w:p>
            <w:r>
              <w:t>Learning</w:t>
            </w:r>
          </w:p>
        </w:tc>
        <w:tc>
          <w:tcPr>
            <w:tcW w:type="dxa" w:w="2340"/>
            <w:vAlign w:val="center"/>
          </w:tcPr>
          <w:p>
            <w:r>
              <w:t>Skill proficiency and application</w:t>
            </w:r>
          </w:p>
        </w:tc>
        <w:tc>
          <w:tcPr>
            <w:tcW w:type="dxa" w:w="2340"/>
            <w:vAlign w:val="center"/>
          </w:tcPr>
          <w:p>
            <w:r>
              <w:t>Connects training to real capability change</w:t>
            </w:r>
          </w:p>
        </w:tc>
        <w:tc>
          <w:tcPr>
            <w:tcW w:type="dxa" w:w="2340"/>
            <w:vAlign w:val="center"/>
          </w:tcPr>
          <w:p>
            <w:r>
              <w:t>Quarterly</w:t>
            </w:r>
          </w:p>
        </w:tc>
      </w:tr>
      <w:tr>
        <w:tc>
          <w:tcPr>
            <w:tcW w:type="dxa" w:w="2340"/>
            <w:vAlign w:val="center"/>
          </w:tcPr>
          <w:p>
            <w:r>
              <w:t>Talent</w:t>
            </w:r>
          </w:p>
        </w:tc>
        <w:tc>
          <w:tcPr>
            <w:tcW w:type="dxa" w:w="2340"/>
            <w:vAlign w:val="center"/>
          </w:tcPr>
          <w:p>
            <w:r>
              <w:t>Internal mobility / succession coverage</w:t>
            </w:r>
          </w:p>
        </w:tc>
        <w:tc>
          <w:tcPr>
            <w:tcW w:type="dxa" w:w="2340"/>
            <w:vAlign w:val="center"/>
          </w:tcPr>
          <w:p>
            <w:r>
              <w:t>Reduces dependency on external hiring for critical roles</w:t>
            </w:r>
          </w:p>
        </w:tc>
        <w:tc>
          <w:tcPr>
            <w:tcW w:type="dxa" w:w="2340"/>
            <w:vAlign w:val="center"/>
          </w:tcPr>
          <w:p>
            <w:r>
              <w:t>Biannual</w:t>
            </w:r>
          </w:p>
        </w:tc>
      </w:tr>
      <w:tr>
        <w:tc>
          <w:tcPr>
            <w:tcW w:type="dxa" w:w="2340"/>
            <w:vAlign w:val="center"/>
          </w:tcPr>
          <w:p>
            <w:r>
              <w:t>Engagement</w:t>
            </w:r>
          </w:p>
        </w:tc>
        <w:tc>
          <w:tcPr>
            <w:tcW w:type="dxa" w:w="2340"/>
            <w:vAlign w:val="center"/>
          </w:tcPr>
          <w:p>
            <w:r>
              <w:t>Engagement and trust indicators</w:t>
            </w:r>
          </w:p>
        </w:tc>
        <w:tc>
          <w:tcPr>
            <w:tcW w:type="dxa" w:w="2340"/>
            <w:vAlign w:val="center"/>
          </w:tcPr>
          <w:p>
            <w:r>
              <w:t>Identifies conditions affecting discretionary contribution</w:t>
            </w:r>
          </w:p>
        </w:tc>
        <w:tc>
          <w:tcPr>
            <w:tcW w:type="dxa" w:w="2340"/>
            <w:vAlign w:val="center"/>
          </w:tcPr>
          <w:p>
            <w:r>
              <w:t>Biannual</w:t>
            </w:r>
          </w:p>
        </w:tc>
      </w:tr>
      <w:tr>
        <w:tc>
          <w:tcPr>
            <w:tcW w:type="dxa" w:w="2340"/>
            <w:vAlign w:val="center"/>
          </w:tcPr>
          <w:p>
            <w:r>
              <w:t>Performance</w:t>
            </w:r>
          </w:p>
        </w:tc>
        <w:tc>
          <w:tcPr>
            <w:tcW w:type="dxa" w:w="2340"/>
            <w:vAlign w:val="center"/>
          </w:tcPr>
          <w:p>
            <w:r>
              <w:t>Goal achievement / productivity / quality</w:t>
            </w:r>
          </w:p>
        </w:tc>
        <w:tc>
          <w:tcPr>
            <w:tcW w:type="dxa" w:w="2340"/>
            <w:vAlign w:val="center"/>
          </w:tcPr>
          <w:p>
            <w:r>
              <w:t>Connects employee contribution to business outcomes</w:t>
            </w:r>
          </w:p>
        </w:tc>
        <w:tc>
          <w:tcPr>
            <w:tcW w:type="dxa" w:w="2340"/>
            <w:vAlign w:val="center"/>
          </w:tcPr>
          <w:p>
            <w:r>
              <w:t>Monthly/Quarterly</w:t>
            </w:r>
          </w:p>
        </w:tc>
      </w:tr>
      <w:tr>
        <w:tc>
          <w:tcPr>
            <w:tcW w:type="dxa" w:w="2340"/>
            <w:vAlign w:val="center"/>
          </w:tcPr>
          <w:p>
            <w:r>
              <w:t>Retention</w:t>
            </w:r>
          </w:p>
        </w:tc>
        <w:tc>
          <w:tcPr>
            <w:tcW w:type="dxa" w:w="2340"/>
            <w:vAlign w:val="center"/>
          </w:tcPr>
          <w:p>
            <w:r>
              <w:t>Regrettable turnover in critical roles</w:t>
            </w:r>
          </w:p>
        </w:tc>
        <w:tc>
          <w:tcPr>
            <w:tcW w:type="dxa" w:w="2340"/>
            <w:vAlign w:val="center"/>
          </w:tcPr>
          <w:p>
            <w:r>
              <w:t>Protects scarce knowledge and capability</w:t>
            </w:r>
          </w:p>
        </w:tc>
        <w:tc>
          <w:tcPr>
            <w:tcW w:type="dxa" w:w="2340"/>
            <w:vAlign w:val="center"/>
          </w:tcPr>
          <w:p>
            <w:r>
              <w:t>Monthly</w:t>
            </w:r>
          </w:p>
        </w:tc>
      </w:tr>
      <w:tr>
        <w:tc>
          <w:tcPr>
            <w:tcW w:type="dxa" w:w="2340"/>
            <w:vAlign w:val="center"/>
          </w:tcPr>
          <w:p>
            <w:r>
              <w:t>Wellbeing</w:t>
            </w:r>
          </w:p>
        </w:tc>
        <w:tc>
          <w:tcPr>
            <w:tcW w:type="dxa" w:w="2340"/>
            <w:vAlign w:val="center"/>
          </w:tcPr>
          <w:p>
            <w:r>
              <w:t>Absence / wellbeing indicators</w:t>
            </w:r>
          </w:p>
        </w:tc>
        <w:tc>
          <w:tcPr>
            <w:tcW w:type="dxa" w:w="2340"/>
            <w:vAlign w:val="center"/>
          </w:tcPr>
          <w:p>
            <w:r>
              <w:t>Supports sustainable performance and workforce health</w:t>
            </w:r>
          </w:p>
        </w:tc>
        <w:tc>
          <w:tcPr>
            <w:tcW w:type="dxa" w:w="2340"/>
            <w:vAlign w:val="center"/>
          </w:tcPr>
          <w:p>
            <w:r>
              <w:t>Quarterly</w:t>
            </w:r>
          </w:p>
        </w:tc>
      </w:tr>
    </w:tbl>
    <w:p>
      <w:pPr>
        <w:pStyle w:val="Heading1"/>
        <w:spacing w:line="480" w:lineRule="auto"/>
      </w:pPr>
      <w:r>
        <w:t>Academic Use Note</w:t>
      </w:r>
    </w:p>
    <w:p>
      <w:r>
        <w:rPr>
          <w:rFonts w:ascii="Times New Roman" w:hAnsi="Times New Roman"/>
          <w:b w:val="0"/>
          <w:i w:val="0"/>
          <w:sz w:val="24"/>
        </w:rPr>
        <w:t>This report is a structured draft based on the assessment brief and cited academic/organisational sources. Before submission, the student should personalise the title page, check the institution's required APA version, confirm any module-specific marking requirements, and add or adjust examples discussed in class.</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t xml:space="preserve">Page </w:t>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