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81BBAB" w14:textId="77777777" w:rsidR="007B0219" w:rsidRPr="007B3AED" w:rsidRDefault="007B0219" w:rsidP="007B0219">
      <w:pPr>
        <w:spacing w:line="480" w:lineRule="auto"/>
        <w:jc w:val="center"/>
        <w:rPr>
          <w:rFonts w:ascii="Arial Narrow" w:hAnsi="Arial Narrow" w:cs="Times New Roman"/>
          <w:szCs w:val="24"/>
        </w:rPr>
      </w:pPr>
      <w:r w:rsidRPr="007B3AED">
        <w:rPr>
          <w:rFonts w:ascii="Arial Narrow" w:hAnsi="Arial Narrow" w:cs="Times New Roman"/>
          <w:noProof/>
          <w:szCs w:val="24"/>
        </w:rPr>
        <w:drawing>
          <wp:inline distT="0" distB="0" distL="0" distR="0" wp14:anchorId="27EB1D73" wp14:editId="01D594A8">
            <wp:extent cx="2476846" cy="733527"/>
            <wp:effectExtent l="0" t="0" r="0" b="9525"/>
            <wp:docPr id="1058718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18101" name=""/>
                    <pic:cNvPicPr/>
                  </pic:nvPicPr>
                  <pic:blipFill>
                    <a:blip r:embed="rId4"/>
                    <a:stretch>
                      <a:fillRect/>
                    </a:stretch>
                  </pic:blipFill>
                  <pic:spPr>
                    <a:xfrm>
                      <a:off x="0" y="0"/>
                      <a:ext cx="2476846" cy="733527"/>
                    </a:xfrm>
                    <a:prstGeom prst="rect">
                      <a:avLst/>
                    </a:prstGeom>
                  </pic:spPr>
                </pic:pic>
              </a:graphicData>
            </a:graphic>
          </wp:inline>
        </w:drawing>
      </w:r>
    </w:p>
    <w:p w14:paraId="210952DC" w14:textId="77777777" w:rsidR="007B0219" w:rsidRPr="007B3AED" w:rsidRDefault="007B0219" w:rsidP="007B0219">
      <w:pPr>
        <w:spacing w:line="480" w:lineRule="auto"/>
        <w:jc w:val="center"/>
        <w:rPr>
          <w:rFonts w:ascii="Arial Narrow" w:hAnsi="Arial Narrow" w:cs="Times New Roman"/>
          <w:b/>
          <w:bCs/>
          <w:szCs w:val="24"/>
        </w:rPr>
      </w:pPr>
      <w:proofErr w:type="spellStart"/>
      <w:r w:rsidRPr="007B3AED">
        <w:rPr>
          <w:rFonts w:ascii="Arial Narrow" w:hAnsi="Arial Narrow" w:cs="Times New Roman"/>
          <w:b/>
          <w:bCs/>
          <w:szCs w:val="24"/>
        </w:rPr>
        <w:t>Accouting</w:t>
      </w:r>
      <w:proofErr w:type="spellEnd"/>
      <w:r w:rsidRPr="007B3AED">
        <w:rPr>
          <w:rFonts w:ascii="Arial Narrow" w:hAnsi="Arial Narrow" w:cs="Times New Roman"/>
          <w:b/>
          <w:bCs/>
          <w:szCs w:val="24"/>
        </w:rPr>
        <w:t xml:space="preserve"> Fundamentals February BATTBM</w:t>
      </w:r>
    </w:p>
    <w:p w14:paraId="7DBC7D30" w14:textId="77777777" w:rsidR="007B0219" w:rsidRPr="007B3AED" w:rsidRDefault="007B0219" w:rsidP="007B0219">
      <w:pPr>
        <w:spacing w:line="480" w:lineRule="auto"/>
        <w:jc w:val="center"/>
        <w:rPr>
          <w:rFonts w:ascii="Arial Narrow" w:hAnsi="Arial Narrow" w:cs="Times New Roman"/>
          <w:b/>
          <w:bCs/>
          <w:szCs w:val="24"/>
        </w:rPr>
      </w:pPr>
      <w:r w:rsidRPr="007B3AED">
        <w:rPr>
          <w:rFonts w:ascii="Arial Narrow" w:hAnsi="Arial Narrow" w:cs="Times New Roman"/>
          <w:b/>
          <w:bCs/>
          <w:szCs w:val="24"/>
        </w:rPr>
        <w:drawing>
          <wp:inline distT="0" distB="0" distL="0" distR="0" wp14:anchorId="79B49644" wp14:editId="1FF5B97A">
            <wp:extent cx="5943600" cy="3217545"/>
            <wp:effectExtent l="0" t="0" r="0" b="1905"/>
            <wp:docPr id="918623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2303" name=""/>
                    <pic:cNvPicPr/>
                  </pic:nvPicPr>
                  <pic:blipFill>
                    <a:blip r:embed="rId5"/>
                    <a:stretch>
                      <a:fillRect/>
                    </a:stretch>
                  </pic:blipFill>
                  <pic:spPr>
                    <a:xfrm>
                      <a:off x="0" y="0"/>
                      <a:ext cx="5943600" cy="3217545"/>
                    </a:xfrm>
                    <a:prstGeom prst="rect">
                      <a:avLst/>
                    </a:prstGeom>
                  </pic:spPr>
                </pic:pic>
              </a:graphicData>
            </a:graphic>
          </wp:inline>
        </w:drawing>
      </w:r>
    </w:p>
    <w:p w14:paraId="431B8E47" w14:textId="77777777" w:rsidR="007B0219" w:rsidRPr="007B3AED" w:rsidRDefault="007B0219" w:rsidP="007B0219">
      <w:pPr>
        <w:spacing w:line="480" w:lineRule="auto"/>
        <w:jc w:val="center"/>
        <w:rPr>
          <w:rFonts w:ascii="Arial Narrow" w:hAnsi="Arial Narrow" w:cs="Times New Roman"/>
          <w:b/>
          <w:bCs/>
          <w:szCs w:val="24"/>
        </w:rPr>
      </w:pPr>
    </w:p>
    <w:p w14:paraId="132E0CBE" w14:textId="77777777" w:rsidR="007B0219" w:rsidRPr="007B3AED" w:rsidRDefault="007B0219" w:rsidP="007B0219">
      <w:pPr>
        <w:spacing w:line="480" w:lineRule="auto"/>
        <w:jc w:val="center"/>
        <w:rPr>
          <w:rFonts w:ascii="Arial Narrow" w:hAnsi="Arial Narrow" w:cs="Times New Roman"/>
          <w:b/>
          <w:bCs/>
          <w:szCs w:val="24"/>
        </w:rPr>
      </w:pPr>
    </w:p>
    <w:p w14:paraId="68AB8B6B" w14:textId="77777777" w:rsidR="007B0219" w:rsidRPr="007B3AED" w:rsidRDefault="007B0219" w:rsidP="007B0219">
      <w:pPr>
        <w:spacing w:line="480" w:lineRule="auto"/>
        <w:jc w:val="center"/>
        <w:rPr>
          <w:rFonts w:ascii="Arial Narrow" w:hAnsi="Arial Narrow" w:cs="Times New Roman"/>
          <w:b/>
          <w:bCs/>
          <w:szCs w:val="24"/>
        </w:rPr>
      </w:pPr>
    </w:p>
    <w:p w14:paraId="18108322" w14:textId="77777777" w:rsidR="007B0219" w:rsidRPr="007B3AED" w:rsidRDefault="007B0219" w:rsidP="007B0219">
      <w:pPr>
        <w:spacing w:line="480" w:lineRule="auto"/>
        <w:jc w:val="center"/>
        <w:rPr>
          <w:rFonts w:ascii="Arial Narrow" w:hAnsi="Arial Narrow" w:cs="Times New Roman"/>
          <w:b/>
          <w:bCs/>
          <w:szCs w:val="24"/>
        </w:rPr>
      </w:pPr>
    </w:p>
    <w:p w14:paraId="4C835B1C" w14:textId="77777777" w:rsidR="007B0219" w:rsidRPr="007B3AED" w:rsidRDefault="007B0219" w:rsidP="007B0219">
      <w:pPr>
        <w:spacing w:line="480" w:lineRule="auto"/>
        <w:jc w:val="center"/>
        <w:rPr>
          <w:rFonts w:ascii="Arial Narrow" w:hAnsi="Arial Narrow" w:cs="Times New Roman"/>
          <w:b/>
          <w:bCs/>
          <w:szCs w:val="24"/>
        </w:rPr>
      </w:pPr>
    </w:p>
    <w:p w14:paraId="664B1E02" w14:textId="77777777" w:rsidR="007B0219" w:rsidRPr="007B3AED" w:rsidRDefault="007B0219" w:rsidP="007B0219">
      <w:pPr>
        <w:spacing w:line="480" w:lineRule="auto"/>
        <w:rPr>
          <w:rFonts w:ascii="Arial Narrow" w:hAnsi="Arial Narrow" w:cs="Times New Roman"/>
          <w:b/>
          <w:bCs/>
          <w:szCs w:val="24"/>
        </w:rPr>
      </w:pPr>
    </w:p>
    <w:p w14:paraId="6ACB0E96" w14:textId="77777777" w:rsidR="007B0219" w:rsidRPr="007B3AED" w:rsidRDefault="007B0219" w:rsidP="007B0219">
      <w:pPr>
        <w:spacing w:line="480" w:lineRule="auto"/>
        <w:rPr>
          <w:rFonts w:ascii="Arial Narrow" w:hAnsi="Arial Narrow" w:cs="Times New Roman"/>
          <w:b/>
          <w:bCs/>
          <w:szCs w:val="24"/>
        </w:rPr>
      </w:pPr>
    </w:p>
    <w:p w14:paraId="0AFB84DC" w14:textId="77777777" w:rsidR="007B0219" w:rsidRPr="007B3AED" w:rsidRDefault="007B0219" w:rsidP="007B0219">
      <w:pPr>
        <w:pStyle w:val="Heading2"/>
        <w:rPr>
          <w:rFonts w:ascii="Arial Narrow" w:hAnsi="Arial Narrow" w:cs="Times New Roman"/>
          <w:sz w:val="24"/>
          <w:szCs w:val="24"/>
        </w:rPr>
      </w:pPr>
      <w:bookmarkStart w:id="0" w:name="_Toc224846299"/>
      <w:r w:rsidRPr="007B3AED">
        <w:rPr>
          <w:rFonts w:ascii="Arial Narrow" w:hAnsi="Arial Narrow" w:cs="Times New Roman"/>
          <w:sz w:val="24"/>
          <w:szCs w:val="24"/>
        </w:rPr>
        <w:lastRenderedPageBreak/>
        <w:t>Abstract</w:t>
      </w:r>
      <w:bookmarkEnd w:id="0"/>
    </w:p>
    <w:p w14:paraId="6E24A2D8" w14:textId="77777777" w:rsidR="007B0219" w:rsidRPr="007B3AED" w:rsidRDefault="007B0219" w:rsidP="007B0219">
      <w:pPr>
        <w:spacing w:line="480" w:lineRule="auto"/>
        <w:rPr>
          <w:rFonts w:ascii="Arial Narrow" w:hAnsi="Arial Narrow" w:cs="Times New Roman"/>
          <w:b/>
          <w:bCs/>
          <w:szCs w:val="24"/>
        </w:rPr>
      </w:pPr>
    </w:p>
    <w:p w14:paraId="7394169E" w14:textId="77777777" w:rsidR="00D32FB7" w:rsidRPr="007B3AED" w:rsidRDefault="00D32FB7" w:rsidP="00D32FB7">
      <w:pPr>
        <w:spacing w:line="480" w:lineRule="auto"/>
        <w:rPr>
          <w:rFonts w:ascii="Arial Narrow" w:hAnsi="Arial Narrow" w:cs="Times New Roman"/>
          <w:szCs w:val="24"/>
        </w:rPr>
      </w:pPr>
      <w:r w:rsidRPr="007B3AED">
        <w:rPr>
          <w:rFonts w:ascii="Arial Narrow" w:hAnsi="Arial Narrow" w:cs="Times New Roman"/>
          <w:szCs w:val="24"/>
        </w:rPr>
        <w:t>The present report takes a critical look at higher theoretical ideas of accounting and their applicability in business today. It starts with a discussion of the development of core principles, most notably accounting equation, and its interpretation has grown as the financial environment became progressively more complicated. It also examines the comparative systems of the International Financial Reporting Standards (IFRS) and Generally Accepted Accounting Principles (GAAP) in terms of their implication on the quality of financial reporting, comparability, and international decision-making.</w:t>
      </w:r>
    </w:p>
    <w:p w14:paraId="13349294" w14:textId="77777777" w:rsidR="00D32FB7" w:rsidRPr="007B3AED" w:rsidRDefault="00D32FB7" w:rsidP="00D32FB7">
      <w:pPr>
        <w:spacing w:line="480" w:lineRule="auto"/>
        <w:rPr>
          <w:rFonts w:ascii="Arial Narrow" w:hAnsi="Arial Narrow" w:cs="Times New Roman"/>
          <w:szCs w:val="24"/>
        </w:rPr>
      </w:pPr>
    </w:p>
    <w:p w14:paraId="62E7EFE3" w14:textId="77777777" w:rsidR="00D32FB7" w:rsidRPr="007B3AED" w:rsidRDefault="00D32FB7" w:rsidP="00D32FB7">
      <w:pPr>
        <w:spacing w:line="480" w:lineRule="auto"/>
        <w:rPr>
          <w:rFonts w:ascii="Arial Narrow" w:hAnsi="Arial Narrow" w:cs="Times New Roman"/>
          <w:szCs w:val="24"/>
        </w:rPr>
      </w:pPr>
      <w:r w:rsidRPr="007B3AED">
        <w:rPr>
          <w:rFonts w:ascii="Arial Narrow" w:hAnsi="Arial Narrow" w:cs="Times New Roman"/>
          <w:szCs w:val="24"/>
        </w:rPr>
        <w:t>Corporate governance role is also examined with a focus on its relevance in facilitating ethical accounting practices, improving transparency and protecting the interests of stakeholders. The report also examines the interdependence between the major financial statements; balance sheet, income statement, and cash flow statement and how they are integrated to form a complete picture of the financial health of an organization.</w:t>
      </w:r>
    </w:p>
    <w:p w14:paraId="76EAB32D" w14:textId="77777777" w:rsidR="00D32FB7" w:rsidRPr="007B3AED" w:rsidRDefault="00D32FB7" w:rsidP="00D32FB7">
      <w:pPr>
        <w:spacing w:line="480" w:lineRule="auto"/>
        <w:rPr>
          <w:rFonts w:ascii="Arial Narrow" w:hAnsi="Arial Narrow" w:cs="Times New Roman"/>
          <w:szCs w:val="24"/>
        </w:rPr>
      </w:pPr>
    </w:p>
    <w:p w14:paraId="24E8ABC7" w14:textId="77777777" w:rsidR="00D32FB7" w:rsidRPr="007B3AED" w:rsidRDefault="00D32FB7" w:rsidP="00D32FB7">
      <w:pPr>
        <w:spacing w:line="480" w:lineRule="auto"/>
        <w:rPr>
          <w:rFonts w:ascii="Arial Narrow" w:hAnsi="Arial Narrow" w:cs="Times New Roman"/>
          <w:szCs w:val="24"/>
        </w:rPr>
      </w:pPr>
      <w:r w:rsidRPr="007B3AED">
        <w:rPr>
          <w:rFonts w:ascii="Arial Narrow" w:hAnsi="Arial Narrow" w:cs="Times New Roman"/>
          <w:szCs w:val="24"/>
        </w:rPr>
        <w:t>Fair value measurement, asset impairment, and off-balance-sheet financing as the more advanced concepts of accounting are discussed with references to practical examples of how they are used in the real world and what risks may be involved. In general, this report is a critical and practical insight into how modern accounting systems can be used to make informed business decisions in a world characterized by globalization, regulatory diversity, and financial complexity.</w:t>
      </w:r>
    </w:p>
    <w:p w14:paraId="0E8817C8" w14:textId="77777777" w:rsidR="007B0219" w:rsidRPr="007B3AED" w:rsidRDefault="007B0219" w:rsidP="007B0219">
      <w:pPr>
        <w:spacing w:line="480" w:lineRule="auto"/>
        <w:rPr>
          <w:rFonts w:ascii="Arial Narrow" w:hAnsi="Arial Narrow" w:cs="Times New Roman"/>
          <w:szCs w:val="24"/>
        </w:rPr>
      </w:pPr>
    </w:p>
    <w:sdt>
      <w:sdtPr>
        <w:rPr>
          <w:rFonts w:ascii="Arial Narrow" w:eastAsiaTheme="minorHAnsi" w:hAnsi="Arial Narrow" w:cs="Times New Roman"/>
          <w:color w:val="auto"/>
          <w:kern w:val="2"/>
          <w:sz w:val="24"/>
          <w:szCs w:val="24"/>
          <w:lang w:val="en-GB" w:bidi="hi-IN"/>
          <w14:ligatures w14:val="standardContextual"/>
        </w:rPr>
        <w:id w:val="671619869"/>
        <w:docPartObj>
          <w:docPartGallery w:val="Table of Contents"/>
          <w:docPartUnique/>
        </w:docPartObj>
      </w:sdtPr>
      <w:sdtEndPr>
        <w:rPr>
          <w:b/>
          <w:bCs/>
          <w:noProof/>
        </w:rPr>
      </w:sdtEndPr>
      <w:sdtContent>
        <w:p w14:paraId="160508EF" w14:textId="77777777" w:rsidR="007B0219" w:rsidRPr="007B3AED" w:rsidRDefault="007B0219" w:rsidP="007B0219">
          <w:pPr>
            <w:pStyle w:val="TOCHeading"/>
            <w:rPr>
              <w:rFonts w:ascii="Arial Narrow" w:hAnsi="Arial Narrow" w:cs="Times New Roman"/>
              <w:sz w:val="24"/>
              <w:szCs w:val="24"/>
            </w:rPr>
          </w:pPr>
          <w:r w:rsidRPr="007B3AED">
            <w:rPr>
              <w:rFonts w:ascii="Arial Narrow" w:hAnsi="Arial Narrow" w:cs="Times New Roman"/>
              <w:sz w:val="24"/>
              <w:szCs w:val="24"/>
            </w:rPr>
            <w:t>Contents</w:t>
          </w:r>
        </w:p>
        <w:p w14:paraId="5A3471EB" w14:textId="77777777" w:rsidR="007B0219" w:rsidRPr="007B3AED" w:rsidRDefault="007B0219" w:rsidP="007B0219">
          <w:pPr>
            <w:pStyle w:val="TOC2"/>
            <w:tabs>
              <w:tab w:val="right" w:leader="dot" w:pos="9350"/>
            </w:tabs>
            <w:rPr>
              <w:rFonts w:ascii="Arial Narrow" w:hAnsi="Arial Narrow" w:cs="Times New Roman"/>
              <w:noProof/>
              <w:szCs w:val="24"/>
            </w:rPr>
          </w:pPr>
          <w:r w:rsidRPr="007B3AED">
            <w:rPr>
              <w:rFonts w:ascii="Arial Narrow" w:hAnsi="Arial Narrow" w:cs="Times New Roman"/>
              <w:szCs w:val="24"/>
            </w:rPr>
            <w:fldChar w:fldCharType="begin"/>
          </w:r>
          <w:r w:rsidRPr="007B3AED">
            <w:rPr>
              <w:rFonts w:ascii="Arial Narrow" w:hAnsi="Arial Narrow" w:cs="Times New Roman"/>
              <w:szCs w:val="24"/>
            </w:rPr>
            <w:instrText xml:space="preserve"> TOC \o "1-3" \h \z \u </w:instrText>
          </w:r>
          <w:r w:rsidRPr="007B3AED">
            <w:rPr>
              <w:rFonts w:ascii="Arial Narrow" w:hAnsi="Arial Narrow" w:cs="Times New Roman"/>
              <w:szCs w:val="24"/>
            </w:rPr>
            <w:fldChar w:fldCharType="separate"/>
          </w:r>
          <w:hyperlink w:anchor="_Toc224846299" w:history="1">
            <w:r w:rsidRPr="007B3AED">
              <w:rPr>
                <w:rStyle w:val="Hyperlink"/>
                <w:rFonts w:ascii="Arial Narrow" w:hAnsi="Arial Narrow" w:cs="Times New Roman"/>
                <w:noProof/>
                <w:szCs w:val="24"/>
              </w:rPr>
              <w:t>Abstract</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_Toc224846299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2</w:t>
            </w:r>
            <w:r w:rsidRPr="007B3AED">
              <w:rPr>
                <w:rFonts w:ascii="Arial Narrow" w:hAnsi="Arial Narrow" w:cs="Times New Roman"/>
                <w:noProof/>
                <w:webHidden/>
                <w:szCs w:val="24"/>
              </w:rPr>
              <w:fldChar w:fldCharType="end"/>
            </w:r>
          </w:hyperlink>
        </w:p>
        <w:p w14:paraId="29032DF2"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0" w:history="1">
            <w:r w:rsidRPr="007B3AED">
              <w:rPr>
                <w:rStyle w:val="Hyperlink"/>
                <w:rFonts w:ascii="Arial Narrow" w:hAnsi="Arial Narrow" w:cs="Times New Roman"/>
                <w:noProof/>
                <w:szCs w:val="24"/>
              </w:rPr>
              <w:t>Introduction</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_Toc224846300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4</w:t>
            </w:r>
            <w:r w:rsidRPr="007B3AED">
              <w:rPr>
                <w:rFonts w:ascii="Arial Narrow" w:hAnsi="Arial Narrow" w:cs="Times New Roman"/>
                <w:noProof/>
                <w:webHidden/>
                <w:szCs w:val="24"/>
              </w:rPr>
              <w:fldChar w:fldCharType="end"/>
            </w:r>
          </w:hyperlink>
        </w:p>
        <w:p w14:paraId="7A067421"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1" w:history="1">
            <w:r w:rsidRPr="007B3AED">
              <w:rPr>
                <w:rStyle w:val="Hyperlink"/>
                <w:rFonts w:ascii="Arial Narrow" w:hAnsi="Arial Narrow" w:cs="Times New Roman"/>
                <w:noProof/>
                <w:szCs w:val="24"/>
              </w:rPr>
              <w:t>Literature Review</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_Toc224846301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6</w:t>
            </w:r>
            <w:r w:rsidRPr="007B3AED">
              <w:rPr>
                <w:rFonts w:ascii="Arial Narrow" w:hAnsi="Arial Narrow" w:cs="Times New Roman"/>
                <w:noProof/>
                <w:webHidden/>
                <w:szCs w:val="24"/>
              </w:rPr>
              <w:fldChar w:fldCharType="end"/>
            </w:r>
          </w:hyperlink>
        </w:p>
        <w:p w14:paraId="64A2004F"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2" w:history="1">
            <w:r w:rsidRPr="007B3AED">
              <w:rPr>
                <w:rStyle w:val="Hyperlink"/>
                <w:rFonts w:ascii="Arial Narrow" w:hAnsi="Arial Narrow" w:cs="Times New Roman"/>
                <w:noProof/>
                <w:szCs w:val="24"/>
              </w:rPr>
              <w:t>Methodology</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_Toc224846302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9</w:t>
            </w:r>
            <w:r w:rsidRPr="007B3AED">
              <w:rPr>
                <w:rFonts w:ascii="Arial Narrow" w:hAnsi="Arial Narrow" w:cs="Times New Roman"/>
                <w:noProof/>
                <w:webHidden/>
                <w:szCs w:val="24"/>
              </w:rPr>
              <w:fldChar w:fldCharType="end"/>
            </w:r>
          </w:hyperlink>
        </w:p>
        <w:p w14:paraId="35F2CD50"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3" w:history="1">
            <w:r w:rsidRPr="007B3AED">
              <w:rPr>
                <w:rStyle w:val="Hyperlink"/>
                <w:rFonts w:ascii="Arial Narrow" w:hAnsi="Arial Narrow" w:cs="Times New Roman"/>
                <w:noProof/>
                <w:szCs w:val="24"/>
              </w:rPr>
              <w:t>Methodology</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_Toc224846303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11</w:t>
            </w:r>
            <w:r w:rsidRPr="007B3AED">
              <w:rPr>
                <w:rFonts w:ascii="Arial Narrow" w:hAnsi="Arial Narrow" w:cs="Times New Roman"/>
                <w:noProof/>
                <w:webHidden/>
                <w:szCs w:val="24"/>
              </w:rPr>
              <w:fldChar w:fldCharType="end"/>
            </w:r>
          </w:hyperlink>
        </w:p>
        <w:p w14:paraId="3EBB3E25"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4" w:history="1">
            <w:r w:rsidRPr="007B3AED">
              <w:rPr>
                <w:rStyle w:val="Hyperlink"/>
                <w:rFonts w:ascii="Arial Narrow" w:hAnsi="Arial Narrow" w:cs="Times New Roman"/>
                <w:noProof/>
                <w:szCs w:val="24"/>
              </w:rPr>
              <w:t>Findings</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_Toc224846304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13</w:t>
            </w:r>
            <w:r w:rsidRPr="007B3AED">
              <w:rPr>
                <w:rFonts w:ascii="Arial Narrow" w:hAnsi="Arial Narrow" w:cs="Times New Roman"/>
                <w:noProof/>
                <w:webHidden/>
                <w:szCs w:val="24"/>
              </w:rPr>
              <w:fldChar w:fldCharType="end"/>
            </w:r>
          </w:hyperlink>
        </w:p>
        <w:p w14:paraId="304BE13E"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5" w:history="1">
            <w:r w:rsidRPr="007B3AED">
              <w:rPr>
                <w:rStyle w:val="Hyperlink"/>
                <w:rFonts w:ascii="Arial Narrow" w:hAnsi="Arial Narrow" w:cs="Times New Roman"/>
                <w:noProof/>
                <w:szCs w:val="24"/>
              </w:rPr>
              <w:t>Discussion</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_Toc224846305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16</w:t>
            </w:r>
            <w:r w:rsidRPr="007B3AED">
              <w:rPr>
                <w:rFonts w:ascii="Arial Narrow" w:hAnsi="Arial Narrow" w:cs="Times New Roman"/>
                <w:noProof/>
                <w:webHidden/>
                <w:szCs w:val="24"/>
              </w:rPr>
              <w:fldChar w:fldCharType="end"/>
            </w:r>
          </w:hyperlink>
        </w:p>
        <w:p w14:paraId="6A0CCC28"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6" w:history="1">
            <w:r w:rsidRPr="007B3AED">
              <w:rPr>
                <w:rStyle w:val="Hyperlink"/>
                <w:rFonts w:ascii="Arial Narrow" w:hAnsi="Arial Narrow" w:cs="Times New Roman"/>
                <w:noProof/>
                <w:szCs w:val="24"/>
              </w:rPr>
              <w:t>Conclusion</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_Toc224846306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20</w:t>
            </w:r>
            <w:r w:rsidRPr="007B3AED">
              <w:rPr>
                <w:rFonts w:ascii="Arial Narrow" w:hAnsi="Arial Narrow" w:cs="Times New Roman"/>
                <w:noProof/>
                <w:webHidden/>
                <w:szCs w:val="24"/>
              </w:rPr>
              <w:fldChar w:fldCharType="end"/>
            </w:r>
          </w:hyperlink>
        </w:p>
        <w:p w14:paraId="0801030F" w14:textId="77777777" w:rsidR="007B0219" w:rsidRPr="007B3AED" w:rsidRDefault="007B0219" w:rsidP="007B0219">
          <w:pPr>
            <w:pStyle w:val="TOC2"/>
            <w:tabs>
              <w:tab w:val="right" w:leader="dot" w:pos="9350"/>
            </w:tabs>
            <w:rPr>
              <w:rFonts w:ascii="Arial Narrow" w:hAnsi="Arial Narrow" w:cs="Times New Roman"/>
              <w:noProof/>
              <w:szCs w:val="24"/>
            </w:rPr>
          </w:pPr>
          <w:hyperlink w:anchor="_Toc224846307" w:history="1">
            <w:r w:rsidRPr="007B3AED">
              <w:rPr>
                <w:rStyle w:val="Hyperlink"/>
                <w:rFonts w:ascii="Arial Narrow" w:hAnsi="Arial Narrow" w:cs="Times New Roman"/>
                <w:noProof/>
                <w:szCs w:val="24"/>
              </w:rPr>
              <w:t>References</w:t>
            </w:r>
            <w:r w:rsidRPr="007B3AED">
              <w:rPr>
                <w:rFonts w:ascii="Arial Narrow" w:hAnsi="Arial Narrow" w:cs="Times New Roman"/>
                <w:noProof/>
                <w:webHidden/>
                <w:szCs w:val="24"/>
              </w:rPr>
              <w:tab/>
            </w:r>
            <w:r w:rsidRPr="007B3AED">
              <w:rPr>
                <w:rFonts w:ascii="Arial Narrow" w:hAnsi="Arial Narrow" w:cs="Times New Roman"/>
                <w:noProof/>
                <w:webHidden/>
                <w:szCs w:val="24"/>
              </w:rPr>
              <w:fldChar w:fldCharType="begin"/>
            </w:r>
            <w:r w:rsidRPr="007B3AED">
              <w:rPr>
                <w:rFonts w:ascii="Arial Narrow" w:hAnsi="Arial Narrow" w:cs="Times New Roman"/>
                <w:noProof/>
                <w:webHidden/>
                <w:szCs w:val="24"/>
              </w:rPr>
              <w:instrText xml:space="preserve"> PAGEREF _Toc224846307 \h </w:instrText>
            </w:r>
            <w:r w:rsidRPr="007B3AED">
              <w:rPr>
                <w:rFonts w:ascii="Arial Narrow" w:hAnsi="Arial Narrow" w:cs="Times New Roman"/>
                <w:noProof/>
                <w:webHidden/>
                <w:szCs w:val="24"/>
              </w:rPr>
            </w:r>
            <w:r w:rsidRPr="007B3AED">
              <w:rPr>
                <w:rFonts w:ascii="Arial Narrow" w:hAnsi="Arial Narrow" w:cs="Times New Roman"/>
                <w:noProof/>
                <w:webHidden/>
                <w:szCs w:val="24"/>
              </w:rPr>
              <w:fldChar w:fldCharType="separate"/>
            </w:r>
            <w:r w:rsidRPr="007B3AED">
              <w:rPr>
                <w:rFonts w:ascii="Arial Narrow" w:hAnsi="Arial Narrow" w:cs="Times New Roman"/>
                <w:noProof/>
                <w:webHidden/>
                <w:szCs w:val="24"/>
              </w:rPr>
              <w:t>22</w:t>
            </w:r>
            <w:r w:rsidRPr="007B3AED">
              <w:rPr>
                <w:rFonts w:ascii="Arial Narrow" w:hAnsi="Arial Narrow" w:cs="Times New Roman"/>
                <w:noProof/>
                <w:webHidden/>
                <w:szCs w:val="24"/>
              </w:rPr>
              <w:fldChar w:fldCharType="end"/>
            </w:r>
          </w:hyperlink>
        </w:p>
        <w:p w14:paraId="29DF18D6" w14:textId="77777777" w:rsidR="007B0219" w:rsidRPr="007B3AED" w:rsidRDefault="007B0219" w:rsidP="007B0219">
          <w:pPr>
            <w:rPr>
              <w:rFonts w:ascii="Arial Narrow" w:hAnsi="Arial Narrow" w:cs="Times New Roman"/>
              <w:szCs w:val="24"/>
            </w:rPr>
          </w:pPr>
          <w:r w:rsidRPr="007B3AED">
            <w:rPr>
              <w:rFonts w:ascii="Arial Narrow" w:hAnsi="Arial Narrow" w:cs="Times New Roman"/>
              <w:b/>
              <w:bCs/>
              <w:noProof/>
              <w:szCs w:val="24"/>
            </w:rPr>
            <w:fldChar w:fldCharType="end"/>
          </w:r>
        </w:p>
      </w:sdtContent>
    </w:sdt>
    <w:p w14:paraId="6EC8A108" w14:textId="77777777" w:rsidR="007B0219" w:rsidRPr="007B3AED" w:rsidRDefault="007B0219" w:rsidP="007B0219">
      <w:pPr>
        <w:spacing w:line="480" w:lineRule="auto"/>
        <w:rPr>
          <w:rFonts w:ascii="Arial Narrow" w:hAnsi="Arial Narrow" w:cs="Times New Roman"/>
          <w:b/>
          <w:bCs/>
          <w:szCs w:val="24"/>
        </w:rPr>
      </w:pPr>
    </w:p>
    <w:p w14:paraId="21D6A133" w14:textId="77777777" w:rsidR="007B0219" w:rsidRPr="007B3AED" w:rsidRDefault="007B0219" w:rsidP="007B0219">
      <w:pPr>
        <w:spacing w:line="480" w:lineRule="auto"/>
        <w:rPr>
          <w:rFonts w:ascii="Arial Narrow" w:hAnsi="Arial Narrow" w:cs="Times New Roman"/>
          <w:b/>
          <w:bCs/>
          <w:szCs w:val="24"/>
        </w:rPr>
      </w:pPr>
    </w:p>
    <w:p w14:paraId="41F2ED94" w14:textId="77777777" w:rsidR="007B0219" w:rsidRPr="007B3AED" w:rsidRDefault="007B0219" w:rsidP="007B0219">
      <w:pPr>
        <w:spacing w:line="480" w:lineRule="auto"/>
        <w:rPr>
          <w:rFonts w:ascii="Arial Narrow" w:hAnsi="Arial Narrow" w:cs="Times New Roman"/>
          <w:b/>
          <w:bCs/>
          <w:szCs w:val="24"/>
        </w:rPr>
      </w:pPr>
    </w:p>
    <w:p w14:paraId="1F912E9E" w14:textId="77777777" w:rsidR="007B0219" w:rsidRPr="007B3AED" w:rsidRDefault="007B0219" w:rsidP="007B0219">
      <w:pPr>
        <w:spacing w:line="480" w:lineRule="auto"/>
        <w:rPr>
          <w:rFonts w:ascii="Arial Narrow" w:hAnsi="Arial Narrow" w:cs="Times New Roman"/>
          <w:b/>
          <w:bCs/>
          <w:szCs w:val="24"/>
        </w:rPr>
      </w:pPr>
    </w:p>
    <w:p w14:paraId="1FB633CC" w14:textId="77777777" w:rsidR="007B0219" w:rsidRPr="007B3AED" w:rsidRDefault="007B0219" w:rsidP="007B0219">
      <w:pPr>
        <w:spacing w:line="480" w:lineRule="auto"/>
        <w:rPr>
          <w:rFonts w:ascii="Arial Narrow" w:hAnsi="Arial Narrow" w:cs="Times New Roman"/>
          <w:b/>
          <w:bCs/>
          <w:szCs w:val="24"/>
        </w:rPr>
      </w:pPr>
    </w:p>
    <w:p w14:paraId="2BEDEF21" w14:textId="77777777" w:rsidR="007B0219" w:rsidRPr="007B3AED" w:rsidRDefault="007B0219" w:rsidP="007B0219">
      <w:pPr>
        <w:spacing w:line="480" w:lineRule="auto"/>
        <w:rPr>
          <w:rFonts w:ascii="Arial Narrow" w:hAnsi="Arial Narrow" w:cs="Times New Roman"/>
          <w:b/>
          <w:bCs/>
          <w:szCs w:val="24"/>
        </w:rPr>
      </w:pPr>
    </w:p>
    <w:p w14:paraId="61FB8C8B" w14:textId="77777777" w:rsidR="007B0219" w:rsidRPr="007B3AED" w:rsidRDefault="007B0219" w:rsidP="007B0219">
      <w:pPr>
        <w:spacing w:line="480" w:lineRule="auto"/>
        <w:rPr>
          <w:rFonts w:ascii="Arial Narrow" w:hAnsi="Arial Narrow" w:cs="Times New Roman"/>
          <w:b/>
          <w:bCs/>
          <w:szCs w:val="24"/>
        </w:rPr>
      </w:pPr>
    </w:p>
    <w:p w14:paraId="0A4B9C3F" w14:textId="77777777" w:rsidR="007B0219" w:rsidRPr="007B3AED" w:rsidRDefault="007B0219" w:rsidP="007B0219">
      <w:pPr>
        <w:spacing w:line="480" w:lineRule="auto"/>
        <w:rPr>
          <w:rFonts w:ascii="Arial Narrow" w:hAnsi="Arial Narrow" w:cs="Times New Roman"/>
          <w:b/>
          <w:bCs/>
          <w:szCs w:val="24"/>
        </w:rPr>
      </w:pPr>
    </w:p>
    <w:p w14:paraId="383A0F69" w14:textId="77777777" w:rsidR="007B0219" w:rsidRPr="007B3AED" w:rsidRDefault="007B0219" w:rsidP="007B0219">
      <w:pPr>
        <w:spacing w:line="480" w:lineRule="auto"/>
        <w:rPr>
          <w:rFonts w:ascii="Arial Narrow" w:eastAsiaTheme="majorEastAsia" w:hAnsi="Arial Narrow" w:cs="Times New Roman"/>
          <w:color w:val="0F4761" w:themeColor="accent1" w:themeShade="BF"/>
          <w:szCs w:val="24"/>
        </w:rPr>
      </w:pPr>
    </w:p>
    <w:p w14:paraId="770B5B88" w14:textId="77777777" w:rsidR="001A4EAB" w:rsidRPr="007B3AED" w:rsidRDefault="001A4EAB" w:rsidP="007B0219">
      <w:pPr>
        <w:spacing w:line="480" w:lineRule="auto"/>
        <w:rPr>
          <w:rFonts w:ascii="Arial Narrow" w:eastAsiaTheme="majorEastAsia" w:hAnsi="Arial Narrow" w:cs="Times New Roman"/>
          <w:color w:val="0F4761" w:themeColor="accent1" w:themeShade="BF"/>
          <w:szCs w:val="24"/>
        </w:rPr>
      </w:pPr>
    </w:p>
    <w:p w14:paraId="2A39BD0B" w14:textId="77777777" w:rsidR="001A4EAB" w:rsidRPr="007B3AED" w:rsidRDefault="001A4EAB" w:rsidP="007B0219">
      <w:pPr>
        <w:spacing w:line="480" w:lineRule="auto"/>
        <w:rPr>
          <w:rFonts w:ascii="Arial Narrow" w:eastAsiaTheme="majorEastAsia" w:hAnsi="Arial Narrow" w:cs="Times New Roman"/>
          <w:color w:val="0F4761" w:themeColor="accent1" w:themeShade="BF"/>
          <w:szCs w:val="24"/>
        </w:rPr>
      </w:pPr>
    </w:p>
    <w:p w14:paraId="43539036" w14:textId="77777777" w:rsidR="001A4EAB" w:rsidRPr="007B3AED" w:rsidRDefault="001A4EAB" w:rsidP="007B0219">
      <w:pPr>
        <w:spacing w:line="480" w:lineRule="auto"/>
        <w:rPr>
          <w:rFonts w:ascii="Arial Narrow" w:eastAsiaTheme="majorEastAsia" w:hAnsi="Arial Narrow" w:cs="Times New Roman"/>
          <w:color w:val="0F4761" w:themeColor="accent1" w:themeShade="BF"/>
          <w:szCs w:val="24"/>
        </w:rPr>
      </w:pPr>
    </w:p>
    <w:p w14:paraId="55AC0C16"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lastRenderedPageBreak/>
        <w:t>Introduction</w:t>
      </w:r>
    </w:p>
    <w:p w14:paraId="44588FFE" w14:textId="77777777" w:rsidR="001A4EAB" w:rsidRPr="007B3AED" w:rsidRDefault="001A4EAB" w:rsidP="001A4EAB">
      <w:pPr>
        <w:spacing w:line="480" w:lineRule="auto"/>
        <w:rPr>
          <w:rFonts w:ascii="Arial Narrow" w:hAnsi="Arial Narrow" w:cs="Times New Roman"/>
          <w:szCs w:val="24"/>
        </w:rPr>
      </w:pPr>
    </w:p>
    <w:p w14:paraId="1498E19C"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Accounting has undergone a massive transformation as an entity that merely kept records to one that aids in the strategic </w:t>
      </w:r>
      <w:proofErr w:type="gramStart"/>
      <w:r w:rsidRPr="007B3AED">
        <w:rPr>
          <w:rFonts w:ascii="Arial Narrow" w:hAnsi="Arial Narrow" w:cs="Times New Roman"/>
          <w:szCs w:val="24"/>
        </w:rPr>
        <w:t>decision making</w:t>
      </w:r>
      <w:proofErr w:type="gramEnd"/>
      <w:r w:rsidRPr="007B3AED">
        <w:rPr>
          <w:rFonts w:ascii="Arial Narrow" w:hAnsi="Arial Narrow" w:cs="Times New Roman"/>
          <w:szCs w:val="24"/>
        </w:rPr>
        <w:t xml:space="preserve"> process in contemporary business settings. The basic accounting equation of Assets = Liabilities + Owner Equity is the basic building block of financial reporting. But with the growing global market and the increased sophistication of financial transactions, time-old accounting principles have gone through significant change to stay relevant and trustworthy (</w:t>
      </w:r>
      <w:proofErr w:type="spellStart"/>
      <w:r w:rsidRPr="007B3AED">
        <w:rPr>
          <w:rFonts w:ascii="Arial Narrow" w:hAnsi="Arial Narrow" w:cs="Times New Roman"/>
          <w:szCs w:val="24"/>
        </w:rPr>
        <w:t>Kieso</w:t>
      </w:r>
      <w:proofErr w:type="spellEnd"/>
      <w:r w:rsidRPr="007B3AED">
        <w:rPr>
          <w:rFonts w:ascii="Arial Narrow" w:hAnsi="Arial Narrow" w:cs="Times New Roman"/>
          <w:szCs w:val="24"/>
        </w:rPr>
        <w:t xml:space="preserve"> et al., 2020). Modern accounting has incorporated high level measurements, regulatory, and ethical principles to address the needs of the various stakeholders.</w:t>
      </w:r>
    </w:p>
    <w:p w14:paraId="4813EB73" w14:textId="77777777" w:rsidR="001A4EAB" w:rsidRPr="007B3AED" w:rsidRDefault="001A4EAB" w:rsidP="001A4EAB">
      <w:pPr>
        <w:spacing w:line="480" w:lineRule="auto"/>
        <w:rPr>
          <w:rFonts w:ascii="Arial Narrow" w:hAnsi="Arial Narrow" w:cs="Times New Roman"/>
          <w:szCs w:val="24"/>
        </w:rPr>
      </w:pPr>
    </w:p>
    <w:p w14:paraId="3F3C6315"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Among major changes that have been made in contemporary accounting, global standards like International Financial Reporting Standards (IFRS), which are designed to improve comparability and transparency in international markets should be considered. Generally Accepted Accounting Principles (GAAP), mostly used in the United States, provide more of a rule-oriented approach. These variations in these frameworks have significant implications in financial reporting and investment choices (Barth et al., 2012). Moreover, corporate governance has emerged as a key component in the integrity of financial information as good governance system acts as a deterrent to fraud and ensures accountability (Bushman and Smith, 2001).</w:t>
      </w:r>
    </w:p>
    <w:p w14:paraId="0AB20156" w14:textId="77777777" w:rsidR="001A4EAB" w:rsidRPr="007B3AED" w:rsidRDefault="001A4EAB" w:rsidP="001A4EAB">
      <w:pPr>
        <w:spacing w:line="480" w:lineRule="auto"/>
        <w:rPr>
          <w:rFonts w:ascii="Arial Narrow" w:hAnsi="Arial Narrow" w:cs="Times New Roman"/>
          <w:szCs w:val="24"/>
        </w:rPr>
      </w:pPr>
    </w:p>
    <w:p w14:paraId="69E9F88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Besides that, interrelationship between financial statements, i.e. balance sheet, income statement and cash flow statement, gives a very broad picture of the financial performance and position of an organization. Even more indicative of the growing complexity of financial reporting are the advanced accounting concepts </w:t>
      </w:r>
      <w:r w:rsidRPr="007B3AED">
        <w:rPr>
          <w:rFonts w:ascii="Arial Narrow" w:hAnsi="Arial Narrow" w:cs="Times New Roman"/>
          <w:szCs w:val="24"/>
        </w:rPr>
        <w:lastRenderedPageBreak/>
        <w:t>of fair value accounting, asset impairment, and off-balance-sheet financing. The relevance of these concepts, though making them relevant, also come with issues concerning reliability and transparency in measurements (Penman, 2007).</w:t>
      </w:r>
    </w:p>
    <w:p w14:paraId="4FEFA33D"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In general, the knowledge of these changing accounting principles is critical in the analysis of financial health, ethical business conduct, and informed business decision-making in a dynamic global economy.</w:t>
      </w:r>
    </w:p>
    <w:p w14:paraId="37563959" w14:textId="77777777" w:rsidR="001A4EAB" w:rsidRPr="007B3AED" w:rsidRDefault="001A4EAB" w:rsidP="001A4EAB">
      <w:pPr>
        <w:spacing w:line="480" w:lineRule="auto"/>
        <w:rPr>
          <w:rFonts w:ascii="Arial Narrow" w:hAnsi="Arial Narrow" w:cs="Times New Roman"/>
          <w:szCs w:val="24"/>
        </w:rPr>
      </w:pPr>
    </w:p>
    <w:p w14:paraId="01E2CB2D" w14:textId="77777777" w:rsidR="001A4EAB" w:rsidRPr="007B3AED" w:rsidRDefault="001A4EAB" w:rsidP="001A4EAB">
      <w:pPr>
        <w:spacing w:line="480" w:lineRule="auto"/>
        <w:rPr>
          <w:rFonts w:ascii="Arial Narrow" w:hAnsi="Arial Narrow" w:cs="Times New Roman"/>
          <w:szCs w:val="24"/>
        </w:rPr>
      </w:pPr>
    </w:p>
    <w:p w14:paraId="7499278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Literature Review</w:t>
      </w:r>
    </w:p>
    <w:p w14:paraId="328E705D" w14:textId="77777777" w:rsidR="001A4EAB" w:rsidRPr="007B3AED" w:rsidRDefault="001A4EAB" w:rsidP="001A4EAB">
      <w:pPr>
        <w:spacing w:line="480" w:lineRule="auto"/>
        <w:rPr>
          <w:rFonts w:ascii="Arial Narrow" w:hAnsi="Arial Narrow" w:cs="Times New Roman"/>
          <w:szCs w:val="24"/>
        </w:rPr>
      </w:pPr>
    </w:p>
    <w:p w14:paraId="1D79762E"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The history of accounting theory indicates the rising complexity of business settings and the rise in the need of transparency, comparability and reliability in business reporting. Financial reporting has long been based on traditional concepts of accounting, especially the accounting equation (Assets = Liabilities + Owner’s Equity). Nevertheless, researchers state that this framework has been broadly extended to include contemporary financial instruments, international transactions and regulatory imperatives (</w:t>
      </w:r>
      <w:proofErr w:type="spellStart"/>
      <w:r w:rsidRPr="007B3AED">
        <w:rPr>
          <w:rFonts w:ascii="Arial Narrow" w:hAnsi="Arial Narrow" w:cs="Times New Roman"/>
          <w:szCs w:val="24"/>
        </w:rPr>
        <w:t>Kieso</w:t>
      </w:r>
      <w:proofErr w:type="spellEnd"/>
      <w:r w:rsidRPr="007B3AED">
        <w:rPr>
          <w:rFonts w:ascii="Arial Narrow" w:hAnsi="Arial Narrow" w:cs="Times New Roman"/>
          <w:szCs w:val="24"/>
        </w:rPr>
        <w:t xml:space="preserve"> et al., 2020). The change in accounting approach towards more </w:t>
      </w:r>
      <w:proofErr w:type="gramStart"/>
      <w:r w:rsidRPr="007B3AED">
        <w:rPr>
          <w:rFonts w:ascii="Arial Narrow" w:hAnsi="Arial Narrow" w:cs="Times New Roman"/>
          <w:szCs w:val="24"/>
        </w:rPr>
        <w:t>market oriented</w:t>
      </w:r>
      <w:proofErr w:type="gramEnd"/>
      <w:r w:rsidRPr="007B3AED">
        <w:rPr>
          <w:rFonts w:ascii="Arial Narrow" w:hAnsi="Arial Narrow" w:cs="Times New Roman"/>
          <w:szCs w:val="24"/>
        </w:rPr>
        <w:t xml:space="preserve"> accounting methods shows the dynamism in accounting theory.</w:t>
      </w:r>
    </w:p>
    <w:p w14:paraId="57B786BF" w14:textId="77777777" w:rsidR="001A4EAB" w:rsidRPr="007B3AED" w:rsidRDefault="001A4EAB" w:rsidP="001A4EAB">
      <w:pPr>
        <w:spacing w:line="480" w:lineRule="auto"/>
        <w:rPr>
          <w:rFonts w:ascii="Arial Narrow" w:hAnsi="Arial Narrow" w:cs="Times New Roman"/>
          <w:szCs w:val="24"/>
        </w:rPr>
      </w:pPr>
    </w:p>
    <w:p w14:paraId="36B92487"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transition to the use of International Financial Reporting Standards (IFRS) and the comparison with Generally Accepted Accounting Principles (GAAP) is one of the most widely discussed developments of accounting literature. It is stated that IFRS can be said to be more flexible and more open to professional judgment compared to GAAP, which is more rule-based and offers in-depth guidelines to apply to </w:t>
      </w:r>
      <w:proofErr w:type="gramStart"/>
      <w:r w:rsidRPr="007B3AED">
        <w:rPr>
          <w:rFonts w:ascii="Arial Narrow" w:hAnsi="Arial Narrow" w:cs="Times New Roman"/>
          <w:szCs w:val="24"/>
        </w:rPr>
        <w:t xml:space="preserve">particular </w:t>
      </w:r>
      <w:r w:rsidRPr="007B3AED">
        <w:rPr>
          <w:rFonts w:ascii="Arial Narrow" w:hAnsi="Arial Narrow" w:cs="Times New Roman"/>
          <w:szCs w:val="24"/>
        </w:rPr>
        <w:lastRenderedPageBreak/>
        <w:t>situations</w:t>
      </w:r>
      <w:proofErr w:type="gramEnd"/>
      <w:r w:rsidRPr="007B3AED">
        <w:rPr>
          <w:rFonts w:ascii="Arial Narrow" w:hAnsi="Arial Narrow" w:cs="Times New Roman"/>
          <w:szCs w:val="24"/>
        </w:rPr>
        <w:t xml:space="preserve"> (Barth et al., 2012). The studies indicate that the adoption of IFRS enhances the quality of financial reporting by enhancing comparability and minimizing information asymmetry among the investors (Barth et al., 2012). Nevertheless, critics believe that the augmented use of judgment as a part of IFRS can create disparity and can be manipulated without effective governance systems (Soderstrom and Sun, 2007).</w:t>
      </w:r>
    </w:p>
    <w:p w14:paraId="77BB3265" w14:textId="77777777" w:rsidR="001A4EAB" w:rsidRPr="007B3AED" w:rsidRDefault="001A4EAB" w:rsidP="001A4EAB">
      <w:pPr>
        <w:spacing w:line="480" w:lineRule="auto"/>
        <w:rPr>
          <w:rFonts w:ascii="Arial Narrow" w:hAnsi="Arial Narrow" w:cs="Times New Roman"/>
          <w:szCs w:val="24"/>
        </w:rPr>
      </w:pPr>
    </w:p>
    <w:p w14:paraId="63894759"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Corporate governance has become a focus within accounting studies especially concerning financial transparency and ethical reporting. According to Bushman and Smith (2001), quality financial accounting information is an important aspect in corporate governance as it minimizes the agency problem between shareholders and managers. Good governance frameworks such as independent boards, audit committees, etc., lead to better financial reporting and minimized risk of fraud. Equally, Healy and Palepu (2001) emphasize that both disclosure and regulatory control play vital roles in reducing information asymmetry and increasing investor confidence. Incorporation of both governance and accounting practices is thus essential in ensuring financial systems integrity.</w:t>
      </w:r>
    </w:p>
    <w:p w14:paraId="24830883" w14:textId="77777777" w:rsidR="001A4EAB" w:rsidRPr="007B3AED" w:rsidRDefault="001A4EAB" w:rsidP="001A4EAB">
      <w:pPr>
        <w:spacing w:line="480" w:lineRule="auto"/>
        <w:rPr>
          <w:rFonts w:ascii="Arial Narrow" w:hAnsi="Arial Narrow" w:cs="Times New Roman"/>
          <w:szCs w:val="24"/>
        </w:rPr>
      </w:pPr>
    </w:p>
    <w:p w14:paraId="51EA41A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other important area of study is interrelationship of financial statements. The balance sheet, income statement and cash flow statement are not standalone </w:t>
      </w:r>
      <w:proofErr w:type="gramStart"/>
      <w:r w:rsidRPr="007B3AED">
        <w:rPr>
          <w:rFonts w:ascii="Arial Narrow" w:hAnsi="Arial Narrow" w:cs="Times New Roman"/>
          <w:szCs w:val="24"/>
        </w:rPr>
        <w:t>documents</w:t>
      </w:r>
      <w:proofErr w:type="gramEnd"/>
      <w:r w:rsidRPr="007B3AED">
        <w:rPr>
          <w:rFonts w:ascii="Arial Narrow" w:hAnsi="Arial Narrow" w:cs="Times New Roman"/>
          <w:szCs w:val="24"/>
        </w:rPr>
        <w:t xml:space="preserve"> and they are interdependent units that give a complete picture of the financial health of an organization. According to Penman (2007), these relationships are crucial towards assessing the firm performance and future cash flow. As an example, net income in the income statement will have a direct impact on retained earnings in the balance sheet, whereas cash flow statements will give information on liquidity and operational efficiency. Such </w:t>
      </w:r>
      <w:r w:rsidRPr="007B3AED">
        <w:rPr>
          <w:rFonts w:ascii="Arial Narrow" w:hAnsi="Arial Narrow" w:cs="Times New Roman"/>
          <w:szCs w:val="24"/>
        </w:rPr>
        <w:lastRenderedPageBreak/>
        <w:t>interconnectedness boosts the analytical quality of financial reports and enables a more informed decision-making.</w:t>
      </w:r>
    </w:p>
    <w:p w14:paraId="22E4DEF6" w14:textId="77777777" w:rsidR="001A4EAB" w:rsidRPr="007B3AED" w:rsidRDefault="001A4EAB" w:rsidP="001A4EAB">
      <w:pPr>
        <w:spacing w:line="480" w:lineRule="auto"/>
        <w:rPr>
          <w:rFonts w:ascii="Arial Narrow" w:hAnsi="Arial Narrow" w:cs="Times New Roman"/>
          <w:szCs w:val="24"/>
        </w:rPr>
      </w:pPr>
    </w:p>
    <w:p w14:paraId="414A478D"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literature also underscores the increased relevance of higher accounting concepts like fair value accounting. In some circumstances, fair value measurement, which represents current market conditions, is said to be more relevant than historical cost accounting, especially when financial instruments are involved (Penman, 2007). Nonetheless, its accuracy has been called into question, particularly in times when the market is volatile. Opponents believe that fair value accounting is subjective and may enhance earnings volatility, which may also occur at the expense of misleading stakeholders (Laux &amp; </w:t>
      </w:r>
      <w:proofErr w:type="spellStart"/>
      <w:r w:rsidRPr="007B3AED">
        <w:rPr>
          <w:rFonts w:ascii="Arial Narrow" w:hAnsi="Arial Narrow" w:cs="Times New Roman"/>
          <w:szCs w:val="24"/>
        </w:rPr>
        <w:t>Leuz</w:t>
      </w:r>
      <w:proofErr w:type="spellEnd"/>
      <w:r w:rsidRPr="007B3AED">
        <w:rPr>
          <w:rFonts w:ascii="Arial Narrow" w:hAnsi="Arial Narrow" w:cs="Times New Roman"/>
          <w:szCs w:val="24"/>
        </w:rPr>
        <w:t xml:space="preserve">, 2009). </w:t>
      </w:r>
      <w:proofErr w:type="gramStart"/>
      <w:r w:rsidRPr="007B3AED">
        <w:rPr>
          <w:rFonts w:ascii="Arial Narrow" w:hAnsi="Arial Narrow" w:cs="Times New Roman"/>
          <w:szCs w:val="24"/>
        </w:rPr>
        <w:t>In spite of</w:t>
      </w:r>
      <w:proofErr w:type="gramEnd"/>
      <w:r w:rsidRPr="007B3AED">
        <w:rPr>
          <w:rFonts w:ascii="Arial Narrow" w:hAnsi="Arial Narrow" w:cs="Times New Roman"/>
          <w:szCs w:val="24"/>
        </w:rPr>
        <w:t xml:space="preserve"> these concerns, advocates argue that fair value offers decision-useful information in time and especially in volatile financial markets.</w:t>
      </w:r>
    </w:p>
    <w:p w14:paraId="59A7D14D" w14:textId="77777777" w:rsidR="001A4EAB" w:rsidRPr="007B3AED" w:rsidRDefault="001A4EAB" w:rsidP="001A4EAB">
      <w:pPr>
        <w:spacing w:line="480" w:lineRule="auto"/>
        <w:rPr>
          <w:rFonts w:ascii="Arial Narrow" w:hAnsi="Arial Narrow" w:cs="Times New Roman"/>
          <w:szCs w:val="24"/>
        </w:rPr>
      </w:pPr>
    </w:p>
    <w:p w14:paraId="16155217"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Another important concept covered in the accounting literature is asset impairment. Impairment accounting makes sure that assets are not </w:t>
      </w:r>
      <w:proofErr w:type="spellStart"/>
      <w:r w:rsidRPr="007B3AED">
        <w:rPr>
          <w:rFonts w:ascii="Arial Narrow" w:hAnsi="Arial Narrow" w:cs="Times New Roman"/>
          <w:szCs w:val="24"/>
        </w:rPr>
        <w:t>not</w:t>
      </w:r>
      <w:proofErr w:type="spellEnd"/>
      <w:r w:rsidRPr="007B3AED">
        <w:rPr>
          <w:rFonts w:ascii="Arial Narrow" w:hAnsi="Arial Narrow" w:cs="Times New Roman"/>
          <w:szCs w:val="24"/>
        </w:rPr>
        <w:t xml:space="preserve"> carried at higher values than they are </w:t>
      </w:r>
      <w:proofErr w:type="gramStart"/>
      <w:r w:rsidRPr="007B3AED">
        <w:rPr>
          <w:rFonts w:ascii="Arial Narrow" w:hAnsi="Arial Narrow" w:cs="Times New Roman"/>
          <w:szCs w:val="24"/>
        </w:rPr>
        <w:t>recoverable, and</w:t>
      </w:r>
      <w:proofErr w:type="gramEnd"/>
      <w:r w:rsidRPr="007B3AED">
        <w:rPr>
          <w:rFonts w:ascii="Arial Narrow" w:hAnsi="Arial Narrow" w:cs="Times New Roman"/>
          <w:szCs w:val="24"/>
        </w:rPr>
        <w:t xml:space="preserve"> thus makes financial statements more accurate. Research has shown that impairment testing enhances the relevance of financial information, though it can also carry with </w:t>
      </w:r>
      <w:proofErr w:type="gramStart"/>
      <w:r w:rsidRPr="007B3AED">
        <w:rPr>
          <w:rFonts w:ascii="Arial Narrow" w:hAnsi="Arial Narrow" w:cs="Times New Roman"/>
          <w:szCs w:val="24"/>
        </w:rPr>
        <w:t>it</w:t>
      </w:r>
      <w:proofErr w:type="gramEnd"/>
      <w:r w:rsidRPr="007B3AED">
        <w:rPr>
          <w:rFonts w:ascii="Arial Narrow" w:hAnsi="Arial Narrow" w:cs="Times New Roman"/>
          <w:szCs w:val="24"/>
        </w:rPr>
        <w:t xml:space="preserve"> manager discretion that can be applied when it suits (</w:t>
      </w:r>
      <w:proofErr w:type="spellStart"/>
      <w:r w:rsidRPr="007B3AED">
        <w:rPr>
          <w:rFonts w:ascii="Arial Narrow" w:hAnsi="Arial Narrow" w:cs="Times New Roman"/>
          <w:szCs w:val="24"/>
        </w:rPr>
        <w:t>Ramanna</w:t>
      </w:r>
      <w:proofErr w:type="spellEnd"/>
      <w:r w:rsidRPr="007B3AED">
        <w:rPr>
          <w:rFonts w:ascii="Arial Narrow" w:hAnsi="Arial Narrow" w:cs="Times New Roman"/>
          <w:szCs w:val="24"/>
        </w:rPr>
        <w:t xml:space="preserve"> and Watts, 2012). This underscores the strength of auditing and regulatory control to represent financial information faithfully.</w:t>
      </w:r>
    </w:p>
    <w:p w14:paraId="4AFAEB09" w14:textId="77777777" w:rsidR="001A4EAB" w:rsidRPr="007B3AED" w:rsidRDefault="001A4EAB" w:rsidP="001A4EAB">
      <w:pPr>
        <w:spacing w:line="480" w:lineRule="auto"/>
        <w:rPr>
          <w:rFonts w:ascii="Arial Narrow" w:hAnsi="Arial Narrow" w:cs="Times New Roman"/>
          <w:szCs w:val="24"/>
        </w:rPr>
      </w:pPr>
    </w:p>
    <w:p w14:paraId="17179855"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Financing which is off balance sheet has also received significant attention based on its implications on financial transparency. The practice will enable firms to leave some liabilities and assets off the balance sheets, which may misrepresent the real financial status of the company. The fall of Enron remains one of </w:t>
      </w:r>
      <w:r w:rsidRPr="007B3AED">
        <w:rPr>
          <w:rFonts w:ascii="Arial Narrow" w:hAnsi="Arial Narrow" w:cs="Times New Roman"/>
          <w:szCs w:val="24"/>
        </w:rPr>
        <w:lastRenderedPageBreak/>
        <w:t>the most famous instances of using off-balance-sheet arrangements to commit accounting frauds, causing greater regulatory attention and changes (Healy and Palepu, 2003). Later standards, like IFRS 16 on leases, have been attempting to enhance transparency by obliging companies to include off-balance-sheet items.</w:t>
      </w:r>
    </w:p>
    <w:p w14:paraId="7F3BA31B" w14:textId="77777777" w:rsidR="001A4EAB" w:rsidRPr="007B3AED" w:rsidRDefault="001A4EAB" w:rsidP="001A4EAB">
      <w:pPr>
        <w:spacing w:line="480" w:lineRule="auto"/>
        <w:rPr>
          <w:rFonts w:ascii="Arial Narrow" w:hAnsi="Arial Narrow" w:cs="Times New Roman"/>
          <w:szCs w:val="24"/>
        </w:rPr>
      </w:pPr>
    </w:p>
    <w:p w14:paraId="2DED45C9" w14:textId="77777777" w:rsidR="001A4EAB" w:rsidRPr="007B3AED" w:rsidRDefault="001A4EAB" w:rsidP="001A4EAB">
      <w:pPr>
        <w:spacing w:line="480" w:lineRule="auto"/>
        <w:rPr>
          <w:rFonts w:ascii="Arial Narrow" w:hAnsi="Arial Narrow" w:cs="Times New Roman"/>
          <w:szCs w:val="24"/>
        </w:rPr>
      </w:pPr>
      <w:proofErr w:type="gramStart"/>
      <w:r w:rsidRPr="007B3AED">
        <w:rPr>
          <w:rFonts w:ascii="Arial Narrow" w:hAnsi="Arial Narrow" w:cs="Times New Roman"/>
          <w:szCs w:val="24"/>
        </w:rPr>
        <w:t>On the whole</w:t>
      </w:r>
      <w:proofErr w:type="gramEnd"/>
      <w:r w:rsidRPr="007B3AED">
        <w:rPr>
          <w:rFonts w:ascii="Arial Narrow" w:hAnsi="Arial Narrow" w:cs="Times New Roman"/>
          <w:szCs w:val="24"/>
        </w:rPr>
        <w:t xml:space="preserve">, the literature suggests that the current accounting practices are influenced by the necessity to strike the required balance between relevance and reliability and respond to the challenges of globalization and financial innovation. Although frameworks like IFRS have enhanced comparability, their performance requires enforcement, governance, and ethical standards. High accounting principles such as fair value measurement, impairment, and off- balance-sheet financing augment the informational value of financial statements but also present complexities that need to be closely regulated with professional judgment. Therefore, the modern accounting theory is continuously developing </w:t>
      </w:r>
      <w:proofErr w:type="gramStart"/>
      <w:r w:rsidRPr="007B3AED">
        <w:rPr>
          <w:rFonts w:ascii="Arial Narrow" w:hAnsi="Arial Narrow" w:cs="Times New Roman"/>
          <w:szCs w:val="24"/>
        </w:rPr>
        <w:t>as a result of</w:t>
      </w:r>
      <w:proofErr w:type="gramEnd"/>
      <w:r w:rsidRPr="007B3AED">
        <w:rPr>
          <w:rFonts w:ascii="Arial Narrow" w:hAnsi="Arial Narrow" w:cs="Times New Roman"/>
          <w:szCs w:val="24"/>
        </w:rPr>
        <w:t xml:space="preserve"> the ever-evolving economic, technological, and ethical demands of stakeholders.</w:t>
      </w:r>
    </w:p>
    <w:p w14:paraId="029AF6FB" w14:textId="77777777" w:rsidR="001A4EAB" w:rsidRPr="007B3AED" w:rsidRDefault="001A4EAB" w:rsidP="001A4EAB">
      <w:pPr>
        <w:spacing w:line="480" w:lineRule="auto"/>
        <w:rPr>
          <w:rFonts w:ascii="Arial Narrow" w:hAnsi="Arial Narrow" w:cs="Times New Roman"/>
          <w:szCs w:val="24"/>
        </w:rPr>
      </w:pPr>
    </w:p>
    <w:p w14:paraId="0E01AF30" w14:textId="77777777" w:rsidR="001A4EAB" w:rsidRPr="007B3AED" w:rsidRDefault="001A4EAB" w:rsidP="001A4EAB">
      <w:pPr>
        <w:spacing w:line="480" w:lineRule="auto"/>
        <w:rPr>
          <w:rFonts w:ascii="Arial Narrow" w:hAnsi="Arial Narrow" w:cs="Times New Roman"/>
          <w:szCs w:val="24"/>
        </w:rPr>
      </w:pPr>
    </w:p>
    <w:p w14:paraId="71AA7A29"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Methodology</w:t>
      </w:r>
    </w:p>
    <w:p w14:paraId="341D70CE" w14:textId="77777777" w:rsidR="001A4EAB" w:rsidRPr="007B3AED" w:rsidRDefault="001A4EAB" w:rsidP="001A4EAB">
      <w:pPr>
        <w:spacing w:line="480" w:lineRule="auto"/>
        <w:rPr>
          <w:rFonts w:ascii="Arial Narrow" w:hAnsi="Arial Narrow" w:cs="Times New Roman"/>
          <w:szCs w:val="24"/>
        </w:rPr>
      </w:pPr>
    </w:p>
    <w:p w14:paraId="687D56B1"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This paper is a qualitative research approach in which it critically </w:t>
      </w:r>
      <w:proofErr w:type="spellStart"/>
      <w:r w:rsidRPr="007B3AED">
        <w:rPr>
          <w:rFonts w:ascii="Arial Narrow" w:hAnsi="Arial Narrow" w:cs="Times New Roman"/>
          <w:szCs w:val="24"/>
        </w:rPr>
        <w:t>analyzes</w:t>
      </w:r>
      <w:proofErr w:type="spellEnd"/>
      <w:r w:rsidRPr="007B3AED">
        <w:rPr>
          <w:rFonts w:ascii="Arial Narrow" w:hAnsi="Arial Narrow" w:cs="Times New Roman"/>
          <w:szCs w:val="24"/>
        </w:rPr>
        <w:t xml:space="preserve"> the superior theoretical ideas of accounting and how they are applied in the contemporary business environment. The qualitative design is deemed the right one because the study aims at examining current theories, frameworks, and practices, instead of gathering numerical data. The paper is based mainly on secondary data provided by peer-</w:t>
      </w:r>
      <w:r w:rsidRPr="007B3AED">
        <w:rPr>
          <w:rFonts w:ascii="Arial Narrow" w:hAnsi="Arial Narrow" w:cs="Times New Roman"/>
          <w:szCs w:val="24"/>
        </w:rPr>
        <w:lastRenderedPageBreak/>
        <w:t>reviewed journal articles, scholarly textbooks and authoritative accounting standards existing in the regulations of boards like the International Accounting Standards Board (IASB) and the Financial Accounting Standards Board (FASB).</w:t>
      </w:r>
    </w:p>
    <w:p w14:paraId="2B73A58F" w14:textId="77777777" w:rsidR="001A4EAB" w:rsidRPr="007B3AED" w:rsidRDefault="001A4EAB" w:rsidP="001A4EAB">
      <w:pPr>
        <w:spacing w:line="480" w:lineRule="auto"/>
        <w:rPr>
          <w:rFonts w:ascii="Arial Narrow" w:hAnsi="Arial Narrow" w:cs="Times New Roman"/>
          <w:szCs w:val="24"/>
        </w:rPr>
      </w:pPr>
    </w:p>
    <w:p w14:paraId="0EA32FF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study adheres to a methodical literature review approach to locate, </w:t>
      </w:r>
      <w:proofErr w:type="spellStart"/>
      <w:r w:rsidRPr="007B3AED">
        <w:rPr>
          <w:rFonts w:ascii="Arial Narrow" w:hAnsi="Arial Narrow" w:cs="Times New Roman"/>
          <w:szCs w:val="24"/>
        </w:rPr>
        <w:t>analyze</w:t>
      </w:r>
      <w:proofErr w:type="spellEnd"/>
      <w:r w:rsidRPr="007B3AED">
        <w:rPr>
          <w:rFonts w:ascii="Arial Narrow" w:hAnsi="Arial Narrow" w:cs="Times New Roman"/>
          <w:szCs w:val="24"/>
        </w:rPr>
        <w:t xml:space="preserve">, and generalize the scholarly work pertaining to the main accounting concepts. The sources were chosen </w:t>
      </w:r>
      <w:proofErr w:type="gramStart"/>
      <w:r w:rsidRPr="007B3AED">
        <w:rPr>
          <w:rFonts w:ascii="Arial Narrow" w:hAnsi="Arial Narrow" w:cs="Times New Roman"/>
          <w:szCs w:val="24"/>
        </w:rPr>
        <w:t>on the basis of</w:t>
      </w:r>
      <w:proofErr w:type="gramEnd"/>
      <w:r w:rsidRPr="007B3AED">
        <w:rPr>
          <w:rFonts w:ascii="Arial Narrow" w:hAnsi="Arial Narrow" w:cs="Times New Roman"/>
          <w:szCs w:val="24"/>
        </w:rPr>
        <w:t xml:space="preserve"> their relevance, credibility, and input to the sphere of accounting theory and practice. Scholarly articles were identified in databases like Google Scholar, JSTOR, and ScienceDirect, with preference being given to the more recent articles in the databases to capture the most current views. There were also seminal works to give background knowledge and theoretical background. The keywords employed during the search included accounting equation evolution, IFRS vs GAAP, corporate governance in accounting, fair value accounting, and off-balance sheet financing.</w:t>
      </w:r>
    </w:p>
    <w:p w14:paraId="25733E51" w14:textId="77777777" w:rsidR="001A4EAB" w:rsidRPr="007B3AED" w:rsidRDefault="001A4EAB" w:rsidP="001A4EAB">
      <w:pPr>
        <w:spacing w:line="480" w:lineRule="auto"/>
        <w:rPr>
          <w:rFonts w:ascii="Arial Narrow" w:hAnsi="Arial Narrow" w:cs="Times New Roman"/>
          <w:szCs w:val="24"/>
        </w:rPr>
      </w:pPr>
    </w:p>
    <w:p w14:paraId="512A7660"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The study uses critical analysis framework to guarantee reliability and validity. This entails the comparison of various opinions brought out in the literature, the identification of similarities and differences, and the consideration of the implications of the various accounting practices. The IFRS and GAAP comparative analysis is presented through the examination of conceptual frameworks, application rules, and impacts on the quality of financial reporting reported. Likewise, corporate governance has been evaluated based on the study of an academic debate of transparency, accountability and ethical conduct.</w:t>
      </w:r>
    </w:p>
    <w:p w14:paraId="650C2F9E" w14:textId="77777777" w:rsidR="001A4EAB" w:rsidRPr="007B3AED" w:rsidRDefault="001A4EAB" w:rsidP="001A4EAB">
      <w:pPr>
        <w:spacing w:line="480" w:lineRule="auto"/>
        <w:rPr>
          <w:rFonts w:ascii="Arial Narrow" w:hAnsi="Arial Narrow" w:cs="Times New Roman"/>
          <w:szCs w:val="24"/>
        </w:rPr>
      </w:pPr>
    </w:p>
    <w:p w14:paraId="1F8BAC1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 conceptual analysis of financial statements is also included in the methodology and is concerned with the interrelationship of balance sheet, income statement and cash flow statement. This is done by combining </w:t>
      </w:r>
      <w:r w:rsidRPr="007B3AED">
        <w:rPr>
          <w:rFonts w:ascii="Arial Narrow" w:hAnsi="Arial Narrow" w:cs="Times New Roman"/>
          <w:szCs w:val="24"/>
        </w:rPr>
        <w:lastRenderedPageBreak/>
        <w:t>theoretical explanations and practical examples based on existing literature. Further, more complex accounting ideas, including fair value measurement, asset impairment, and off-balance-sheet financing, are discussed using case-based information provided by previous literature and business case studies.</w:t>
      </w:r>
    </w:p>
    <w:p w14:paraId="4C55090D" w14:textId="77777777" w:rsidR="001A4EAB" w:rsidRPr="007B3AED" w:rsidRDefault="001A4EAB" w:rsidP="001A4EAB">
      <w:pPr>
        <w:spacing w:line="480" w:lineRule="auto"/>
        <w:rPr>
          <w:rFonts w:ascii="Arial Narrow" w:hAnsi="Arial Narrow" w:cs="Times New Roman"/>
          <w:szCs w:val="24"/>
        </w:rPr>
      </w:pPr>
    </w:p>
    <w:p w14:paraId="754921BE"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 weakness of this methodology is that it uses secondary data, which are likely to be biased by the underlying studies. In addition, the lack of primary data collection implies that the results are not empirical, but interpretative. This weakness is, however, alleviated through the adoption of a wide scope of credible and peer-reviewed sources </w:t>
      </w:r>
      <w:proofErr w:type="gramStart"/>
      <w:r w:rsidRPr="007B3AED">
        <w:rPr>
          <w:rFonts w:ascii="Arial Narrow" w:hAnsi="Arial Narrow" w:cs="Times New Roman"/>
          <w:szCs w:val="24"/>
        </w:rPr>
        <w:t>in order to</w:t>
      </w:r>
      <w:proofErr w:type="gramEnd"/>
      <w:r w:rsidRPr="007B3AED">
        <w:rPr>
          <w:rFonts w:ascii="Arial Narrow" w:hAnsi="Arial Narrow" w:cs="Times New Roman"/>
          <w:szCs w:val="24"/>
        </w:rPr>
        <w:t xml:space="preserve"> provide a balanced and comprehensive analysis.</w:t>
      </w:r>
    </w:p>
    <w:p w14:paraId="11A0770E" w14:textId="77777777" w:rsidR="001A4EAB" w:rsidRPr="007B3AED" w:rsidRDefault="001A4EAB" w:rsidP="001A4EAB">
      <w:pPr>
        <w:spacing w:line="480" w:lineRule="auto"/>
        <w:rPr>
          <w:rFonts w:ascii="Arial Narrow" w:hAnsi="Arial Narrow" w:cs="Times New Roman"/>
          <w:szCs w:val="24"/>
        </w:rPr>
      </w:pPr>
    </w:p>
    <w:p w14:paraId="5403FF7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On balance, this methodology offers a systematic and organized way to investigate the higher accounting ideas, which allows a critical analysis of their theoretical framework and their practical implementation in the contemporary business contexts.</w:t>
      </w:r>
    </w:p>
    <w:p w14:paraId="386C7EF4" w14:textId="77777777" w:rsidR="001A4EAB" w:rsidRPr="007B3AED" w:rsidRDefault="001A4EAB" w:rsidP="001A4EAB">
      <w:pPr>
        <w:spacing w:line="480" w:lineRule="auto"/>
        <w:rPr>
          <w:rFonts w:ascii="Arial Narrow" w:hAnsi="Arial Narrow" w:cs="Times New Roman"/>
          <w:szCs w:val="24"/>
        </w:rPr>
      </w:pPr>
    </w:p>
    <w:p w14:paraId="354F20BF" w14:textId="77777777" w:rsidR="001A4EAB" w:rsidRPr="007B3AED" w:rsidRDefault="001A4EAB" w:rsidP="001A4EAB">
      <w:pPr>
        <w:spacing w:line="480" w:lineRule="auto"/>
        <w:rPr>
          <w:rFonts w:ascii="Arial Narrow" w:hAnsi="Arial Narrow" w:cs="Times New Roman"/>
          <w:szCs w:val="24"/>
        </w:rPr>
      </w:pPr>
    </w:p>
    <w:p w14:paraId="37A80B84"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Findings</w:t>
      </w:r>
    </w:p>
    <w:p w14:paraId="44CE8F69" w14:textId="77777777" w:rsidR="001A4EAB" w:rsidRPr="007B3AED" w:rsidRDefault="001A4EAB" w:rsidP="001A4EAB">
      <w:pPr>
        <w:spacing w:line="480" w:lineRule="auto"/>
        <w:rPr>
          <w:rFonts w:ascii="Arial Narrow" w:hAnsi="Arial Narrow" w:cs="Times New Roman"/>
          <w:szCs w:val="24"/>
        </w:rPr>
      </w:pPr>
    </w:p>
    <w:p w14:paraId="43607B6C"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literature review shows that accounting has experienced a great change </w:t>
      </w:r>
      <w:proofErr w:type="gramStart"/>
      <w:r w:rsidRPr="007B3AED">
        <w:rPr>
          <w:rFonts w:ascii="Arial Narrow" w:hAnsi="Arial Narrow" w:cs="Times New Roman"/>
          <w:szCs w:val="24"/>
        </w:rPr>
        <w:t>in order to</w:t>
      </w:r>
      <w:proofErr w:type="gramEnd"/>
      <w:r w:rsidRPr="007B3AED">
        <w:rPr>
          <w:rFonts w:ascii="Arial Narrow" w:hAnsi="Arial Narrow" w:cs="Times New Roman"/>
          <w:szCs w:val="24"/>
        </w:rPr>
        <w:t xml:space="preserve"> meet the dynamics of present business situations. Among the major findings is that the traditional accounting equation is still basic but is used in a different manner now to support complex financial instruments and international transactions. Although the equation (Assets = Liabilities + Owner’s Equity) remains a core part of financial </w:t>
      </w:r>
      <w:r w:rsidRPr="007B3AED">
        <w:rPr>
          <w:rFonts w:ascii="Arial Narrow" w:hAnsi="Arial Narrow" w:cs="Times New Roman"/>
          <w:szCs w:val="24"/>
        </w:rPr>
        <w:lastRenderedPageBreak/>
        <w:t>reporting, it is now interpreted with fair value adjustments, contingent liabilities, and intangible assets because financial position is now understood as more dynamic (</w:t>
      </w:r>
      <w:proofErr w:type="spellStart"/>
      <w:r w:rsidRPr="007B3AED">
        <w:rPr>
          <w:rFonts w:ascii="Arial Narrow" w:hAnsi="Arial Narrow" w:cs="Times New Roman"/>
          <w:szCs w:val="24"/>
        </w:rPr>
        <w:t>Kieso</w:t>
      </w:r>
      <w:proofErr w:type="spellEnd"/>
      <w:r w:rsidRPr="007B3AED">
        <w:rPr>
          <w:rFonts w:ascii="Arial Narrow" w:hAnsi="Arial Narrow" w:cs="Times New Roman"/>
          <w:szCs w:val="24"/>
        </w:rPr>
        <w:t xml:space="preserve"> et al., 2020).</w:t>
      </w:r>
    </w:p>
    <w:p w14:paraId="676BB4A0" w14:textId="77777777" w:rsidR="001A4EAB" w:rsidRPr="007B3AED" w:rsidRDefault="001A4EAB" w:rsidP="001A4EAB">
      <w:pPr>
        <w:spacing w:line="480" w:lineRule="auto"/>
        <w:rPr>
          <w:rFonts w:ascii="Arial Narrow" w:hAnsi="Arial Narrow" w:cs="Times New Roman"/>
          <w:szCs w:val="24"/>
        </w:rPr>
      </w:pPr>
    </w:p>
    <w:p w14:paraId="29FD4886"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One major observation of this study is the increasing supremacy of International Financial Reporting Standards (IFRS) in international accounting. The adoption of the IFRS has enhanced comparability and transparency in the international markets and has enabled investors and stakeholders to </w:t>
      </w:r>
      <w:proofErr w:type="spellStart"/>
      <w:r w:rsidRPr="007B3AED">
        <w:rPr>
          <w:rFonts w:ascii="Arial Narrow" w:hAnsi="Arial Narrow" w:cs="Times New Roman"/>
          <w:szCs w:val="24"/>
        </w:rPr>
        <w:t>analyze</w:t>
      </w:r>
      <w:proofErr w:type="spellEnd"/>
      <w:r w:rsidRPr="007B3AED">
        <w:rPr>
          <w:rFonts w:ascii="Arial Narrow" w:hAnsi="Arial Narrow" w:cs="Times New Roman"/>
          <w:szCs w:val="24"/>
        </w:rPr>
        <w:t xml:space="preserve"> international financial statements in a relatively easier way. It has been empirically observed that companies that switch to IFRS have better accounting quality and less information asymmetry (Barth et al., 2012). Nonetheless, the results also outline that the subjectivity of IFRS principles-based approach may result in differences in interpretation and even irregularities in financial reporting (Soderstrom and Sun, 2007). By comparison, the rules-based framework of GAAP offers greater detail, minimizing the ambiguity but occasionally constraining flexibility in dealing with unique financial situations.</w:t>
      </w:r>
    </w:p>
    <w:p w14:paraId="74D413D2" w14:textId="77777777" w:rsidR="001A4EAB" w:rsidRPr="007B3AED" w:rsidRDefault="001A4EAB" w:rsidP="001A4EAB">
      <w:pPr>
        <w:spacing w:line="480" w:lineRule="auto"/>
        <w:rPr>
          <w:rFonts w:ascii="Arial Narrow" w:hAnsi="Arial Narrow" w:cs="Times New Roman"/>
          <w:szCs w:val="24"/>
        </w:rPr>
      </w:pPr>
    </w:p>
    <w:p w14:paraId="070942A6"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The research also concludes that corporate governance can be instrumental in the reliability and integrity of the accounting information. Sound governance systems including independent audit committees and well-developed internal controls play a significant role in mitigating the risks of financial misreporting and fraud. Evidence has shown that companies that have good governance frameworks tend to be more successful in generating clear and quality financial statements (Bushman and Smith, 2001). In addition, governance structures facilitate the alignment of the interests of the management and the shareholders, reducing agency issues and promoting accountability.</w:t>
      </w:r>
    </w:p>
    <w:p w14:paraId="094E8864" w14:textId="77777777" w:rsidR="001A4EAB" w:rsidRPr="007B3AED" w:rsidRDefault="001A4EAB" w:rsidP="001A4EAB">
      <w:pPr>
        <w:spacing w:line="480" w:lineRule="auto"/>
        <w:rPr>
          <w:rFonts w:ascii="Arial Narrow" w:hAnsi="Arial Narrow" w:cs="Times New Roman"/>
          <w:szCs w:val="24"/>
        </w:rPr>
      </w:pPr>
    </w:p>
    <w:p w14:paraId="24D30CA4"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lastRenderedPageBreak/>
        <w:t>The other significant observation is the relationship between the financial statements and their overall contribution to the evaluation of financial soundness. Balance sheet, income statement, and cash flow statement are inseparable, and their combination gives the complete picture of the performance of an organization. To illustrate this, net income in the income statement has a direct effect on retained earnings in the balance sheet and cash flow statements indicate the liquidity implications of operating, investing, and financing. This interrelation allows stakeholders to make better decisions in terms of analysis of profitability and cash flow sustenance (Penman, 2007).</w:t>
      </w:r>
    </w:p>
    <w:p w14:paraId="4F98BEC7" w14:textId="77777777" w:rsidR="001A4EAB" w:rsidRPr="007B3AED" w:rsidRDefault="001A4EAB" w:rsidP="001A4EAB">
      <w:pPr>
        <w:spacing w:line="480" w:lineRule="auto"/>
        <w:rPr>
          <w:rFonts w:ascii="Arial Narrow" w:hAnsi="Arial Narrow" w:cs="Times New Roman"/>
          <w:szCs w:val="24"/>
        </w:rPr>
      </w:pPr>
    </w:p>
    <w:p w14:paraId="31DBB1E9"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paper also indicates that complex accounting principles, especially fair value accounting, have come to the forefront in the current financial reporting. Measurement of fair value increases the relevance of financial information by implying the current market situation. This is particularly significant in case of financial instruments, in which historical cost may not reflect economic value. Nonetheless, it has been found that fair value accounting may create volatility and subjectivity, especially when dealing with illiquid markets where market prices are not easily observed (Laux &amp; </w:t>
      </w:r>
      <w:proofErr w:type="spellStart"/>
      <w:r w:rsidRPr="007B3AED">
        <w:rPr>
          <w:rFonts w:ascii="Arial Narrow" w:hAnsi="Arial Narrow" w:cs="Times New Roman"/>
          <w:szCs w:val="24"/>
        </w:rPr>
        <w:t>Leuz</w:t>
      </w:r>
      <w:proofErr w:type="spellEnd"/>
      <w:r w:rsidRPr="007B3AED">
        <w:rPr>
          <w:rFonts w:ascii="Arial Narrow" w:hAnsi="Arial Narrow" w:cs="Times New Roman"/>
          <w:szCs w:val="24"/>
        </w:rPr>
        <w:t>, 2009). This brings difficulties to the preparers and users of financial statements, where estimates can differ based on assumptions and methods of valuation.</w:t>
      </w:r>
    </w:p>
    <w:p w14:paraId="5444F469" w14:textId="77777777" w:rsidR="001A4EAB" w:rsidRPr="007B3AED" w:rsidRDefault="001A4EAB" w:rsidP="001A4EAB">
      <w:pPr>
        <w:spacing w:line="480" w:lineRule="auto"/>
        <w:rPr>
          <w:rFonts w:ascii="Arial Narrow" w:hAnsi="Arial Narrow" w:cs="Times New Roman"/>
          <w:szCs w:val="24"/>
        </w:rPr>
      </w:pPr>
    </w:p>
    <w:p w14:paraId="746145E5"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Another area that gives considerable insights is asset impairment. Impairment accounting makes sure that assets are recognized at recoverable values, enhancing the quality and reliability of financial reports. The results, however, indicate that managerial judgment is common in impairment testing and this may be affected by incentives to manipulate earnings. Research indicates that managers can overdue or </w:t>
      </w:r>
      <w:r w:rsidRPr="007B3AED">
        <w:rPr>
          <w:rFonts w:ascii="Arial Narrow" w:hAnsi="Arial Narrow" w:cs="Times New Roman"/>
          <w:szCs w:val="24"/>
        </w:rPr>
        <w:lastRenderedPageBreak/>
        <w:t>overaccelerate impairment recognition to get the intended financial results, which underlines the significance of regulatory controls and auditing procedures (</w:t>
      </w:r>
      <w:proofErr w:type="spellStart"/>
      <w:r w:rsidRPr="007B3AED">
        <w:rPr>
          <w:rFonts w:ascii="Arial Narrow" w:hAnsi="Arial Narrow" w:cs="Times New Roman"/>
          <w:szCs w:val="24"/>
        </w:rPr>
        <w:t>Ramanna</w:t>
      </w:r>
      <w:proofErr w:type="spellEnd"/>
      <w:r w:rsidRPr="007B3AED">
        <w:rPr>
          <w:rFonts w:ascii="Arial Narrow" w:hAnsi="Arial Narrow" w:cs="Times New Roman"/>
          <w:szCs w:val="24"/>
        </w:rPr>
        <w:t xml:space="preserve"> and Watts, 2012).</w:t>
      </w:r>
    </w:p>
    <w:p w14:paraId="52C355A8" w14:textId="77777777" w:rsidR="001A4EAB" w:rsidRPr="007B3AED" w:rsidRDefault="001A4EAB" w:rsidP="001A4EAB">
      <w:pPr>
        <w:spacing w:line="480" w:lineRule="auto"/>
        <w:rPr>
          <w:rFonts w:ascii="Arial Narrow" w:hAnsi="Arial Narrow" w:cs="Times New Roman"/>
          <w:szCs w:val="24"/>
        </w:rPr>
      </w:pPr>
    </w:p>
    <w:p w14:paraId="2AB9E46D"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Off-balance-sheet financing is described as one of the crucial problems with financial transparency. The results show that off-balance-sheet arrangements have been used in the past by companies to hide liabilities and make their financial ratios more </w:t>
      </w:r>
      <w:proofErr w:type="spellStart"/>
      <w:r w:rsidRPr="007B3AED">
        <w:rPr>
          <w:rFonts w:ascii="Arial Narrow" w:hAnsi="Arial Narrow" w:cs="Times New Roman"/>
          <w:szCs w:val="24"/>
        </w:rPr>
        <w:t>favorable</w:t>
      </w:r>
      <w:proofErr w:type="spellEnd"/>
      <w:r w:rsidRPr="007B3AED">
        <w:rPr>
          <w:rFonts w:ascii="Arial Narrow" w:hAnsi="Arial Narrow" w:cs="Times New Roman"/>
          <w:szCs w:val="24"/>
        </w:rPr>
        <w:t>, hence, a better financial position. The Enron scandal is an excellent case of the role such practices play in causing major financial misrepresentation and loss of investor confidence (Healy &amp; Palepu, 2003). To counter these, regulatory authorities have come up with more stringent requirements, including IFRS 16, which obliges more disclosure and recognition of the formerly concealed liabilities. These reforms have enhanced transparency yet there are challenges of ensuring that all the intricate financial arrangements are captured.</w:t>
      </w:r>
    </w:p>
    <w:p w14:paraId="387CEDA2" w14:textId="77777777" w:rsidR="001A4EAB" w:rsidRPr="007B3AED" w:rsidRDefault="001A4EAB" w:rsidP="001A4EAB">
      <w:pPr>
        <w:spacing w:line="480" w:lineRule="auto"/>
        <w:rPr>
          <w:rFonts w:ascii="Arial Narrow" w:hAnsi="Arial Narrow" w:cs="Times New Roman"/>
          <w:szCs w:val="24"/>
        </w:rPr>
      </w:pPr>
    </w:p>
    <w:p w14:paraId="2BB536FF"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Moreover, the results also indicate that globalization also has a considerable impact on accounting practices. The growing nature of global markets has led to the need to harmonize accounting standards </w:t>
      </w:r>
      <w:proofErr w:type="gramStart"/>
      <w:r w:rsidRPr="007B3AED">
        <w:rPr>
          <w:rFonts w:ascii="Arial Narrow" w:hAnsi="Arial Narrow" w:cs="Times New Roman"/>
          <w:szCs w:val="24"/>
        </w:rPr>
        <w:t>in order to</w:t>
      </w:r>
      <w:proofErr w:type="gramEnd"/>
      <w:r w:rsidRPr="007B3AED">
        <w:rPr>
          <w:rFonts w:ascii="Arial Narrow" w:hAnsi="Arial Narrow" w:cs="Times New Roman"/>
          <w:szCs w:val="24"/>
        </w:rPr>
        <w:t xml:space="preserve"> enable cross-border investment and economic integration. The use of IFRS has been central in this process yet national variations still exist. The convergence process between IFRS and GAAP reflects in that there have been continuous efforts to establish one standardized world accounting system, yet full standardization is still hard to achieve because of the varying regulatory, cultural, and economic contexts.</w:t>
      </w:r>
    </w:p>
    <w:p w14:paraId="620B91A0" w14:textId="77777777" w:rsidR="001A4EAB" w:rsidRPr="007B3AED" w:rsidRDefault="001A4EAB" w:rsidP="001A4EAB">
      <w:pPr>
        <w:spacing w:line="480" w:lineRule="auto"/>
        <w:rPr>
          <w:rFonts w:ascii="Arial Narrow" w:hAnsi="Arial Narrow" w:cs="Times New Roman"/>
          <w:szCs w:val="24"/>
        </w:rPr>
      </w:pPr>
    </w:p>
    <w:p w14:paraId="70DEA1C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In conclusion, the results show that the balance of relevance and reliability characterizes the modern accounting practices. Though new ideas like fair value accounting and global accounting standards make financial information more useful, it is also complex and needs close judgment. These practices have been </w:t>
      </w:r>
      <w:r w:rsidRPr="007B3AED">
        <w:rPr>
          <w:rFonts w:ascii="Arial Narrow" w:hAnsi="Arial Narrow" w:cs="Times New Roman"/>
          <w:szCs w:val="24"/>
        </w:rPr>
        <w:lastRenderedPageBreak/>
        <w:t>effective but heavily rely on effective corporate governance, enforcement of regulations, and ethical standards. All these factors work towards the end goal of making sure that accounting remains to do what it should do, which is to deliver the right, transparent, and decision-useful information to the stakeholders.</w:t>
      </w:r>
    </w:p>
    <w:p w14:paraId="27F15CC2" w14:textId="77777777" w:rsidR="001A4EAB" w:rsidRPr="007B3AED" w:rsidRDefault="001A4EAB" w:rsidP="001A4EAB">
      <w:pPr>
        <w:spacing w:line="480" w:lineRule="auto"/>
        <w:rPr>
          <w:rFonts w:ascii="Arial Narrow" w:hAnsi="Arial Narrow" w:cs="Times New Roman"/>
          <w:szCs w:val="24"/>
        </w:rPr>
      </w:pPr>
    </w:p>
    <w:p w14:paraId="718055EA" w14:textId="77777777" w:rsidR="001A4EAB" w:rsidRPr="007B3AED" w:rsidRDefault="001A4EAB" w:rsidP="001A4EAB">
      <w:pPr>
        <w:spacing w:line="480" w:lineRule="auto"/>
        <w:rPr>
          <w:rFonts w:ascii="Arial Narrow" w:hAnsi="Arial Narrow" w:cs="Times New Roman"/>
          <w:szCs w:val="24"/>
        </w:rPr>
      </w:pPr>
    </w:p>
    <w:p w14:paraId="636CF13C"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Discussion</w:t>
      </w:r>
    </w:p>
    <w:p w14:paraId="656F751E" w14:textId="77777777" w:rsidR="001A4EAB" w:rsidRPr="007B3AED" w:rsidRDefault="001A4EAB" w:rsidP="001A4EAB">
      <w:pPr>
        <w:spacing w:line="480" w:lineRule="auto"/>
        <w:rPr>
          <w:rFonts w:ascii="Arial Narrow" w:hAnsi="Arial Narrow" w:cs="Times New Roman"/>
          <w:szCs w:val="24"/>
        </w:rPr>
      </w:pPr>
    </w:p>
    <w:p w14:paraId="7FECF66E"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This study results point out to the dynamism of accounting as it keeps adapting to the forces of globalization, financial innovation, and rising stakeholder expectations. The fact that traditional accounting principles were changed into more sophisticated and movable structures reflects the capability of the discipline to adapt to the complicated business environments. This discussion critically analyses these findings as compared to the existing literature and discusses their wider implications to accounting theory and practice.</w:t>
      </w:r>
    </w:p>
    <w:p w14:paraId="40B6E7CD" w14:textId="77777777" w:rsidR="001A4EAB" w:rsidRPr="007B3AED" w:rsidRDefault="001A4EAB" w:rsidP="001A4EAB">
      <w:pPr>
        <w:spacing w:line="480" w:lineRule="auto"/>
        <w:rPr>
          <w:rFonts w:ascii="Arial Narrow" w:hAnsi="Arial Narrow" w:cs="Times New Roman"/>
          <w:szCs w:val="24"/>
        </w:rPr>
      </w:pPr>
    </w:p>
    <w:p w14:paraId="43E7777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Among the major themes of the findings, one can single out the </w:t>
      </w:r>
      <w:proofErr w:type="spellStart"/>
      <w:r w:rsidRPr="007B3AED">
        <w:rPr>
          <w:rFonts w:ascii="Arial Narrow" w:hAnsi="Arial Narrow" w:cs="Times New Roman"/>
          <w:szCs w:val="24"/>
        </w:rPr>
        <w:t>furtherness</w:t>
      </w:r>
      <w:proofErr w:type="spellEnd"/>
      <w:r w:rsidRPr="007B3AED">
        <w:rPr>
          <w:rFonts w:ascii="Arial Narrow" w:hAnsi="Arial Narrow" w:cs="Times New Roman"/>
          <w:szCs w:val="24"/>
        </w:rPr>
        <w:t xml:space="preserve"> of the applicability of the accounting equation as the cornerstone of financial reporting. Although the equation has not changed in its fundamental form, its use has become a lot broader to include the aspects of modern finance like intangible assets, derivatives, and contingent liabilities. This development can be justified by the claims of </w:t>
      </w:r>
      <w:proofErr w:type="spellStart"/>
      <w:r w:rsidRPr="007B3AED">
        <w:rPr>
          <w:rFonts w:ascii="Arial Narrow" w:hAnsi="Arial Narrow" w:cs="Times New Roman"/>
          <w:szCs w:val="24"/>
        </w:rPr>
        <w:t>Kieso</w:t>
      </w:r>
      <w:proofErr w:type="spellEnd"/>
      <w:r w:rsidRPr="007B3AED">
        <w:rPr>
          <w:rFonts w:ascii="Arial Narrow" w:hAnsi="Arial Narrow" w:cs="Times New Roman"/>
          <w:szCs w:val="24"/>
        </w:rPr>
        <w:t xml:space="preserve"> et al. (2020) who indicate that accounting systems need to be adjusted to reflect economic reality better. Nevertheless, the growing complexity linked to such adaptations poses issues related to the understandability of such adjustments to those who review financial reports, especially to non-expert </w:t>
      </w:r>
      <w:r w:rsidRPr="007B3AED">
        <w:rPr>
          <w:rFonts w:ascii="Arial Narrow" w:hAnsi="Arial Narrow" w:cs="Times New Roman"/>
          <w:szCs w:val="24"/>
        </w:rPr>
        <w:lastRenderedPageBreak/>
        <w:t>audiences. This implies that some form of balancing between technical accuracy and financial reporting is required.</w:t>
      </w:r>
    </w:p>
    <w:p w14:paraId="21DF01D3" w14:textId="77777777" w:rsidR="001A4EAB" w:rsidRPr="007B3AED" w:rsidRDefault="001A4EAB" w:rsidP="001A4EAB">
      <w:pPr>
        <w:spacing w:line="480" w:lineRule="auto"/>
        <w:rPr>
          <w:rFonts w:ascii="Arial Narrow" w:hAnsi="Arial Narrow" w:cs="Times New Roman"/>
          <w:szCs w:val="24"/>
        </w:rPr>
      </w:pPr>
    </w:p>
    <w:p w14:paraId="0355BD3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The IFRS and GAAP discussion provides valuable information about the continuing debate between the principles-based and rules-based systems of accounting. The results confirm the previous studies that IFRS promotes comparability and transparency in international markets (Barth et al., 2012). This is especially relevant in a globalized economy where investors tend to compare companies in different jurisdictions. Nevertheless, IFRS subjects itself to inconsistency in application, owing to the subjectivity that comes with its flexibility. According to Soderstrom and Sun (2007), institutional structures and the monitoring process are central to the success of IFRS. Contrary to this, the rules-based nature of GAAP offers greater guidance, eliminating ambiguity, but may restrict the ability to reflect the economic substance of transactions. No system is therefore better, but their usefulness is in the context to which they are used.</w:t>
      </w:r>
    </w:p>
    <w:p w14:paraId="0B48BE5A" w14:textId="77777777" w:rsidR="001A4EAB" w:rsidRPr="007B3AED" w:rsidRDefault="001A4EAB" w:rsidP="001A4EAB">
      <w:pPr>
        <w:spacing w:line="480" w:lineRule="auto"/>
        <w:rPr>
          <w:rFonts w:ascii="Arial Narrow" w:hAnsi="Arial Narrow" w:cs="Times New Roman"/>
          <w:szCs w:val="24"/>
        </w:rPr>
      </w:pPr>
    </w:p>
    <w:p w14:paraId="00BB2E3C"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Corporate governance becomes one of the key aspects that determine the quality and reliability of accounting information. The results support the opinion that effective governance frameworks promote transparency and mitigate the risk of financial misreporting. Bushman and Smith (2001) point out that financial accounting systems are useful in tracking managerial conduct and aligning it with the interests of the shareholders. The debate also indicates that governance systems like independent audits and control by regulators are critical in the reduction of risks encountered in subjective accounting practices. Even well-established accounting standards might not meet their objectives in the absence of good governance. This highlights the interdependence of accounting systems and governance systems.</w:t>
      </w:r>
    </w:p>
    <w:p w14:paraId="27E9555E" w14:textId="77777777" w:rsidR="001A4EAB" w:rsidRPr="007B3AED" w:rsidRDefault="001A4EAB" w:rsidP="001A4EAB">
      <w:pPr>
        <w:spacing w:line="480" w:lineRule="auto"/>
        <w:rPr>
          <w:rFonts w:ascii="Arial Narrow" w:hAnsi="Arial Narrow" w:cs="Times New Roman"/>
          <w:szCs w:val="24"/>
        </w:rPr>
      </w:pPr>
    </w:p>
    <w:p w14:paraId="3D7CB90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lastRenderedPageBreak/>
        <w:t xml:space="preserve">Another important aspect that is emphasized in the findings is the interrelation of financial statements. Combining the balance sheet, income statement and cash flow statement gives a holistic picture of the financial performance and position of an organization. According to Penman (2007), such statements can be </w:t>
      </w:r>
      <w:proofErr w:type="spellStart"/>
      <w:r w:rsidRPr="007B3AED">
        <w:rPr>
          <w:rFonts w:ascii="Arial Narrow" w:hAnsi="Arial Narrow" w:cs="Times New Roman"/>
          <w:szCs w:val="24"/>
        </w:rPr>
        <w:t>analyzed</w:t>
      </w:r>
      <w:proofErr w:type="spellEnd"/>
      <w:r w:rsidRPr="007B3AED">
        <w:rPr>
          <w:rFonts w:ascii="Arial Narrow" w:hAnsi="Arial Narrow" w:cs="Times New Roman"/>
          <w:szCs w:val="24"/>
        </w:rPr>
        <w:t xml:space="preserve"> as a whole </w:t>
      </w:r>
      <w:proofErr w:type="gramStart"/>
      <w:r w:rsidRPr="007B3AED">
        <w:rPr>
          <w:rFonts w:ascii="Arial Narrow" w:hAnsi="Arial Narrow" w:cs="Times New Roman"/>
          <w:szCs w:val="24"/>
        </w:rPr>
        <w:t>in order to</w:t>
      </w:r>
      <w:proofErr w:type="gramEnd"/>
      <w:r w:rsidRPr="007B3AED">
        <w:rPr>
          <w:rFonts w:ascii="Arial Narrow" w:hAnsi="Arial Narrow" w:cs="Times New Roman"/>
          <w:szCs w:val="24"/>
        </w:rPr>
        <w:t xml:space="preserve"> make more valid determinations about the value and future performance of firms. It is argued here that this integrative method is especially crucial in contemporary accounting when more complicated transactions tend to be implicated in the financial side in numerous ways. Nevertheless, the growing simplicity of financial statements can also be an obstacle to the users, requiring better disclosure policies and financial literacy.</w:t>
      </w:r>
    </w:p>
    <w:p w14:paraId="74D28077" w14:textId="77777777" w:rsidR="001A4EAB" w:rsidRPr="007B3AED" w:rsidRDefault="001A4EAB" w:rsidP="001A4EAB">
      <w:pPr>
        <w:spacing w:line="480" w:lineRule="auto"/>
        <w:rPr>
          <w:rFonts w:ascii="Arial Narrow" w:hAnsi="Arial Narrow" w:cs="Times New Roman"/>
          <w:szCs w:val="24"/>
        </w:rPr>
      </w:pPr>
    </w:p>
    <w:p w14:paraId="4A974B9E"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Fair value accounting is one of the most controversial issues in modern accounting literature. The results revealed that fair value increases the relevance of financial information by showing the prevailing market conditions. This qualifies the argument that the decision-useful information must be timely and reflective of the economic reality (Penman, 2007). </w:t>
      </w:r>
      <w:proofErr w:type="gramStart"/>
      <w:r w:rsidRPr="007B3AED">
        <w:rPr>
          <w:rFonts w:ascii="Arial Narrow" w:hAnsi="Arial Narrow" w:cs="Times New Roman"/>
          <w:szCs w:val="24"/>
        </w:rPr>
        <w:t>Albeit,</w:t>
      </w:r>
      <w:proofErr w:type="gramEnd"/>
      <w:r w:rsidRPr="007B3AED">
        <w:rPr>
          <w:rFonts w:ascii="Arial Narrow" w:hAnsi="Arial Narrow" w:cs="Times New Roman"/>
          <w:szCs w:val="24"/>
        </w:rPr>
        <w:t xml:space="preserve"> critics like Laux and </w:t>
      </w:r>
      <w:proofErr w:type="spellStart"/>
      <w:r w:rsidRPr="007B3AED">
        <w:rPr>
          <w:rFonts w:ascii="Arial Narrow" w:hAnsi="Arial Narrow" w:cs="Times New Roman"/>
          <w:szCs w:val="24"/>
        </w:rPr>
        <w:t>Leuz</w:t>
      </w:r>
      <w:proofErr w:type="spellEnd"/>
      <w:r w:rsidRPr="007B3AED">
        <w:rPr>
          <w:rFonts w:ascii="Arial Narrow" w:hAnsi="Arial Narrow" w:cs="Times New Roman"/>
          <w:szCs w:val="24"/>
        </w:rPr>
        <w:t xml:space="preserve"> (2009) warn that fair value accounting may start an element of volatility and subjectivity, especially in illiquid markets where market prices cannot be obtained at a reliable value. The discussion identifies the trade-off between relevance and reliability as one of the core issues in accounting. Although fair value presents more relevant information, its accuracy is determined by the accuracy of valuation techniques and assumptions. It underlines the significance of strong valuation standards and professional judgment.</w:t>
      </w:r>
    </w:p>
    <w:p w14:paraId="293CC5F1" w14:textId="77777777" w:rsidR="001A4EAB" w:rsidRPr="007B3AED" w:rsidRDefault="001A4EAB" w:rsidP="001A4EAB">
      <w:pPr>
        <w:spacing w:line="480" w:lineRule="auto"/>
        <w:rPr>
          <w:rFonts w:ascii="Arial Narrow" w:hAnsi="Arial Narrow" w:cs="Times New Roman"/>
          <w:szCs w:val="24"/>
        </w:rPr>
      </w:pPr>
    </w:p>
    <w:p w14:paraId="1B82645A"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Asset impairment also demonstrates the problem of subjective accounting practices. The results indicate that impairment testing enhances better valuation of assets but opens the door to earnings manipulation. According to </w:t>
      </w:r>
      <w:proofErr w:type="spellStart"/>
      <w:r w:rsidRPr="007B3AED">
        <w:rPr>
          <w:rFonts w:ascii="Arial Narrow" w:hAnsi="Arial Narrow" w:cs="Times New Roman"/>
          <w:szCs w:val="24"/>
        </w:rPr>
        <w:t>Ramanna</w:t>
      </w:r>
      <w:proofErr w:type="spellEnd"/>
      <w:r w:rsidRPr="007B3AED">
        <w:rPr>
          <w:rFonts w:ascii="Arial Narrow" w:hAnsi="Arial Narrow" w:cs="Times New Roman"/>
          <w:szCs w:val="24"/>
        </w:rPr>
        <w:t xml:space="preserve"> and Watts, (2012), incentives may affect the discretion of managers in impairment </w:t>
      </w:r>
      <w:r w:rsidRPr="007B3AED">
        <w:rPr>
          <w:rFonts w:ascii="Arial Narrow" w:hAnsi="Arial Narrow" w:cs="Times New Roman"/>
          <w:szCs w:val="24"/>
        </w:rPr>
        <w:lastRenderedPageBreak/>
        <w:t>decision, thus creating bias in reporting. This brings up some serious ethical concerns and the necessity of strict auditing and regulation frameworks. The discussion proposes that impairment disclosures and consistent standards application are key factors in ensuring stakeholders confidence.</w:t>
      </w:r>
    </w:p>
    <w:p w14:paraId="74509434" w14:textId="77777777" w:rsidR="001A4EAB" w:rsidRPr="007B3AED" w:rsidRDefault="001A4EAB" w:rsidP="001A4EAB">
      <w:pPr>
        <w:spacing w:line="480" w:lineRule="auto"/>
        <w:rPr>
          <w:rFonts w:ascii="Arial Narrow" w:hAnsi="Arial Narrow" w:cs="Times New Roman"/>
          <w:szCs w:val="24"/>
        </w:rPr>
      </w:pPr>
    </w:p>
    <w:p w14:paraId="525281FB"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Another critical issue addressed in this study is the off-balance-sheet financing. The results indicate that such practices may distort the actual financial standing of a firm therefore compromising transparency. As explained by Healy and Palepu (2003), the Enron case is a warning of the effects of poor disclosure and regulation controls. The emergence of standards like IFRS 16 is also a major move towards enhancing transparency through the disclosure of lease obligation in the balance sheet. The discussion however states that there still isn’t a way in which companies </w:t>
      </w:r>
      <w:proofErr w:type="spellStart"/>
      <w:r w:rsidRPr="007B3AED">
        <w:rPr>
          <w:rFonts w:ascii="Arial Narrow" w:hAnsi="Arial Narrow" w:cs="Times New Roman"/>
          <w:szCs w:val="24"/>
        </w:rPr>
        <w:t>can not</w:t>
      </w:r>
      <w:proofErr w:type="spellEnd"/>
      <w:r w:rsidRPr="007B3AED">
        <w:rPr>
          <w:rFonts w:ascii="Arial Narrow" w:hAnsi="Arial Narrow" w:cs="Times New Roman"/>
          <w:szCs w:val="24"/>
        </w:rPr>
        <w:t xml:space="preserve"> structure transactions in such a manner that they get the same results, which means that there needs to be constant monitoring and adaptability of the regulations.</w:t>
      </w:r>
    </w:p>
    <w:p w14:paraId="42515406" w14:textId="77777777" w:rsidR="001A4EAB" w:rsidRPr="007B3AED" w:rsidRDefault="001A4EAB" w:rsidP="001A4EAB">
      <w:pPr>
        <w:spacing w:line="480" w:lineRule="auto"/>
        <w:rPr>
          <w:rFonts w:ascii="Arial Narrow" w:hAnsi="Arial Narrow" w:cs="Times New Roman"/>
          <w:szCs w:val="24"/>
        </w:rPr>
      </w:pPr>
    </w:p>
    <w:p w14:paraId="45113BDA"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Globalization has played a major role in the creation and implementation of accounting standards. The universal use of IFRS is an indication of necessity of having a universal language of financial reporting that would allow investment and economic integration across borders. Nonetheless, the discussion points out that the full convergence of IFRS and GAAP is not easy since the legal systems, culture, and economies differ. This implies that harmonization is good but some level of diversity in accounting practices may be unavoidable.</w:t>
      </w:r>
    </w:p>
    <w:p w14:paraId="4131F396" w14:textId="77777777" w:rsidR="001A4EAB" w:rsidRPr="007B3AED" w:rsidRDefault="001A4EAB" w:rsidP="001A4EAB">
      <w:pPr>
        <w:spacing w:line="480" w:lineRule="auto"/>
        <w:rPr>
          <w:rFonts w:ascii="Arial Narrow" w:hAnsi="Arial Narrow" w:cs="Times New Roman"/>
          <w:szCs w:val="24"/>
        </w:rPr>
      </w:pPr>
    </w:p>
    <w:p w14:paraId="345A8FB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Altogether, the discussion highlights the complexity and changing nature of contemporary accounting. The combination of superior concepts and international standards has made financial information more relevant </w:t>
      </w:r>
      <w:r w:rsidRPr="007B3AED">
        <w:rPr>
          <w:rFonts w:ascii="Arial Narrow" w:hAnsi="Arial Narrow" w:cs="Times New Roman"/>
          <w:szCs w:val="24"/>
        </w:rPr>
        <w:lastRenderedPageBreak/>
        <w:t>and useful, yet it has brought issues of reliability, consistency, and ethical conduct. The results imply that the usefulness of accounting systems is not limited to the design of standards but also to the power of governance, the enforcement of regulations, and professional judgment. The future of accounting is expected to be dedicated to enhancing transparency, comparability, and the issues of technological development and financial innovation.</w:t>
      </w:r>
    </w:p>
    <w:p w14:paraId="11485199" w14:textId="77777777" w:rsidR="001A4EAB" w:rsidRPr="007B3AED" w:rsidRDefault="001A4EAB" w:rsidP="001A4EAB">
      <w:pPr>
        <w:spacing w:line="480" w:lineRule="auto"/>
        <w:rPr>
          <w:rFonts w:ascii="Arial Narrow" w:hAnsi="Arial Narrow" w:cs="Times New Roman"/>
          <w:szCs w:val="24"/>
        </w:rPr>
      </w:pPr>
    </w:p>
    <w:p w14:paraId="1E6F2690"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Conclusively, the discussion has pointed out that accounting is not a static field but a constantly developing area that adjusts to the shifting economic and social environments. Relevance/</w:t>
      </w:r>
      <w:proofErr w:type="spellStart"/>
      <w:r w:rsidRPr="007B3AED">
        <w:rPr>
          <w:rFonts w:ascii="Arial Narrow" w:hAnsi="Arial Narrow" w:cs="Times New Roman"/>
          <w:szCs w:val="24"/>
        </w:rPr>
        <w:t>religability</w:t>
      </w:r>
      <w:proofErr w:type="spellEnd"/>
      <w:r w:rsidRPr="007B3AED">
        <w:rPr>
          <w:rFonts w:ascii="Arial Narrow" w:hAnsi="Arial Narrow" w:cs="Times New Roman"/>
          <w:szCs w:val="24"/>
        </w:rPr>
        <w:t xml:space="preserve"> is a focal issue and the balance between the two can be attained by continuous interaction between standard-setters, regulators and practitioners. With such challenges addressed, the accounting profession can remain crucial in facilitating informed decision-making and ensuring confidence in financial markets.</w:t>
      </w:r>
    </w:p>
    <w:p w14:paraId="29271CD5" w14:textId="77777777" w:rsidR="001A4EAB" w:rsidRPr="007B3AED" w:rsidRDefault="001A4EAB" w:rsidP="001A4EAB">
      <w:pPr>
        <w:spacing w:line="480" w:lineRule="auto"/>
        <w:rPr>
          <w:rFonts w:ascii="Arial Narrow" w:hAnsi="Arial Narrow" w:cs="Times New Roman"/>
          <w:szCs w:val="24"/>
        </w:rPr>
      </w:pPr>
    </w:p>
    <w:p w14:paraId="5C89EBE6" w14:textId="77777777" w:rsidR="001A4EAB" w:rsidRPr="007B3AED" w:rsidRDefault="001A4EAB" w:rsidP="001A4EAB">
      <w:pPr>
        <w:spacing w:line="480" w:lineRule="auto"/>
        <w:rPr>
          <w:rFonts w:ascii="Arial Narrow" w:hAnsi="Arial Narrow" w:cs="Times New Roman"/>
          <w:szCs w:val="24"/>
        </w:rPr>
      </w:pPr>
    </w:p>
    <w:p w14:paraId="322BAC33"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Conclusion</w:t>
      </w:r>
    </w:p>
    <w:p w14:paraId="5079EB9B" w14:textId="77777777" w:rsidR="001A4EAB" w:rsidRPr="007B3AED" w:rsidRDefault="001A4EAB" w:rsidP="001A4EAB">
      <w:pPr>
        <w:spacing w:line="480" w:lineRule="auto"/>
        <w:rPr>
          <w:rFonts w:ascii="Arial Narrow" w:hAnsi="Arial Narrow" w:cs="Times New Roman"/>
          <w:szCs w:val="24"/>
        </w:rPr>
      </w:pPr>
    </w:p>
    <w:p w14:paraId="59640A37" w14:textId="180FC9BF"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This report has critically reviewed the advanced theoretical concepts of accounting and their usage in contemporary business settings. The discussion indicates that even though the basic concepts of accounting including the accounting equation have not changed but their interpretation and implementation have changed a lot with the rising financial complexity and globalization. The use of Modern accounting methods has also added more sophisticated concepts of fair value measurement, asset impairment, and </w:t>
      </w:r>
      <w:r w:rsidRPr="007B3AED">
        <w:rPr>
          <w:rFonts w:ascii="Arial Narrow" w:hAnsi="Arial Narrow" w:cs="Times New Roman"/>
          <w:szCs w:val="24"/>
        </w:rPr>
        <w:lastRenderedPageBreak/>
        <w:t xml:space="preserve">off-balance-sheet financing that makes financial information of a company more </w:t>
      </w:r>
      <w:proofErr w:type="gramStart"/>
      <w:r w:rsidRPr="007B3AED">
        <w:rPr>
          <w:rFonts w:ascii="Arial Narrow" w:hAnsi="Arial Narrow" w:cs="Times New Roman"/>
          <w:szCs w:val="24"/>
        </w:rPr>
        <w:t>relevant, but</w:t>
      </w:r>
      <w:proofErr w:type="gramEnd"/>
      <w:r w:rsidRPr="007B3AED">
        <w:rPr>
          <w:rFonts w:ascii="Arial Narrow" w:hAnsi="Arial Narrow" w:cs="Times New Roman"/>
          <w:szCs w:val="24"/>
        </w:rPr>
        <w:t xml:space="preserve"> has also posed a problem of reliability and subjectivity.</w:t>
      </w:r>
    </w:p>
    <w:p w14:paraId="189FCBC0" w14:textId="30BB6653"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 xml:space="preserve">The IFRS/GAAP comparison shows the persistent conflict between the principles-based and rule-based approaches. Although IFRS enhances flexibility and global comparability, it </w:t>
      </w:r>
      <w:proofErr w:type="gramStart"/>
      <w:r w:rsidRPr="007B3AED">
        <w:rPr>
          <w:rFonts w:ascii="Arial Narrow" w:hAnsi="Arial Narrow" w:cs="Times New Roman"/>
          <w:szCs w:val="24"/>
        </w:rPr>
        <w:t>has to</w:t>
      </w:r>
      <w:proofErr w:type="gramEnd"/>
      <w:r w:rsidRPr="007B3AED">
        <w:rPr>
          <w:rFonts w:ascii="Arial Narrow" w:hAnsi="Arial Narrow" w:cs="Times New Roman"/>
          <w:szCs w:val="24"/>
        </w:rPr>
        <w:t xml:space="preserve"> be highly professional and be enforced with effective enforcement mechanisms to maintain uniformity. As opposed to this, GAAP is more detailed and removes ambiguity but can decrease flexibility. These findings indicate that no framework is necessarily a better one, but its performance relies on governance arrangements, regulatory frames, and ethical behaviours.</w:t>
      </w:r>
    </w:p>
    <w:p w14:paraId="670CBCBD" w14:textId="676B3CFE"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Corporate governance turns out to be a decisive aspect in the integrity and transparency of financial reporting. Well-established systems of governance such as independent audits and regulatory controls are crucial in reducing the risks of managerial discretion and financial misreporting. Also, the interdependence between the financial statements highlights the significance of having a holistic approach to financial analysis, which allows the stakeholder to make well-informed decisions using full financial details.</w:t>
      </w:r>
    </w:p>
    <w:p w14:paraId="6EB17B0B"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Moreover, as the study puts emphasis on globalization, it has greatly affected the setting and harmonization of standards in accounting. Although convergence has led to better comparability, full standardization can be difficult as countries have varied economic and regulatory environments. It means that accounting is going to develop because it will follow new tendencies in the world and in technologies.</w:t>
      </w:r>
    </w:p>
    <w:p w14:paraId="29CA53C7" w14:textId="77777777" w:rsidR="001A4EAB" w:rsidRPr="007B3AED" w:rsidRDefault="001A4EAB" w:rsidP="001A4EAB">
      <w:pPr>
        <w:spacing w:line="480" w:lineRule="auto"/>
        <w:rPr>
          <w:rFonts w:ascii="Arial Narrow" w:hAnsi="Arial Narrow" w:cs="Times New Roman"/>
          <w:szCs w:val="24"/>
        </w:rPr>
      </w:pPr>
    </w:p>
    <w:p w14:paraId="51FCB9A8" w14:textId="77777777" w:rsidR="001A4EAB" w:rsidRPr="007B3AED" w:rsidRDefault="001A4EAB" w:rsidP="001A4EAB">
      <w:pPr>
        <w:spacing w:line="480" w:lineRule="auto"/>
        <w:rPr>
          <w:rFonts w:ascii="Arial Narrow" w:hAnsi="Arial Narrow" w:cs="Times New Roman"/>
          <w:szCs w:val="24"/>
        </w:rPr>
      </w:pPr>
      <w:r w:rsidRPr="007B3AED">
        <w:rPr>
          <w:rFonts w:ascii="Arial Narrow" w:hAnsi="Arial Narrow" w:cs="Times New Roman"/>
          <w:szCs w:val="24"/>
        </w:rPr>
        <w:t>In a nutshell, contemporary accounting is a compromise between theory and practice. Its success depends on the transparency and ethical practices as well as continuously adjusting to dynamic business environments. With these issues resolved, accounting can become about helping to make better decisions and maintain confidence in financial systems.</w:t>
      </w:r>
    </w:p>
    <w:p w14:paraId="2865A082" w14:textId="77777777" w:rsidR="001A4EAB" w:rsidRPr="007B3AED" w:rsidRDefault="001A4EAB" w:rsidP="007B0219">
      <w:pPr>
        <w:spacing w:line="480" w:lineRule="auto"/>
        <w:rPr>
          <w:rFonts w:ascii="Arial Narrow" w:hAnsi="Arial Narrow" w:cs="Times New Roman"/>
          <w:szCs w:val="24"/>
        </w:rPr>
      </w:pPr>
    </w:p>
    <w:p w14:paraId="266E01A4" w14:textId="77777777" w:rsidR="007B0219" w:rsidRPr="007B3AED" w:rsidRDefault="007B0219" w:rsidP="007B0219">
      <w:pPr>
        <w:pStyle w:val="Heading2"/>
        <w:rPr>
          <w:rFonts w:ascii="Arial Narrow" w:hAnsi="Arial Narrow" w:cs="Times New Roman"/>
          <w:sz w:val="24"/>
          <w:szCs w:val="24"/>
        </w:rPr>
      </w:pPr>
      <w:bookmarkStart w:id="1" w:name="_Toc224846307"/>
      <w:r w:rsidRPr="007B3AED">
        <w:rPr>
          <w:rFonts w:ascii="Arial Narrow" w:hAnsi="Arial Narrow" w:cs="Times New Roman"/>
          <w:sz w:val="24"/>
          <w:szCs w:val="24"/>
        </w:rPr>
        <w:t>References</w:t>
      </w:r>
      <w:bookmarkEnd w:id="1"/>
    </w:p>
    <w:p w14:paraId="6541C9E4" w14:textId="77777777" w:rsidR="007B0219" w:rsidRPr="007B3AED" w:rsidRDefault="007B0219" w:rsidP="007B0219">
      <w:pPr>
        <w:spacing w:line="480" w:lineRule="auto"/>
        <w:rPr>
          <w:rFonts w:ascii="Arial Narrow" w:hAnsi="Arial Narrow" w:cs="Times New Roman"/>
          <w:szCs w:val="24"/>
        </w:rPr>
      </w:pPr>
    </w:p>
    <w:p w14:paraId="7E855A96" w14:textId="77777777" w:rsidR="007B3AED" w:rsidRPr="007B3AED" w:rsidRDefault="007B3AED" w:rsidP="007B3AED">
      <w:pPr>
        <w:rPr>
          <w:rFonts w:ascii="Arial Narrow" w:hAnsi="Arial Narrow"/>
        </w:rPr>
      </w:pPr>
      <w:r w:rsidRPr="007B3AED">
        <w:rPr>
          <w:rFonts w:ascii="Arial Narrow" w:hAnsi="Arial Narrow"/>
        </w:rPr>
        <w:t xml:space="preserve">Rezaee, Z. (2005). Causes, consequences, and deterrence of financial statement fraud. </w:t>
      </w:r>
      <w:r w:rsidRPr="007B3AED">
        <w:rPr>
          <w:rFonts w:ascii="Arial Narrow" w:hAnsi="Arial Narrow"/>
          <w:i/>
          <w:iCs/>
        </w:rPr>
        <w:t>Critical Perspectives on Accounting</w:t>
      </w:r>
      <w:r w:rsidRPr="007B3AED">
        <w:rPr>
          <w:rFonts w:ascii="Arial Narrow" w:hAnsi="Arial Narrow"/>
        </w:rPr>
        <w:t>, 16(3), 277–298. https://doi.org/10.1016/S1045-2354(03)00072-8</w:t>
      </w:r>
    </w:p>
    <w:p w14:paraId="5CF1298C" w14:textId="77777777" w:rsidR="007B3AED" w:rsidRPr="007B3AED" w:rsidRDefault="007B3AED" w:rsidP="007B3AED">
      <w:pPr>
        <w:rPr>
          <w:rFonts w:ascii="Arial Narrow" w:hAnsi="Arial Narrow"/>
        </w:rPr>
      </w:pPr>
      <w:r w:rsidRPr="007B3AED">
        <w:rPr>
          <w:rFonts w:ascii="Arial Narrow" w:hAnsi="Arial Narrow"/>
        </w:rPr>
        <w:t xml:space="preserve">Zhang, Y., &amp; Andrew, J. (2020). Blockchain and accounting: An emerging research agenda. </w:t>
      </w:r>
      <w:r w:rsidRPr="007B3AED">
        <w:rPr>
          <w:rFonts w:ascii="Arial Narrow" w:hAnsi="Arial Narrow"/>
          <w:i/>
          <w:iCs/>
        </w:rPr>
        <w:t>Accounting, Auditing &amp; Accountability Journal</w:t>
      </w:r>
      <w:r w:rsidRPr="007B3AED">
        <w:rPr>
          <w:rFonts w:ascii="Arial Narrow" w:hAnsi="Arial Narrow"/>
        </w:rPr>
        <w:t>, 33(8), 1849–1870. https://doi.org/10.1108/AAAJ-12-2018-3791</w:t>
      </w:r>
    </w:p>
    <w:p w14:paraId="2AD3BFD8" w14:textId="77777777" w:rsidR="007B3AED" w:rsidRPr="007B3AED" w:rsidRDefault="007B3AED" w:rsidP="007B3AED">
      <w:pPr>
        <w:rPr>
          <w:rFonts w:ascii="Arial Narrow" w:hAnsi="Arial Narrow"/>
        </w:rPr>
      </w:pPr>
      <w:r w:rsidRPr="007B3AED">
        <w:rPr>
          <w:rFonts w:ascii="Arial Narrow" w:hAnsi="Arial Narrow"/>
        </w:rPr>
        <w:t xml:space="preserve">Alles, M. G., Brennan, G., Kogan, A., &amp; </w:t>
      </w:r>
      <w:proofErr w:type="spellStart"/>
      <w:r w:rsidRPr="007B3AED">
        <w:rPr>
          <w:rFonts w:ascii="Arial Narrow" w:hAnsi="Arial Narrow"/>
        </w:rPr>
        <w:t>Vasarhelyi</w:t>
      </w:r>
      <w:proofErr w:type="spellEnd"/>
      <w:r w:rsidRPr="007B3AED">
        <w:rPr>
          <w:rFonts w:ascii="Arial Narrow" w:hAnsi="Arial Narrow"/>
        </w:rPr>
        <w:t xml:space="preserve">, M. A. (2018). Continuous auditing and analytics: Implications for fraud detection. </w:t>
      </w:r>
      <w:r w:rsidRPr="007B3AED">
        <w:rPr>
          <w:rFonts w:ascii="Arial Narrow" w:hAnsi="Arial Narrow"/>
          <w:i/>
          <w:iCs/>
        </w:rPr>
        <w:t>Journal of Emerging Technologies in Accounting</w:t>
      </w:r>
      <w:r w:rsidRPr="007B3AED">
        <w:rPr>
          <w:rFonts w:ascii="Arial Narrow" w:hAnsi="Arial Narrow"/>
        </w:rPr>
        <w:t>, 15(1), 1–16. https://doi.org/10.2308/jeta-10531</w:t>
      </w:r>
    </w:p>
    <w:p w14:paraId="18738F19" w14:textId="77777777" w:rsidR="007B3AED" w:rsidRPr="007B3AED" w:rsidRDefault="007B3AED" w:rsidP="007B3AED">
      <w:pPr>
        <w:rPr>
          <w:rFonts w:ascii="Arial Narrow" w:hAnsi="Arial Narrow"/>
        </w:rPr>
      </w:pPr>
      <w:r w:rsidRPr="007B3AED">
        <w:rPr>
          <w:rFonts w:ascii="Arial Narrow" w:hAnsi="Arial Narrow"/>
        </w:rPr>
        <w:t xml:space="preserve">Jensen, M. C., &amp; Meckling, W. H. (1976). Theory of the firm: Managerial </w:t>
      </w:r>
      <w:proofErr w:type="spellStart"/>
      <w:r w:rsidRPr="007B3AED">
        <w:rPr>
          <w:rFonts w:ascii="Arial Narrow" w:hAnsi="Arial Narrow"/>
        </w:rPr>
        <w:t>behavior</w:t>
      </w:r>
      <w:proofErr w:type="spellEnd"/>
      <w:r w:rsidRPr="007B3AED">
        <w:rPr>
          <w:rFonts w:ascii="Arial Narrow" w:hAnsi="Arial Narrow"/>
        </w:rPr>
        <w:t xml:space="preserve">, agency costs and ownership structure. </w:t>
      </w:r>
      <w:r w:rsidRPr="007B3AED">
        <w:rPr>
          <w:rFonts w:ascii="Arial Narrow" w:hAnsi="Arial Narrow"/>
          <w:i/>
          <w:iCs/>
        </w:rPr>
        <w:t>Journal of Financial Economics</w:t>
      </w:r>
      <w:r w:rsidRPr="007B3AED">
        <w:rPr>
          <w:rFonts w:ascii="Arial Narrow" w:hAnsi="Arial Narrow"/>
        </w:rPr>
        <w:t>, 3(4), 305–360. https://doi.org/10.1016/0304-405X(76)90026-X</w:t>
      </w:r>
    </w:p>
    <w:p w14:paraId="24456C74" w14:textId="77777777" w:rsidR="007B3AED" w:rsidRPr="007B3AED" w:rsidRDefault="007B3AED" w:rsidP="007B3AED">
      <w:pPr>
        <w:rPr>
          <w:rFonts w:ascii="Arial Narrow" w:hAnsi="Arial Narrow"/>
        </w:rPr>
      </w:pPr>
      <w:r w:rsidRPr="007B3AED">
        <w:rPr>
          <w:rFonts w:ascii="Arial Narrow" w:hAnsi="Arial Narrow"/>
        </w:rPr>
        <w:t xml:space="preserve">Ball, R. (2006). International financial reporting standards (IFRS): Pros and cons for investors. </w:t>
      </w:r>
      <w:r w:rsidRPr="007B3AED">
        <w:rPr>
          <w:rFonts w:ascii="Arial Narrow" w:hAnsi="Arial Narrow"/>
          <w:i/>
          <w:iCs/>
        </w:rPr>
        <w:t>Accounting and Business Research</w:t>
      </w:r>
      <w:r w:rsidRPr="007B3AED">
        <w:rPr>
          <w:rFonts w:ascii="Arial Narrow" w:hAnsi="Arial Narrow"/>
        </w:rPr>
        <w:t xml:space="preserve">, 36(sup1), 5–27. </w:t>
      </w:r>
      <w:hyperlink r:id="rId6" w:tgtFrame="_new" w:history="1">
        <w:r w:rsidRPr="007B3AED">
          <w:rPr>
            <w:rStyle w:val="Hyperlink"/>
            <w:rFonts w:ascii="Arial Narrow" w:hAnsi="Arial Narrow"/>
          </w:rPr>
          <w:t>https://doi.org/10.1080/00014788.2006.9730040</w:t>
        </w:r>
      </w:hyperlink>
    </w:p>
    <w:p w14:paraId="165E64BA" w14:textId="77777777" w:rsidR="007B3AED" w:rsidRPr="007B3AED" w:rsidRDefault="007B3AED" w:rsidP="007B3AED">
      <w:pPr>
        <w:rPr>
          <w:rFonts w:ascii="Arial Narrow" w:hAnsi="Arial Narrow"/>
        </w:rPr>
      </w:pPr>
      <w:r w:rsidRPr="007B3AED">
        <w:rPr>
          <w:rFonts w:ascii="Arial Narrow" w:hAnsi="Arial Narrow"/>
        </w:rPr>
        <w:t xml:space="preserve">Coyne, J. G., &amp; McMickle, P. L. (2017). Can blockchains serve an accounting purpose? </w:t>
      </w:r>
      <w:r w:rsidRPr="007B3AED">
        <w:rPr>
          <w:rFonts w:ascii="Arial Narrow" w:hAnsi="Arial Narrow"/>
          <w:i/>
          <w:iCs/>
        </w:rPr>
        <w:t>Journal of Emerging Technologies in Accounting</w:t>
      </w:r>
      <w:r w:rsidRPr="007B3AED">
        <w:rPr>
          <w:rFonts w:ascii="Arial Narrow" w:hAnsi="Arial Narrow"/>
        </w:rPr>
        <w:t xml:space="preserve">, 14(2), 101–111. </w:t>
      </w:r>
      <w:hyperlink r:id="rId7" w:tgtFrame="_new" w:history="1">
        <w:r w:rsidRPr="007B3AED">
          <w:rPr>
            <w:rStyle w:val="Hyperlink"/>
            <w:rFonts w:ascii="Arial Narrow" w:hAnsi="Arial Narrow"/>
          </w:rPr>
          <w:t>https://doi.org/10.2308/jeta-51910</w:t>
        </w:r>
      </w:hyperlink>
    </w:p>
    <w:p w14:paraId="3E4AEB18" w14:textId="77777777" w:rsidR="007B3AED" w:rsidRPr="007B3AED" w:rsidRDefault="007B3AED" w:rsidP="007B3AED">
      <w:pPr>
        <w:rPr>
          <w:rFonts w:ascii="Arial Narrow" w:hAnsi="Arial Narrow"/>
        </w:rPr>
      </w:pPr>
      <w:proofErr w:type="spellStart"/>
      <w:r w:rsidRPr="007B3AED">
        <w:rPr>
          <w:rFonts w:ascii="Arial Narrow" w:hAnsi="Arial Narrow"/>
        </w:rPr>
        <w:t>Vasarhelyi</w:t>
      </w:r>
      <w:proofErr w:type="spellEnd"/>
      <w:r w:rsidRPr="007B3AED">
        <w:rPr>
          <w:rFonts w:ascii="Arial Narrow" w:hAnsi="Arial Narrow"/>
        </w:rPr>
        <w:t xml:space="preserve">, M. A., Kogan, A., &amp; Tuttle, B. M. (2015). Big data in accounting. </w:t>
      </w:r>
      <w:r w:rsidRPr="007B3AED">
        <w:rPr>
          <w:rFonts w:ascii="Arial Narrow" w:hAnsi="Arial Narrow"/>
          <w:i/>
          <w:iCs/>
        </w:rPr>
        <w:t>Accounting Horizons</w:t>
      </w:r>
      <w:r w:rsidRPr="007B3AED">
        <w:rPr>
          <w:rFonts w:ascii="Arial Narrow" w:hAnsi="Arial Narrow"/>
        </w:rPr>
        <w:t xml:space="preserve">, 29(2), 381–396. </w:t>
      </w:r>
      <w:hyperlink r:id="rId8" w:tgtFrame="_new" w:history="1">
        <w:r w:rsidRPr="007B3AED">
          <w:rPr>
            <w:rStyle w:val="Hyperlink"/>
            <w:rFonts w:ascii="Arial Narrow" w:hAnsi="Arial Narrow"/>
          </w:rPr>
          <w:t>https://doi.org/10.2308/acch-51071</w:t>
        </w:r>
      </w:hyperlink>
    </w:p>
    <w:p w14:paraId="5B29C20C" w14:textId="77777777" w:rsidR="007B3AED" w:rsidRPr="007B3AED" w:rsidRDefault="007B3AED" w:rsidP="007B3AED">
      <w:pPr>
        <w:rPr>
          <w:rFonts w:ascii="Arial Narrow" w:hAnsi="Arial Narrow"/>
        </w:rPr>
      </w:pPr>
      <w:r w:rsidRPr="007B3AED">
        <w:rPr>
          <w:rFonts w:ascii="Arial Narrow" w:hAnsi="Arial Narrow"/>
        </w:rPr>
        <w:t xml:space="preserve">Healy, P. M., &amp; Palepu, K. G. (2001). Information asymmetry, corporate disclosure, and the capital markets. </w:t>
      </w:r>
      <w:r w:rsidRPr="007B3AED">
        <w:rPr>
          <w:rFonts w:ascii="Arial Narrow" w:hAnsi="Arial Narrow"/>
          <w:i/>
          <w:iCs/>
        </w:rPr>
        <w:t>Journal of Accounting and Economics</w:t>
      </w:r>
      <w:r w:rsidRPr="007B3AED">
        <w:rPr>
          <w:rFonts w:ascii="Arial Narrow" w:hAnsi="Arial Narrow"/>
        </w:rPr>
        <w:t>, 31(1–3), 405–440. https://doi.org/10.1016/S0165-4101(01)00018-0</w:t>
      </w:r>
    </w:p>
    <w:p w14:paraId="6C062764" w14:textId="77777777" w:rsidR="007B3AED" w:rsidRPr="007B3AED" w:rsidRDefault="007B3AED" w:rsidP="007B3AED">
      <w:pPr>
        <w:rPr>
          <w:rFonts w:ascii="Arial Narrow" w:hAnsi="Arial Narrow"/>
        </w:rPr>
      </w:pPr>
      <w:r w:rsidRPr="007B3AED">
        <w:rPr>
          <w:rFonts w:ascii="Arial Narrow" w:hAnsi="Arial Narrow"/>
        </w:rPr>
        <w:t xml:space="preserve">Schmitz, J., &amp; Leoni, G. (2019). Accounting and auditing at the time of blockchain technology: A research agenda. </w:t>
      </w:r>
      <w:r w:rsidRPr="007B3AED">
        <w:rPr>
          <w:rFonts w:ascii="Arial Narrow" w:hAnsi="Arial Narrow"/>
          <w:i/>
          <w:iCs/>
        </w:rPr>
        <w:t>Australian Accounting Review</w:t>
      </w:r>
      <w:r w:rsidRPr="007B3AED">
        <w:rPr>
          <w:rFonts w:ascii="Arial Narrow" w:hAnsi="Arial Narrow"/>
        </w:rPr>
        <w:t>, 29(2), 331–342. https://doi.org/10.1111/auar.12286</w:t>
      </w:r>
    </w:p>
    <w:p w14:paraId="432209C9" w14:textId="77777777" w:rsidR="007B3AED" w:rsidRPr="007B3AED" w:rsidRDefault="007B3AED" w:rsidP="007B3AED">
      <w:pPr>
        <w:rPr>
          <w:rFonts w:ascii="Arial Narrow" w:hAnsi="Arial Narrow"/>
        </w:rPr>
      </w:pPr>
      <w:r w:rsidRPr="007B3AED">
        <w:rPr>
          <w:rFonts w:ascii="Arial Narrow" w:hAnsi="Arial Narrow"/>
        </w:rPr>
        <w:t xml:space="preserve">Ryan, S. G. (2008). Accounting in and for the subprime crisis. </w:t>
      </w:r>
      <w:r w:rsidRPr="007B3AED">
        <w:rPr>
          <w:rFonts w:ascii="Arial Narrow" w:hAnsi="Arial Narrow"/>
          <w:i/>
          <w:iCs/>
        </w:rPr>
        <w:t>The Accounting Review</w:t>
      </w:r>
      <w:r w:rsidRPr="007B3AED">
        <w:rPr>
          <w:rFonts w:ascii="Arial Narrow" w:hAnsi="Arial Narrow"/>
        </w:rPr>
        <w:t>, 83(6), 1605–1638. https://doi.org/10.2308/accr.2008.83.6.1605</w:t>
      </w:r>
    </w:p>
    <w:p w14:paraId="0BDE3193" w14:textId="77777777" w:rsidR="007B3AED" w:rsidRPr="007B3AED" w:rsidRDefault="007B3AED" w:rsidP="007B3AED">
      <w:pPr>
        <w:rPr>
          <w:rFonts w:ascii="Arial Narrow" w:hAnsi="Arial Narrow"/>
        </w:rPr>
      </w:pPr>
      <w:r w:rsidRPr="007B3AED">
        <w:rPr>
          <w:rFonts w:ascii="Arial Narrow" w:hAnsi="Arial Narrow"/>
        </w:rPr>
        <w:t xml:space="preserve">Bushman, R. M., &amp; Smith, A. J. (2001). Financial accounting information and corporate governance. </w:t>
      </w:r>
      <w:r w:rsidRPr="007B3AED">
        <w:rPr>
          <w:rFonts w:ascii="Arial Narrow" w:hAnsi="Arial Narrow"/>
          <w:i/>
          <w:iCs/>
        </w:rPr>
        <w:t>Journal of Accounting and Economics</w:t>
      </w:r>
      <w:r w:rsidRPr="007B3AED">
        <w:rPr>
          <w:rFonts w:ascii="Arial Narrow" w:hAnsi="Arial Narrow"/>
        </w:rPr>
        <w:t>, 32(1–3), 237–333. https://doi.org/10.1016/S0165-4101(01)00027-1</w:t>
      </w:r>
    </w:p>
    <w:p w14:paraId="662087CD" w14:textId="77777777" w:rsidR="007B3AED" w:rsidRPr="007B3AED" w:rsidRDefault="007B3AED" w:rsidP="007B3AED">
      <w:pPr>
        <w:rPr>
          <w:rFonts w:ascii="Arial Narrow" w:hAnsi="Arial Narrow"/>
        </w:rPr>
      </w:pPr>
      <w:r w:rsidRPr="007B3AED">
        <w:rPr>
          <w:rFonts w:ascii="Arial Narrow" w:hAnsi="Arial Narrow"/>
        </w:rPr>
        <w:t xml:space="preserve">Issa, H., Sun, T., &amp; </w:t>
      </w:r>
      <w:proofErr w:type="spellStart"/>
      <w:r w:rsidRPr="007B3AED">
        <w:rPr>
          <w:rFonts w:ascii="Arial Narrow" w:hAnsi="Arial Narrow"/>
        </w:rPr>
        <w:t>Vasarhelyi</w:t>
      </w:r>
      <w:proofErr w:type="spellEnd"/>
      <w:r w:rsidRPr="007B3AED">
        <w:rPr>
          <w:rFonts w:ascii="Arial Narrow" w:hAnsi="Arial Narrow"/>
        </w:rPr>
        <w:t xml:space="preserve">, M. A. (2016). Research ideas for artificial intelligence in auditing. </w:t>
      </w:r>
      <w:r w:rsidRPr="007B3AED">
        <w:rPr>
          <w:rFonts w:ascii="Arial Narrow" w:hAnsi="Arial Narrow"/>
          <w:i/>
          <w:iCs/>
        </w:rPr>
        <w:t>Journal of Emerging Technologies in Accounting</w:t>
      </w:r>
      <w:r w:rsidRPr="007B3AED">
        <w:rPr>
          <w:rFonts w:ascii="Arial Narrow" w:hAnsi="Arial Narrow"/>
        </w:rPr>
        <w:t xml:space="preserve">, 13(2), 1–20. </w:t>
      </w:r>
      <w:hyperlink r:id="rId9" w:tgtFrame="_new" w:history="1">
        <w:r w:rsidRPr="007B3AED">
          <w:rPr>
            <w:rStyle w:val="Hyperlink"/>
            <w:rFonts w:ascii="Arial Narrow" w:hAnsi="Arial Narrow"/>
          </w:rPr>
          <w:t>https://doi.org/10.2308/jeta-10511</w:t>
        </w:r>
      </w:hyperlink>
    </w:p>
    <w:p w14:paraId="0906B48B" w14:textId="77777777" w:rsidR="007B3AED" w:rsidRPr="007B3AED" w:rsidRDefault="007B3AED" w:rsidP="007B3AED">
      <w:pPr>
        <w:rPr>
          <w:rFonts w:ascii="Arial Narrow" w:hAnsi="Arial Narrow"/>
        </w:rPr>
      </w:pPr>
      <w:r w:rsidRPr="007B3AED">
        <w:rPr>
          <w:rFonts w:ascii="Arial Narrow" w:hAnsi="Arial Narrow"/>
        </w:rPr>
        <w:t xml:space="preserve">Penman, S. H. (2007). Financial reporting quality: Is fair value a plus or a minus? </w:t>
      </w:r>
      <w:r w:rsidRPr="007B3AED">
        <w:rPr>
          <w:rFonts w:ascii="Arial Narrow" w:hAnsi="Arial Narrow"/>
          <w:i/>
          <w:iCs/>
        </w:rPr>
        <w:t>Accounting and Business Research</w:t>
      </w:r>
      <w:r w:rsidRPr="007B3AED">
        <w:rPr>
          <w:rFonts w:ascii="Arial Narrow" w:hAnsi="Arial Narrow"/>
        </w:rPr>
        <w:t>, 37(sup1), 33–44. https://doi.org/10.1080/00014788.2007.9730083</w:t>
      </w:r>
    </w:p>
    <w:p w14:paraId="6148EFA4" w14:textId="77777777" w:rsidR="007B3AED" w:rsidRPr="007B3AED" w:rsidRDefault="007B3AED" w:rsidP="007B3AED">
      <w:pPr>
        <w:rPr>
          <w:rFonts w:ascii="Arial Narrow" w:hAnsi="Arial Narrow"/>
        </w:rPr>
      </w:pPr>
      <w:r w:rsidRPr="007B3AED">
        <w:rPr>
          <w:rFonts w:ascii="Arial Narrow" w:hAnsi="Arial Narrow"/>
        </w:rPr>
        <w:lastRenderedPageBreak/>
        <w:t xml:space="preserve">Appelbaum, D., Kogan, A., &amp; </w:t>
      </w:r>
      <w:proofErr w:type="spellStart"/>
      <w:r w:rsidRPr="007B3AED">
        <w:rPr>
          <w:rFonts w:ascii="Arial Narrow" w:hAnsi="Arial Narrow"/>
        </w:rPr>
        <w:t>Vasarhelyi</w:t>
      </w:r>
      <w:proofErr w:type="spellEnd"/>
      <w:r w:rsidRPr="007B3AED">
        <w:rPr>
          <w:rFonts w:ascii="Arial Narrow" w:hAnsi="Arial Narrow"/>
        </w:rPr>
        <w:t xml:space="preserve">, M. (2017). Big data and analytics in the modern audit engagement. </w:t>
      </w:r>
      <w:r w:rsidRPr="007B3AED">
        <w:rPr>
          <w:rFonts w:ascii="Arial Narrow" w:hAnsi="Arial Narrow"/>
          <w:i/>
          <w:iCs/>
        </w:rPr>
        <w:t>Accounting Horizons</w:t>
      </w:r>
      <w:r w:rsidRPr="007B3AED">
        <w:rPr>
          <w:rFonts w:ascii="Arial Narrow" w:hAnsi="Arial Narrow"/>
        </w:rPr>
        <w:t>, 31(4), 1–19. https://doi.org/10.2308/acch-51756</w:t>
      </w:r>
    </w:p>
    <w:p w14:paraId="461E5ACB" w14:textId="77777777" w:rsidR="007B3AED" w:rsidRPr="007B3AED" w:rsidRDefault="007B3AED" w:rsidP="007B3AED">
      <w:pPr>
        <w:rPr>
          <w:rFonts w:ascii="Arial Narrow" w:hAnsi="Arial Narrow"/>
        </w:rPr>
      </w:pPr>
      <w:proofErr w:type="spellStart"/>
      <w:r w:rsidRPr="007B3AED">
        <w:rPr>
          <w:rFonts w:ascii="Arial Narrow" w:hAnsi="Arial Narrow"/>
        </w:rPr>
        <w:t>Leuz</w:t>
      </w:r>
      <w:proofErr w:type="spellEnd"/>
      <w:r w:rsidRPr="007B3AED">
        <w:rPr>
          <w:rFonts w:ascii="Arial Narrow" w:hAnsi="Arial Narrow"/>
        </w:rPr>
        <w:t xml:space="preserve">, C., Nanda, D., &amp; Wysocki, P. D. (2003). Earnings management and investor protection. </w:t>
      </w:r>
      <w:r w:rsidRPr="007B3AED">
        <w:rPr>
          <w:rFonts w:ascii="Arial Narrow" w:hAnsi="Arial Narrow"/>
          <w:i/>
          <w:iCs/>
        </w:rPr>
        <w:t>Journal of Financial Economics</w:t>
      </w:r>
      <w:r w:rsidRPr="007B3AED">
        <w:rPr>
          <w:rFonts w:ascii="Arial Narrow" w:hAnsi="Arial Narrow"/>
        </w:rPr>
        <w:t>, 69(3), 505–527. https://doi.org/10.1016/S0304-405X(03)00121-1</w:t>
      </w:r>
    </w:p>
    <w:p w14:paraId="158DED06" w14:textId="77777777" w:rsidR="007B3AED" w:rsidRPr="007B3AED" w:rsidRDefault="007B3AED" w:rsidP="007B3AED">
      <w:pPr>
        <w:rPr>
          <w:rFonts w:ascii="Arial Narrow" w:hAnsi="Arial Narrow"/>
        </w:rPr>
      </w:pPr>
      <w:r w:rsidRPr="007B3AED">
        <w:rPr>
          <w:rFonts w:ascii="Arial Narrow" w:hAnsi="Arial Narrow"/>
        </w:rPr>
        <w:t xml:space="preserve">Dai, J., &amp; </w:t>
      </w:r>
      <w:proofErr w:type="spellStart"/>
      <w:r w:rsidRPr="007B3AED">
        <w:rPr>
          <w:rFonts w:ascii="Arial Narrow" w:hAnsi="Arial Narrow"/>
        </w:rPr>
        <w:t>Vasarhelyi</w:t>
      </w:r>
      <w:proofErr w:type="spellEnd"/>
      <w:r w:rsidRPr="007B3AED">
        <w:rPr>
          <w:rFonts w:ascii="Arial Narrow" w:hAnsi="Arial Narrow"/>
        </w:rPr>
        <w:t xml:space="preserve">, M. A. (2017). Toward blockchain-based accounting and assurance. </w:t>
      </w:r>
      <w:r w:rsidRPr="007B3AED">
        <w:rPr>
          <w:rFonts w:ascii="Arial Narrow" w:hAnsi="Arial Narrow"/>
          <w:i/>
          <w:iCs/>
        </w:rPr>
        <w:t>Journal of Information Systems</w:t>
      </w:r>
      <w:r w:rsidRPr="007B3AED">
        <w:rPr>
          <w:rFonts w:ascii="Arial Narrow" w:hAnsi="Arial Narrow"/>
        </w:rPr>
        <w:t xml:space="preserve">, 31(3), 5–21. </w:t>
      </w:r>
      <w:hyperlink r:id="rId10" w:tgtFrame="_new" w:history="1">
        <w:r w:rsidRPr="007B3AED">
          <w:rPr>
            <w:rStyle w:val="Hyperlink"/>
            <w:rFonts w:ascii="Arial Narrow" w:hAnsi="Arial Narrow"/>
          </w:rPr>
          <w:t>https://doi.org/10.2308/isys-51804</w:t>
        </w:r>
      </w:hyperlink>
    </w:p>
    <w:p w14:paraId="00CAB967" w14:textId="77777777" w:rsidR="007B3AED" w:rsidRPr="007B3AED" w:rsidRDefault="007B3AED" w:rsidP="007B3AED">
      <w:pPr>
        <w:rPr>
          <w:rFonts w:ascii="Arial Narrow" w:hAnsi="Arial Narrow"/>
        </w:rPr>
      </w:pPr>
      <w:r w:rsidRPr="007B3AED">
        <w:rPr>
          <w:rFonts w:ascii="Arial Narrow" w:hAnsi="Arial Narrow"/>
        </w:rPr>
        <w:t xml:space="preserve">Yamey, B. S. (1949). Scientific bookkeeping and the rise of capitalism. </w:t>
      </w:r>
      <w:r w:rsidRPr="007B3AED">
        <w:rPr>
          <w:rFonts w:ascii="Arial Narrow" w:hAnsi="Arial Narrow"/>
          <w:i/>
          <w:iCs/>
        </w:rPr>
        <w:t>The Economic History Review</w:t>
      </w:r>
      <w:r w:rsidRPr="007B3AED">
        <w:rPr>
          <w:rFonts w:ascii="Arial Narrow" w:hAnsi="Arial Narrow"/>
        </w:rPr>
        <w:t>, 1(2/3), 99–113. https://doi.org/10.2307/2590488</w:t>
      </w:r>
    </w:p>
    <w:p w14:paraId="7C375D0F" w14:textId="77777777" w:rsidR="007B3AED" w:rsidRPr="007B3AED" w:rsidRDefault="007B3AED" w:rsidP="007B3AED">
      <w:pPr>
        <w:rPr>
          <w:rFonts w:ascii="Arial Narrow" w:hAnsi="Arial Narrow"/>
        </w:rPr>
      </w:pPr>
      <w:proofErr w:type="spellStart"/>
      <w:r w:rsidRPr="007B3AED">
        <w:rPr>
          <w:rFonts w:ascii="Arial Narrow" w:hAnsi="Arial Narrow"/>
        </w:rPr>
        <w:t>Kieso</w:t>
      </w:r>
      <w:proofErr w:type="spellEnd"/>
      <w:r w:rsidRPr="007B3AED">
        <w:rPr>
          <w:rFonts w:ascii="Arial Narrow" w:hAnsi="Arial Narrow"/>
        </w:rPr>
        <w:t xml:space="preserve">, D. E., Weygandt, J. J., &amp; Warfield, T. D. (2020). </w:t>
      </w:r>
      <w:r w:rsidRPr="007B3AED">
        <w:rPr>
          <w:rFonts w:ascii="Arial Narrow" w:hAnsi="Arial Narrow"/>
          <w:i/>
          <w:iCs/>
        </w:rPr>
        <w:t>Intermediate accounting</w:t>
      </w:r>
      <w:r w:rsidRPr="007B3AED">
        <w:rPr>
          <w:rFonts w:ascii="Arial Narrow" w:hAnsi="Arial Narrow"/>
        </w:rPr>
        <w:t xml:space="preserve"> (17th ed.). Wiley.</w:t>
      </w:r>
    </w:p>
    <w:p w14:paraId="72FA14F0" w14:textId="77777777" w:rsidR="007B3AED" w:rsidRPr="007B3AED" w:rsidRDefault="007B3AED" w:rsidP="007B3AED">
      <w:pPr>
        <w:rPr>
          <w:rFonts w:ascii="Arial Narrow" w:hAnsi="Arial Narrow"/>
        </w:rPr>
      </w:pPr>
      <w:r w:rsidRPr="007B3AED">
        <w:rPr>
          <w:rFonts w:ascii="Arial Narrow" w:hAnsi="Arial Narrow"/>
        </w:rPr>
        <w:t xml:space="preserve">Healy, P. M., &amp; Palepu, K. G. (2003). The fall of Enron. </w:t>
      </w:r>
      <w:r w:rsidRPr="007B3AED">
        <w:rPr>
          <w:rFonts w:ascii="Arial Narrow" w:hAnsi="Arial Narrow"/>
          <w:i/>
          <w:iCs/>
        </w:rPr>
        <w:t>Journal of Economic Perspectives</w:t>
      </w:r>
      <w:r w:rsidRPr="007B3AED">
        <w:rPr>
          <w:rFonts w:ascii="Arial Narrow" w:hAnsi="Arial Narrow"/>
        </w:rPr>
        <w:t>, 17(2), 3–26. https://doi.org/10.1257/089533003765888403</w:t>
      </w:r>
    </w:p>
    <w:p w14:paraId="2CBEF714" w14:textId="77777777" w:rsidR="007B0219" w:rsidRPr="007B3AED" w:rsidRDefault="007B0219">
      <w:pPr>
        <w:rPr>
          <w:rFonts w:ascii="Arial Narrow" w:hAnsi="Arial Narrow"/>
        </w:rPr>
      </w:pPr>
    </w:p>
    <w:sectPr w:rsidR="007B0219" w:rsidRPr="007B3A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0219"/>
    <w:rsid w:val="001A4EAB"/>
    <w:rsid w:val="007B0219"/>
    <w:rsid w:val="007B3AED"/>
    <w:rsid w:val="007D35A9"/>
    <w:rsid w:val="00D32FB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761E8"/>
  <w15:chartTrackingRefBased/>
  <w15:docId w15:val="{D4FDC83D-B2A0-4F2B-9146-3211745B1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0219"/>
  </w:style>
  <w:style w:type="paragraph" w:styleId="Heading1">
    <w:name w:val="heading 1"/>
    <w:basedOn w:val="Normal"/>
    <w:next w:val="Normal"/>
    <w:link w:val="Heading1Char"/>
    <w:uiPriority w:val="9"/>
    <w:qFormat/>
    <w:rsid w:val="007B0219"/>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7B0219"/>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B0219"/>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B021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02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02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02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02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02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219"/>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7B0219"/>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B0219"/>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B021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02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02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02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02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0219"/>
    <w:rPr>
      <w:rFonts w:eastAsiaTheme="majorEastAsia" w:cstheme="majorBidi"/>
      <w:color w:val="272727" w:themeColor="text1" w:themeTint="D8"/>
    </w:rPr>
  </w:style>
  <w:style w:type="paragraph" w:styleId="Title">
    <w:name w:val="Title"/>
    <w:basedOn w:val="Normal"/>
    <w:next w:val="Normal"/>
    <w:link w:val="TitleChar"/>
    <w:uiPriority w:val="10"/>
    <w:qFormat/>
    <w:rsid w:val="007B0219"/>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B0219"/>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B0219"/>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B0219"/>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B0219"/>
    <w:pPr>
      <w:spacing w:before="160"/>
      <w:jc w:val="center"/>
    </w:pPr>
    <w:rPr>
      <w:i/>
      <w:iCs/>
      <w:color w:val="404040" w:themeColor="text1" w:themeTint="BF"/>
    </w:rPr>
  </w:style>
  <w:style w:type="character" w:customStyle="1" w:styleId="QuoteChar">
    <w:name w:val="Quote Char"/>
    <w:basedOn w:val="DefaultParagraphFont"/>
    <w:link w:val="Quote"/>
    <w:uiPriority w:val="29"/>
    <w:rsid w:val="007B0219"/>
    <w:rPr>
      <w:i/>
      <w:iCs/>
      <w:color w:val="404040" w:themeColor="text1" w:themeTint="BF"/>
    </w:rPr>
  </w:style>
  <w:style w:type="paragraph" w:styleId="ListParagraph">
    <w:name w:val="List Paragraph"/>
    <w:basedOn w:val="Normal"/>
    <w:uiPriority w:val="34"/>
    <w:qFormat/>
    <w:rsid w:val="007B0219"/>
    <w:pPr>
      <w:ind w:left="720"/>
      <w:contextualSpacing/>
    </w:pPr>
  </w:style>
  <w:style w:type="character" w:styleId="IntenseEmphasis">
    <w:name w:val="Intense Emphasis"/>
    <w:basedOn w:val="DefaultParagraphFont"/>
    <w:uiPriority w:val="21"/>
    <w:qFormat/>
    <w:rsid w:val="007B0219"/>
    <w:rPr>
      <w:i/>
      <w:iCs/>
      <w:color w:val="0F4761" w:themeColor="accent1" w:themeShade="BF"/>
    </w:rPr>
  </w:style>
  <w:style w:type="paragraph" w:styleId="IntenseQuote">
    <w:name w:val="Intense Quote"/>
    <w:basedOn w:val="Normal"/>
    <w:next w:val="Normal"/>
    <w:link w:val="IntenseQuoteChar"/>
    <w:uiPriority w:val="30"/>
    <w:qFormat/>
    <w:rsid w:val="007B02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0219"/>
    <w:rPr>
      <w:i/>
      <w:iCs/>
      <w:color w:val="0F4761" w:themeColor="accent1" w:themeShade="BF"/>
    </w:rPr>
  </w:style>
  <w:style w:type="character" w:styleId="IntenseReference">
    <w:name w:val="Intense Reference"/>
    <w:basedOn w:val="DefaultParagraphFont"/>
    <w:uiPriority w:val="32"/>
    <w:qFormat/>
    <w:rsid w:val="007B0219"/>
    <w:rPr>
      <w:b/>
      <w:bCs/>
      <w:smallCaps/>
      <w:color w:val="0F4761" w:themeColor="accent1" w:themeShade="BF"/>
      <w:spacing w:val="5"/>
    </w:rPr>
  </w:style>
  <w:style w:type="character" w:styleId="Hyperlink">
    <w:name w:val="Hyperlink"/>
    <w:basedOn w:val="DefaultParagraphFont"/>
    <w:uiPriority w:val="99"/>
    <w:unhideWhenUsed/>
    <w:rsid w:val="007B0219"/>
    <w:rPr>
      <w:color w:val="467886" w:themeColor="hyperlink"/>
      <w:u w:val="single"/>
    </w:rPr>
  </w:style>
  <w:style w:type="paragraph" w:styleId="TOCHeading">
    <w:name w:val="TOC Heading"/>
    <w:basedOn w:val="Heading1"/>
    <w:next w:val="Normal"/>
    <w:uiPriority w:val="39"/>
    <w:unhideWhenUsed/>
    <w:qFormat/>
    <w:rsid w:val="007B0219"/>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7B0219"/>
    <w:pPr>
      <w:spacing w:after="100"/>
      <w:ind w:left="240"/>
    </w:pPr>
  </w:style>
  <w:style w:type="character" w:styleId="UnresolvedMention">
    <w:name w:val="Unresolved Mention"/>
    <w:basedOn w:val="DefaultParagraphFont"/>
    <w:uiPriority w:val="99"/>
    <w:semiHidden/>
    <w:unhideWhenUsed/>
    <w:rsid w:val="007B3A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2308/acch-51071" TargetMode="External"/><Relationship Id="rId3" Type="http://schemas.openxmlformats.org/officeDocument/2006/relationships/webSettings" Target="webSettings.xml"/><Relationship Id="rId7" Type="http://schemas.openxmlformats.org/officeDocument/2006/relationships/hyperlink" Target="https://doi.org/10.2308/jeta-5191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i.org/10.1080/00014788.2006.9730040"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doi.org/10.2308/isys-51804" TargetMode="External"/><Relationship Id="rId4" Type="http://schemas.openxmlformats.org/officeDocument/2006/relationships/image" Target="media/image1.png"/><Relationship Id="rId9" Type="http://schemas.openxmlformats.org/officeDocument/2006/relationships/hyperlink" Target="https://doi.org/10.2308/jeta-105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5064</Words>
  <Characters>28869</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2026-03-20T07:40:00Z</dcterms:created>
  <dcterms:modified xsi:type="dcterms:W3CDTF">2026-03-20T07:59:00Z</dcterms:modified>
</cp:coreProperties>
</file>