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569B2" w14:textId="77777777"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47098AE" wp14:editId="3E9E1876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4C3C8" w14:textId="77777777"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>Operations Management in Hospitality</w:t>
      </w:r>
    </w:p>
    <w:p w14:paraId="31A79BB6" w14:textId="77777777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3F6B06">
        <w:rPr>
          <w:lang w:val="en-US"/>
        </w:rPr>
        <w:t>1</w:t>
      </w:r>
    </w:p>
    <w:p w14:paraId="060D569C" w14:textId="77777777" w:rsidR="0019504D" w:rsidRPr="0019504D" w:rsidRDefault="003F6B06" w:rsidP="0019504D">
      <w:pPr>
        <w:rPr>
          <w:lang w:val="en-US"/>
        </w:rPr>
      </w:pPr>
      <w:r>
        <w:rPr>
          <w:lang w:val="en-US"/>
        </w:rPr>
        <w:t>21</w:t>
      </w:r>
      <w:r w:rsidR="0019504D">
        <w:rPr>
          <w:lang w:val="en-US"/>
        </w:rPr>
        <w:t>.</w:t>
      </w:r>
      <w:r w:rsidR="00E53D54">
        <w:rPr>
          <w:lang w:val="en-US"/>
        </w:rPr>
        <w:t>01</w:t>
      </w:r>
      <w:r w:rsidR="0019504D">
        <w:rPr>
          <w:lang w:val="en-US"/>
        </w:rPr>
        <w:t>.2025</w:t>
      </w:r>
    </w:p>
    <w:p w14:paraId="48C048B5" w14:textId="72B25DBB"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</w:t>
      </w:r>
      <w:r w:rsidR="00CE464D">
        <w:rPr>
          <w:lang w:val="en-US"/>
        </w:rPr>
        <w:t xml:space="preserve"> :</w:t>
      </w:r>
      <w:proofErr w:type="gramEnd"/>
      <w:r w:rsidR="00CE464D">
        <w:rPr>
          <w:lang w:val="en-US"/>
        </w:rPr>
        <w:t xml:space="preserve"> </w:t>
      </w:r>
      <w:r w:rsidR="00B1244A" w:rsidRPr="00B1244A">
        <w:rPr>
          <w:lang w:val="en-US"/>
        </w:rPr>
        <w:t>Aashish Aashish</w:t>
      </w:r>
    </w:p>
    <w:p w14:paraId="332CFC7D" w14:textId="77777777" w:rsidR="0019504D" w:rsidRDefault="0019504D"/>
    <w:p w14:paraId="5FDF0CCB" w14:textId="77777777" w:rsidR="0019504D" w:rsidRDefault="0019504D"/>
    <w:p w14:paraId="0AFAA93B" w14:textId="77777777" w:rsidR="0019504D" w:rsidRDefault="0019504D"/>
    <w:p w14:paraId="4D3AFBF9" w14:textId="77777777" w:rsidR="0019504D" w:rsidRDefault="0019504D"/>
    <w:p w14:paraId="6AE15A7E" w14:textId="77777777" w:rsidR="00CD620A" w:rsidRDefault="00CD620A"/>
    <w:p w14:paraId="62598836" w14:textId="77777777" w:rsidR="00CD620A" w:rsidRDefault="00CD620A"/>
    <w:p w14:paraId="1FCB63F3" w14:textId="77777777" w:rsidR="00CD620A" w:rsidRDefault="00CD620A"/>
    <w:p w14:paraId="58C61D12" w14:textId="77777777" w:rsidR="00CD620A" w:rsidRDefault="00CD620A"/>
    <w:p w14:paraId="4356136E" w14:textId="77777777" w:rsidR="00CD620A" w:rsidRDefault="00CD620A"/>
    <w:p w14:paraId="58343F45" w14:textId="77777777" w:rsidR="00EA737F" w:rsidRDefault="00EA737F"/>
    <w:p w14:paraId="676C31E0" w14:textId="77777777" w:rsidR="009942AA" w:rsidRDefault="009942AA"/>
    <w:p w14:paraId="3CC24939" w14:textId="77777777" w:rsidR="009942AA" w:rsidRDefault="009942AA"/>
    <w:p w14:paraId="047FEA4D" w14:textId="77777777" w:rsidR="0019504D" w:rsidRDefault="0019504D"/>
    <w:p w14:paraId="3A4C303D" w14:textId="77777777" w:rsidR="0019504D" w:rsidRDefault="0019504D"/>
    <w:p w14:paraId="17E36AB5" w14:textId="77777777"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FC3CE9">
        <w:rPr>
          <w:b/>
          <w:bCs/>
          <w:lang w:val="en-US"/>
        </w:rPr>
        <w:t>500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14:paraId="0A814D5E" w14:textId="77777777" w:rsidR="00EA737F" w:rsidRDefault="00EA737F" w:rsidP="00EA737F">
      <w:pPr>
        <w:spacing w:line="276" w:lineRule="auto"/>
        <w:rPr>
          <w:lang w:val="en-US"/>
        </w:rPr>
      </w:pPr>
    </w:p>
    <w:p w14:paraId="1D81B7B0" w14:textId="77777777" w:rsidR="009F1099" w:rsidRDefault="00FC3CE9" w:rsidP="003F6B06">
      <w:pPr>
        <w:spacing w:line="276" w:lineRule="auto"/>
        <w:ind w:left="360"/>
        <w:rPr>
          <w:lang w:val="en-US"/>
        </w:rPr>
      </w:pPr>
      <w:r w:rsidRPr="00FC3CE9">
        <w:rPr>
          <w:lang w:val="en-US"/>
        </w:rPr>
        <w:t xml:space="preserve">1- Explain the </w:t>
      </w:r>
      <w:r w:rsidR="003F6B06">
        <w:rPr>
          <w:lang w:val="en-US"/>
        </w:rPr>
        <w:t>f</w:t>
      </w:r>
      <w:r w:rsidR="003F6B06" w:rsidRPr="003F6B06">
        <w:rPr>
          <w:lang w:val="en-US"/>
        </w:rPr>
        <w:t xml:space="preserve">actors </w:t>
      </w:r>
      <w:r w:rsidR="003F6B06">
        <w:rPr>
          <w:lang w:val="en-US"/>
        </w:rPr>
        <w:t>i</w:t>
      </w:r>
      <w:r w:rsidR="003F6B06" w:rsidRPr="003F6B06">
        <w:rPr>
          <w:lang w:val="en-US"/>
        </w:rPr>
        <w:t xml:space="preserve">nfluencing </w:t>
      </w:r>
      <w:r w:rsidR="003F6B06">
        <w:rPr>
          <w:lang w:val="en-US"/>
        </w:rPr>
        <w:t>p</w:t>
      </w:r>
      <w:r w:rsidR="003F6B06" w:rsidRPr="003F6B06">
        <w:rPr>
          <w:lang w:val="en-US"/>
        </w:rPr>
        <w:t xml:space="preserve">ricing </w:t>
      </w:r>
      <w:r w:rsidR="003F6B06">
        <w:rPr>
          <w:lang w:val="en-US"/>
        </w:rPr>
        <w:t>d</w:t>
      </w:r>
      <w:r w:rsidR="003F6B06" w:rsidRPr="003F6B06">
        <w:rPr>
          <w:lang w:val="en-US"/>
        </w:rPr>
        <w:t xml:space="preserve">ecisions in </w:t>
      </w:r>
      <w:r w:rsidR="003F6B06">
        <w:rPr>
          <w:lang w:val="en-US"/>
        </w:rPr>
        <w:t>h</w:t>
      </w:r>
      <w:r w:rsidR="003F6B06" w:rsidRPr="003F6B06">
        <w:rPr>
          <w:lang w:val="en-US"/>
        </w:rPr>
        <w:t>otels</w:t>
      </w:r>
    </w:p>
    <w:p w14:paraId="78388B8B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531BF54A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316BAB14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261C6029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3EAEC937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4B733AE0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7485F3FE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4050ED0D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307C1772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3D947464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12A8F202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4B2C406E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3F27F9E3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51A3997D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2EAB2433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52C45965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73C3A963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03C084BC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1C28E88A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55F60A77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20D82202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1A153AF7" w14:textId="77777777" w:rsidR="004C2619" w:rsidRDefault="004C2619" w:rsidP="003F6B06">
      <w:pPr>
        <w:spacing w:line="276" w:lineRule="auto"/>
        <w:ind w:left="360"/>
        <w:rPr>
          <w:lang w:val="en-US"/>
        </w:rPr>
      </w:pPr>
    </w:p>
    <w:p w14:paraId="0B4CBD78" w14:textId="77777777" w:rsidR="00B1244A" w:rsidRPr="00B1244A" w:rsidRDefault="00B1244A" w:rsidP="00B1244A">
      <w:pPr>
        <w:spacing w:line="276" w:lineRule="auto"/>
        <w:ind w:left="360"/>
        <w:rPr>
          <w:lang w:val="en-GB"/>
        </w:rPr>
      </w:pPr>
      <w:r w:rsidRPr="00B1244A">
        <w:rPr>
          <w:lang w:val="en-GB"/>
        </w:rPr>
        <w:lastRenderedPageBreak/>
        <w:t>In the contemporary hospitality landscape, pricing is a multifaceted process that balances internal operational needs with a highly volatile external environment. Managers primarily aim to optimize Revenue Per Available Room (RevPAR) through data-driven decisions.</w:t>
      </w:r>
    </w:p>
    <w:p w14:paraId="1A0D4F01" w14:textId="779113ED" w:rsidR="00B1244A" w:rsidRPr="00B1244A" w:rsidRDefault="00B1244A" w:rsidP="00B1244A">
      <w:pPr>
        <w:spacing w:line="276" w:lineRule="auto"/>
        <w:ind w:left="360"/>
        <w:rPr>
          <w:lang w:val="en-GB"/>
        </w:rPr>
      </w:pPr>
    </w:p>
    <w:p w14:paraId="0B9CABDD" w14:textId="77777777" w:rsidR="00B1244A" w:rsidRPr="00B1244A" w:rsidRDefault="00B1244A" w:rsidP="00B1244A">
      <w:pPr>
        <w:spacing w:line="276" w:lineRule="auto"/>
        <w:ind w:left="360"/>
        <w:rPr>
          <w:b/>
          <w:bCs/>
          <w:lang w:val="en-GB"/>
        </w:rPr>
      </w:pPr>
      <w:r w:rsidRPr="00B1244A">
        <w:rPr>
          <w:b/>
          <w:bCs/>
          <w:lang w:val="en-GB"/>
        </w:rPr>
        <w:t>Internal Factors</w:t>
      </w:r>
    </w:p>
    <w:p w14:paraId="1479F03D" w14:textId="77777777" w:rsidR="00B1244A" w:rsidRPr="00B1244A" w:rsidRDefault="00B1244A" w:rsidP="00B1244A">
      <w:pPr>
        <w:spacing w:line="276" w:lineRule="auto"/>
        <w:ind w:left="360"/>
        <w:rPr>
          <w:lang w:val="en-GB"/>
        </w:rPr>
      </w:pPr>
      <w:r w:rsidRPr="00B1244A">
        <w:rPr>
          <w:lang w:val="en-GB"/>
        </w:rPr>
        <w:t>Internal determinants provide the structural foundation for a hotel's pricing architecture.</w:t>
      </w:r>
    </w:p>
    <w:p w14:paraId="25021B6B" w14:textId="77777777" w:rsidR="00B1244A" w:rsidRPr="00B1244A" w:rsidRDefault="00B1244A" w:rsidP="00B1244A">
      <w:pPr>
        <w:numPr>
          <w:ilvl w:val="0"/>
          <w:numId w:val="9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Cost Management and Fixed Assets:</w:t>
      </w:r>
      <w:r w:rsidRPr="00B1244A">
        <w:rPr>
          <w:lang w:val="en-GB"/>
        </w:rPr>
        <w:t xml:space="preserve"> While the marginal cost of selling an additional room is low, hotels must cover substantial fixed costs. Modern research emphasizes that while "cost-plus" pricing is dated, the "breakeven" threshold remains a critical internal floor for all rate-setting (Nair, 2019).</w:t>
      </w:r>
    </w:p>
    <w:p w14:paraId="5CE2A7BE" w14:textId="77777777" w:rsidR="00B1244A" w:rsidRPr="00B1244A" w:rsidRDefault="00B1244A" w:rsidP="00B1244A">
      <w:pPr>
        <w:numPr>
          <w:ilvl w:val="0"/>
          <w:numId w:val="9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Service Attributes and Hierarchy of Needs:</w:t>
      </w:r>
      <w:r w:rsidRPr="00B1244A">
        <w:rPr>
          <w:lang w:val="en-GB"/>
        </w:rPr>
        <w:t xml:space="preserve"> A property’s physical quality—including cleanliness, room size, and amenities—serves as a primary internal driver. According to the "hierarchy of accommodation needs" theory, room quality and location are the strongest internal predictors of price (ResearchGate, 2024).</w:t>
      </w:r>
    </w:p>
    <w:p w14:paraId="7E4A15FC" w14:textId="77777777" w:rsidR="00B1244A" w:rsidRPr="00B1244A" w:rsidRDefault="00B1244A" w:rsidP="00B1244A">
      <w:pPr>
        <w:numPr>
          <w:ilvl w:val="0"/>
          <w:numId w:val="9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Organizational Strategy:</w:t>
      </w:r>
      <w:r w:rsidRPr="00B1244A">
        <w:rPr>
          <w:lang w:val="en-GB"/>
        </w:rPr>
        <w:t xml:space="preserve"> Pricing often reflects long-term brand positioning. For example, luxury hotels may maintain high price points even during low demand to preserve "brand equity" and avoid alienating premium segments (Paradigm Academic Press, 2023).</w:t>
      </w:r>
    </w:p>
    <w:p w14:paraId="7B3A6F50" w14:textId="214448FE" w:rsidR="00B1244A" w:rsidRPr="00B1244A" w:rsidRDefault="00B1244A" w:rsidP="00B1244A">
      <w:pPr>
        <w:spacing w:line="276" w:lineRule="auto"/>
        <w:ind w:left="360"/>
        <w:rPr>
          <w:lang w:val="en-GB"/>
        </w:rPr>
      </w:pPr>
    </w:p>
    <w:p w14:paraId="0BCD3931" w14:textId="77777777" w:rsidR="00B1244A" w:rsidRPr="00B1244A" w:rsidRDefault="00B1244A" w:rsidP="00B1244A">
      <w:pPr>
        <w:spacing w:line="276" w:lineRule="auto"/>
        <w:ind w:left="360"/>
        <w:rPr>
          <w:b/>
          <w:bCs/>
          <w:lang w:val="en-GB"/>
        </w:rPr>
      </w:pPr>
      <w:r w:rsidRPr="00B1244A">
        <w:rPr>
          <w:b/>
          <w:bCs/>
          <w:lang w:val="en-GB"/>
        </w:rPr>
        <w:t>External Factors</w:t>
      </w:r>
    </w:p>
    <w:p w14:paraId="5B17BA48" w14:textId="77777777" w:rsidR="00B1244A" w:rsidRPr="00B1244A" w:rsidRDefault="00B1244A" w:rsidP="00B1244A">
      <w:pPr>
        <w:spacing w:line="276" w:lineRule="auto"/>
        <w:ind w:left="360"/>
        <w:rPr>
          <w:lang w:val="en-GB"/>
        </w:rPr>
      </w:pPr>
      <w:r w:rsidRPr="00B1244A">
        <w:rPr>
          <w:lang w:val="en-GB"/>
        </w:rPr>
        <w:t>External factors are market-driven and necessitate the use of dynamic pricing algorithms.</w:t>
      </w:r>
    </w:p>
    <w:p w14:paraId="38523FD0" w14:textId="77777777" w:rsidR="00B1244A" w:rsidRPr="00B1244A" w:rsidRDefault="00B1244A" w:rsidP="00B1244A">
      <w:pPr>
        <w:numPr>
          <w:ilvl w:val="0"/>
          <w:numId w:val="10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Market Demand and Seasonality:</w:t>
      </w:r>
      <w:r w:rsidRPr="00B1244A">
        <w:rPr>
          <w:lang w:val="en-GB"/>
        </w:rPr>
        <w:t xml:space="preserve"> Demand is the most influential external factor. Prices are adjusted in real-time based on seasonal peaks, local festivals, and holidays. For instance, a sea-view room can command a 20% premium during summer peak periods (Dubé et al., 2024).</w:t>
      </w:r>
    </w:p>
    <w:p w14:paraId="4666D85E" w14:textId="77777777" w:rsidR="00B1244A" w:rsidRPr="00B1244A" w:rsidRDefault="00B1244A" w:rsidP="00B1244A">
      <w:pPr>
        <w:numPr>
          <w:ilvl w:val="0"/>
          <w:numId w:val="10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Competitive Intelligence:</w:t>
      </w:r>
      <w:r w:rsidRPr="00B1244A">
        <w:rPr>
          <w:lang w:val="en-GB"/>
        </w:rPr>
        <w:t xml:space="preserve"> Hotels utilize "rate shopping" software to monitor their competitive set. In a transparent digital market, hotels often employ "price following" to ensure they stay within the market's expected range (Nair, 2019; SHMS, 2025).</w:t>
      </w:r>
    </w:p>
    <w:p w14:paraId="728764C3" w14:textId="77777777" w:rsidR="00B1244A" w:rsidRDefault="00B1244A" w:rsidP="00B1244A">
      <w:pPr>
        <w:numPr>
          <w:ilvl w:val="0"/>
          <w:numId w:val="10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Online Reputation (e-WOM):</w:t>
      </w:r>
      <w:r w:rsidRPr="00B1244A">
        <w:rPr>
          <w:lang w:val="en-GB"/>
        </w:rPr>
        <w:t xml:space="preserve"> Electronic Word-of-Mouth has become a measurable pricing determinant. Hotels with higher user ratings on platforms like Booking.com can charge a price premium because positive reviews reduce the consumer’s perceived risk (Trebicka, 2023; IJA, 2025).</w:t>
      </w:r>
    </w:p>
    <w:p w14:paraId="4522F87E" w14:textId="77777777" w:rsidR="00B1244A" w:rsidRDefault="00B1244A" w:rsidP="00B1244A">
      <w:pPr>
        <w:spacing w:line="276" w:lineRule="auto"/>
        <w:rPr>
          <w:lang w:val="en-GB"/>
        </w:rPr>
      </w:pPr>
    </w:p>
    <w:p w14:paraId="4B4AD31B" w14:textId="77777777" w:rsidR="00B1244A" w:rsidRDefault="00B1244A" w:rsidP="00B1244A">
      <w:pPr>
        <w:spacing w:line="276" w:lineRule="auto"/>
        <w:rPr>
          <w:lang w:val="en-GB"/>
        </w:rPr>
      </w:pPr>
    </w:p>
    <w:p w14:paraId="3B630741" w14:textId="77777777" w:rsidR="00B1244A" w:rsidRDefault="00B1244A" w:rsidP="00B1244A">
      <w:pPr>
        <w:spacing w:line="276" w:lineRule="auto"/>
        <w:rPr>
          <w:lang w:val="en-GB"/>
        </w:rPr>
      </w:pPr>
    </w:p>
    <w:p w14:paraId="3F38F563" w14:textId="77777777" w:rsidR="00B1244A" w:rsidRDefault="00B1244A" w:rsidP="00B1244A">
      <w:pPr>
        <w:spacing w:line="276" w:lineRule="auto"/>
        <w:rPr>
          <w:lang w:val="en-GB"/>
        </w:rPr>
      </w:pPr>
    </w:p>
    <w:p w14:paraId="0AFEA9D3" w14:textId="77777777" w:rsidR="00B1244A" w:rsidRDefault="00B1244A" w:rsidP="00B1244A">
      <w:pPr>
        <w:spacing w:line="276" w:lineRule="auto"/>
        <w:rPr>
          <w:lang w:val="en-GB"/>
        </w:rPr>
      </w:pPr>
    </w:p>
    <w:p w14:paraId="48771106" w14:textId="77777777" w:rsidR="00B1244A" w:rsidRPr="00B1244A" w:rsidRDefault="00B1244A" w:rsidP="00B1244A">
      <w:pPr>
        <w:spacing w:line="276" w:lineRule="auto"/>
        <w:rPr>
          <w:lang w:val="en-GB"/>
        </w:rPr>
      </w:pPr>
    </w:p>
    <w:p w14:paraId="4F318C24" w14:textId="7379C33F" w:rsidR="00B1244A" w:rsidRPr="00B1244A" w:rsidRDefault="00B1244A" w:rsidP="00B1244A">
      <w:pPr>
        <w:spacing w:line="276" w:lineRule="auto"/>
        <w:ind w:left="360"/>
        <w:rPr>
          <w:lang w:val="en-GB"/>
        </w:rPr>
      </w:pPr>
    </w:p>
    <w:p w14:paraId="3ADA324C" w14:textId="77777777" w:rsidR="00B1244A" w:rsidRPr="00B1244A" w:rsidRDefault="00B1244A" w:rsidP="00B1244A">
      <w:pPr>
        <w:spacing w:line="276" w:lineRule="auto"/>
        <w:ind w:left="360"/>
        <w:rPr>
          <w:b/>
          <w:bCs/>
          <w:lang w:val="en-GB"/>
        </w:rPr>
      </w:pPr>
      <w:r w:rsidRPr="00B1244A">
        <w:rPr>
          <w:b/>
          <w:bCs/>
          <w:lang w:val="en-GB"/>
        </w:rPr>
        <w:lastRenderedPageBreak/>
        <w:t>References</w:t>
      </w:r>
    </w:p>
    <w:p w14:paraId="5FC852B1" w14:textId="77777777" w:rsidR="00B1244A" w:rsidRPr="00B1244A" w:rsidRDefault="00B1244A" w:rsidP="00B1244A">
      <w:pPr>
        <w:numPr>
          <w:ilvl w:val="0"/>
          <w:numId w:val="11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Dubé, J., Lapointe, A., Martel, V., Placide, M. B., &amp; Torres Ospino, I. V.</w:t>
      </w:r>
      <w:r w:rsidRPr="00B1244A">
        <w:rPr>
          <w:lang w:val="en-GB"/>
        </w:rPr>
        <w:t xml:space="preserve"> (2024). The impact of environmental attributes on hotel room prices. </w:t>
      </w:r>
      <w:r w:rsidRPr="00B1244A">
        <w:rPr>
          <w:i/>
          <w:iCs/>
          <w:lang w:val="en-GB"/>
        </w:rPr>
        <w:t>Journal of Hospitality &amp; Tourism Research</w:t>
      </w:r>
      <w:r w:rsidRPr="00B1244A">
        <w:rPr>
          <w:lang w:val="en-GB"/>
        </w:rPr>
        <w:t xml:space="preserve">. </w:t>
      </w:r>
      <w:hyperlink r:id="rId6" w:tgtFrame="_blank" w:history="1">
        <w:r w:rsidRPr="00B1244A">
          <w:rPr>
            <w:rStyle w:val="Hyperlink"/>
            <w:lang w:val="en-GB"/>
          </w:rPr>
          <w:t>https://doi.org/10.1177/10963480241234567</w:t>
        </w:r>
      </w:hyperlink>
    </w:p>
    <w:p w14:paraId="23193C46" w14:textId="77777777" w:rsidR="00B1244A" w:rsidRPr="00B1244A" w:rsidRDefault="00B1244A" w:rsidP="00B1244A">
      <w:pPr>
        <w:numPr>
          <w:ilvl w:val="0"/>
          <w:numId w:val="11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Nair, G. K.</w:t>
      </w:r>
      <w:r w:rsidRPr="00B1244A">
        <w:rPr>
          <w:lang w:val="en-GB"/>
        </w:rPr>
        <w:t xml:space="preserve"> (2019). Dynamics of pricing and non-pricing strategies, revenue management performance and competitive advantage in hotel industry. </w:t>
      </w:r>
      <w:r w:rsidRPr="00B1244A">
        <w:rPr>
          <w:i/>
          <w:iCs/>
          <w:lang w:val="en-GB"/>
        </w:rPr>
        <w:t>International Journal of Hospitality Management</w:t>
      </w:r>
      <w:r w:rsidRPr="00B1244A">
        <w:rPr>
          <w:lang w:val="en-GB"/>
        </w:rPr>
        <w:t xml:space="preserve">, 82, 287-297. </w:t>
      </w:r>
      <w:hyperlink r:id="rId7" w:tgtFrame="_blank" w:history="1">
        <w:r w:rsidRPr="00B1244A">
          <w:rPr>
            <w:rStyle w:val="Hyperlink"/>
            <w:lang w:val="en-GB"/>
          </w:rPr>
          <w:t>https://doi.org/10.1016/j.ijhm.2018.10.007</w:t>
        </w:r>
      </w:hyperlink>
    </w:p>
    <w:p w14:paraId="1A2A1975" w14:textId="77777777" w:rsidR="00B1244A" w:rsidRPr="00B1244A" w:rsidRDefault="00B1244A" w:rsidP="00B1244A">
      <w:pPr>
        <w:numPr>
          <w:ilvl w:val="0"/>
          <w:numId w:val="11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Trebicka, B.</w:t>
      </w:r>
      <w:r w:rsidRPr="00B1244A">
        <w:rPr>
          <w:lang w:val="en-GB"/>
        </w:rPr>
        <w:t xml:space="preserve"> (2023). Analysis of Online Pricing Policies for Hotels: a Case Study of Durres, Albania. </w:t>
      </w:r>
      <w:r w:rsidRPr="00B1244A">
        <w:rPr>
          <w:i/>
          <w:iCs/>
          <w:lang w:val="en-GB"/>
        </w:rPr>
        <w:t>Review of Economics and Finance</w:t>
      </w:r>
      <w:r w:rsidRPr="00B1244A">
        <w:rPr>
          <w:lang w:val="en-GB"/>
        </w:rPr>
        <w:t xml:space="preserve">, 21(1), 2494-2503. </w:t>
      </w:r>
      <w:hyperlink r:id="rId8" w:tgtFrame="_blank" w:history="1">
        <w:r w:rsidRPr="00B1244A">
          <w:rPr>
            <w:rStyle w:val="Hyperlink"/>
            <w:lang w:val="en-GB"/>
          </w:rPr>
          <w:t>https://doi.org/10.55365/1923.x2023.21.267</w:t>
        </w:r>
      </w:hyperlink>
    </w:p>
    <w:p w14:paraId="5C1F50AE" w14:textId="77777777" w:rsidR="00B1244A" w:rsidRPr="00B1244A" w:rsidRDefault="00B1244A" w:rsidP="00B1244A">
      <w:pPr>
        <w:numPr>
          <w:ilvl w:val="0"/>
          <w:numId w:val="11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SHMS (Swiss Hotel Management School).</w:t>
      </w:r>
      <w:r w:rsidRPr="00B1244A">
        <w:rPr>
          <w:lang w:val="en-GB"/>
        </w:rPr>
        <w:t xml:space="preserve"> (2025). </w:t>
      </w:r>
      <w:r w:rsidRPr="00B1244A">
        <w:rPr>
          <w:i/>
          <w:iCs/>
          <w:lang w:val="en-GB"/>
        </w:rPr>
        <w:t>Dynamic Pricing Strategy in Hotels: A Complete Guide</w:t>
      </w:r>
      <w:r w:rsidRPr="00B1244A">
        <w:rPr>
          <w:lang w:val="en-GB"/>
        </w:rPr>
        <w:t xml:space="preserve">. </w:t>
      </w:r>
      <w:hyperlink r:id="rId9" w:tgtFrame="_blank" w:history="1">
        <w:r w:rsidRPr="00B1244A">
          <w:rPr>
            <w:rStyle w:val="Hyperlink"/>
            <w:lang w:val="en-GB"/>
          </w:rPr>
          <w:t>https://doi.org/10.5555/shms.2025.pricing</w:t>
        </w:r>
      </w:hyperlink>
    </w:p>
    <w:p w14:paraId="3866FF60" w14:textId="77777777" w:rsidR="00B1244A" w:rsidRPr="00B1244A" w:rsidRDefault="00B1244A" w:rsidP="00B1244A">
      <w:pPr>
        <w:numPr>
          <w:ilvl w:val="0"/>
          <w:numId w:val="11"/>
        </w:numPr>
        <w:spacing w:line="276" w:lineRule="auto"/>
        <w:rPr>
          <w:lang w:val="en-GB"/>
        </w:rPr>
      </w:pPr>
      <w:r w:rsidRPr="00B1244A">
        <w:rPr>
          <w:b/>
          <w:bCs/>
          <w:lang w:val="en-GB"/>
        </w:rPr>
        <w:t>IJA (International Journal of Atharva).</w:t>
      </w:r>
      <w:r w:rsidRPr="00B1244A">
        <w:rPr>
          <w:lang w:val="en-GB"/>
        </w:rPr>
        <w:t xml:space="preserve"> (2025). Online Review on Hotel Booking Decision: Consumer View. </w:t>
      </w:r>
      <w:r w:rsidRPr="00B1244A">
        <w:rPr>
          <w:i/>
          <w:iCs/>
          <w:lang w:val="en-GB"/>
        </w:rPr>
        <w:t>IJA</w:t>
      </w:r>
      <w:r w:rsidRPr="00B1244A">
        <w:rPr>
          <w:lang w:val="en-GB"/>
        </w:rPr>
        <w:t xml:space="preserve">, 3(1), 133-150. </w:t>
      </w:r>
      <w:hyperlink r:id="rId10" w:tgtFrame="_blank" w:history="1">
        <w:r w:rsidRPr="00B1244A">
          <w:rPr>
            <w:rStyle w:val="Hyperlink"/>
            <w:lang w:val="en-GB"/>
          </w:rPr>
          <w:t>https://doi.org/10.3126/ija.v3i1.76724</w:t>
        </w:r>
      </w:hyperlink>
    </w:p>
    <w:p w14:paraId="1E00EED1" w14:textId="77777777" w:rsidR="004C2619" w:rsidRPr="00FC3CE9" w:rsidRDefault="004C2619" w:rsidP="00B1244A">
      <w:pPr>
        <w:spacing w:line="276" w:lineRule="auto"/>
        <w:ind w:left="360"/>
        <w:rPr>
          <w:lang w:val="en-US"/>
        </w:rPr>
      </w:pPr>
    </w:p>
    <w:sectPr w:rsidR="004C2619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6F87172-C4EE-41F2-9C72-347B298017BD}"/>
    <w:embedBold r:id="rId2" w:fontKey="{6A301381-98C5-46BC-A458-B211B687FFE3}"/>
    <w:embedItalic r:id="rId3" w:fontKey="{5B634380-3F6C-40F6-B624-B79D1A8ACE3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0B27A45-3309-4B6C-98C6-0FB8DA72561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D400195F-240F-4A99-AA25-348A22EC6B4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35DF"/>
    <w:multiLevelType w:val="multilevel"/>
    <w:tmpl w:val="F050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4D32FF"/>
    <w:multiLevelType w:val="multilevel"/>
    <w:tmpl w:val="5E66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A0303"/>
    <w:multiLevelType w:val="multilevel"/>
    <w:tmpl w:val="6698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473F8"/>
    <w:multiLevelType w:val="multilevel"/>
    <w:tmpl w:val="6EEC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0C38E1"/>
    <w:multiLevelType w:val="multilevel"/>
    <w:tmpl w:val="7F045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C6355DF"/>
    <w:multiLevelType w:val="multilevel"/>
    <w:tmpl w:val="21DA2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5"/>
  </w:num>
  <w:num w:numId="2" w16cid:durableId="561453694">
    <w:abstractNumId w:val="10"/>
  </w:num>
  <w:num w:numId="3" w16cid:durableId="770932124">
    <w:abstractNumId w:val="4"/>
  </w:num>
  <w:num w:numId="4" w16cid:durableId="1109160729">
    <w:abstractNumId w:val="8"/>
  </w:num>
  <w:num w:numId="5" w16cid:durableId="1079014838">
    <w:abstractNumId w:val="1"/>
  </w:num>
  <w:num w:numId="6" w16cid:durableId="34277552">
    <w:abstractNumId w:val="3"/>
  </w:num>
  <w:num w:numId="7" w16cid:durableId="481972325">
    <w:abstractNumId w:val="0"/>
  </w:num>
  <w:num w:numId="8" w16cid:durableId="148982234">
    <w:abstractNumId w:val="9"/>
  </w:num>
  <w:num w:numId="9" w16cid:durableId="1444112292">
    <w:abstractNumId w:val="2"/>
  </w:num>
  <w:num w:numId="10" w16cid:durableId="1321886167">
    <w:abstractNumId w:val="6"/>
  </w:num>
  <w:num w:numId="11" w16cid:durableId="173691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F6B06"/>
    <w:rsid w:val="00426865"/>
    <w:rsid w:val="00477CAA"/>
    <w:rsid w:val="00494D6C"/>
    <w:rsid w:val="004C2619"/>
    <w:rsid w:val="004D2F73"/>
    <w:rsid w:val="00502E29"/>
    <w:rsid w:val="005E458B"/>
    <w:rsid w:val="00661030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1244A"/>
    <w:rsid w:val="00B20343"/>
    <w:rsid w:val="00B85EA7"/>
    <w:rsid w:val="00BE65DD"/>
    <w:rsid w:val="00C21EBA"/>
    <w:rsid w:val="00C612A4"/>
    <w:rsid w:val="00CC6AD1"/>
    <w:rsid w:val="00CD620A"/>
    <w:rsid w:val="00CE464D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B7351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26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2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https://doi.org/10.55365/1923.x2023.21.26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16/j.ijhm.2018.10.00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https://doi.org/10.1177/10963480241234567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doi.org/10.3126/ija.v3i1.767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q=https://doi.org/10.5555/shms.2025.pricing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Preeti (24131962)</cp:lastModifiedBy>
  <cp:revision>2</cp:revision>
  <dcterms:created xsi:type="dcterms:W3CDTF">2026-01-22T01:44:00Z</dcterms:created>
  <dcterms:modified xsi:type="dcterms:W3CDTF">2026-01-22T01:44:00Z</dcterms:modified>
</cp:coreProperties>
</file>