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7FD9D" w14:textId="22C704AB" w:rsidR="00920D86" w:rsidRPr="001E1161" w:rsidRDefault="00920D86" w:rsidP="00920D86">
      <w:pPr>
        <w:rPr>
          <w:rFonts w:ascii="Times New Roman" w:hAnsi="Times New Roman" w:cs="Times New Roman"/>
        </w:rPr>
      </w:pPr>
      <w:r w:rsidRPr="001E1161">
        <w:rPr>
          <w:rFonts w:ascii="Times New Roman" w:hAnsi="Times New Roman" w:cs="Times New Roman"/>
          <w:b/>
          <w:bCs/>
        </w:rPr>
        <w:t>Name</w:t>
      </w:r>
      <w:r w:rsidRPr="001E1161">
        <w:rPr>
          <w:rFonts w:ascii="Times New Roman" w:hAnsi="Times New Roman" w:cs="Times New Roman"/>
        </w:rPr>
        <w:t>:</w:t>
      </w:r>
      <w:r w:rsidR="001E1161">
        <w:rPr>
          <w:rFonts w:ascii="Times New Roman" w:hAnsi="Times New Roman" w:cs="Times New Roman"/>
        </w:rPr>
        <w:t xml:space="preserve">   </w:t>
      </w:r>
      <w:r w:rsidRPr="001E1161">
        <w:rPr>
          <w:rFonts w:ascii="Times New Roman" w:hAnsi="Times New Roman" w:cs="Times New Roman"/>
        </w:rPr>
        <w:t xml:space="preserve"> Kajal</w:t>
      </w:r>
    </w:p>
    <w:p w14:paraId="02F32535" w14:textId="152A325B" w:rsidR="00920D86" w:rsidRPr="001E1161" w:rsidRDefault="00920D86" w:rsidP="00920D86">
      <w:pPr>
        <w:rPr>
          <w:rFonts w:ascii="Times New Roman" w:hAnsi="Times New Roman" w:cs="Times New Roman"/>
        </w:rPr>
      </w:pPr>
      <w:r w:rsidRPr="001E1161">
        <w:rPr>
          <w:rFonts w:ascii="Times New Roman" w:hAnsi="Times New Roman" w:cs="Times New Roman"/>
          <w:b/>
          <w:bCs/>
        </w:rPr>
        <w:t xml:space="preserve"> Matriculation Number:</w:t>
      </w:r>
      <w:r w:rsidR="001E1161">
        <w:rPr>
          <w:rFonts w:ascii="Times New Roman" w:hAnsi="Times New Roman" w:cs="Times New Roman"/>
          <w:b/>
          <w:bCs/>
        </w:rPr>
        <w:t xml:space="preserve">  </w:t>
      </w:r>
      <w:r w:rsidRPr="001E1161">
        <w:rPr>
          <w:rFonts w:ascii="Times New Roman" w:hAnsi="Times New Roman" w:cs="Times New Roman"/>
          <w:b/>
          <w:bCs/>
        </w:rPr>
        <w:t xml:space="preserve"> </w:t>
      </w:r>
      <w:r w:rsidRPr="001E1161">
        <w:rPr>
          <w:rFonts w:ascii="Times New Roman" w:hAnsi="Times New Roman" w:cs="Times New Roman"/>
        </w:rPr>
        <w:t>DE240155</w:t>
      </w:r>
    </w:p>
    <w:p w14:paraId="70833F6C" w14:textId="70620F5A" w:rsidR="001E1161" w:rsidRPr="001E1161" w:rsidRDefault="00920D86" w:rsidP="00920D86">
      <w:pPr>
        <w:rPr>
          <w:rFonts w:ascii="Times New Roman" w:hAnsi="Times New Roman" w:cs="Times New Roman"/>
        </w:rPr>
      </w:pPr>
      <w:r w:rsidRPr="001E1161">
        <w:rPr>
          <w:rFonts w:ascii="Times New Roman" w:hAnsi="Times New Roman" w:cs="Times New Roman"/>
          <w:b/>
          <w:bCs/>
        </w:rPr>
        <w:t xml:space="preserve"> Title:   </w:t>
      </w:r>
      <w:r w:rsidR="001E1161">
        <w:rPr>
          <w:rFonts w:ascii="Times New Roman" w:hAnsi="Times New Roman" w:cs="Times New Roman"/>
        </w:rPr>
        <w:t>M04- Tourism Law and Legislation</w:t>
      </w:r>
    </w:p>
    <w:p w14:paraId="05D6F4BC" w14:textId="77777777" w:rsidR="001E1161" w:rsidRDefault="001E1161" w:rsidP="00920D86">
      <w:pPr>
        <w:rPr>
          <w:rFonts w:ascii="Times New Roman" w:hAnsi="Times New Roman" w:cs="Times New Roman"/>
          <w:b/>
          <w:bCs/>
        </w:rPr>
      </w:pPr>
    </w:p>
    <w:p w14:paraId="341AB891" w14:textId="762508FE" w:rsidR="00920D86" w:rsidRPr="00920D86" w:rsidRDefault="00920D86" w:rsidP="00920D86">
      <w:pPr>
        <w:rPr>
          <w:rFonts w:ascii="Times New Roman" w:hAnsi="Times New Roman" w:cs="Times New Roman"/>
          <w:b/>
          <w:bCs/>
        </w:rPr>
      </w:pPr>
      <w:r w:rsidRPr="00920D86">
        <w:rPr>
          <w:rFonts w:ascii="Times New Roman" w:hAnsi="Times New Roman" w:cs="Times New Roman"/>
          <w:b/>
          <w:bCs/>
        </w:rPr>
        <w:t xml:space="preserve">Assignment 1: </w:t>
      </w:r>
      <w:r w:rsidRPr="00920D86">
        <w:rPr>
          <w:rFonts w:ascii="Times New Roman" w:hAnsi="Times New Roman" w:cs="Times New Roman"/>
        </w:rPr>
        <w:t>The Legal Framework of Tourism: Key Legislation and Global</w:t>
      </w:r>
      <w:r w:rsidRPr="00920D86">
        <w:rPr>
          <w:rFonts w:ascii="Times New Roman" w:hAnsi="Times New Roman" w:cs="Times New Roman"/>
          <w:b/>
          <w:bCs/>
        </w:rPr>
        <w:t xml:space="preserve"> </w:t>
      </w:r>
      <w:r w:rsidRPr="00920D86">
        <w:rPr>
          <w:rFonts w:ascii="Times New Roman" w:hAnsi="Times New Roman" w:cs="Times New Roman"/>
        </w:rPr>
        <w:t>Practices</w:t>
      </w:r>
    </w:p>
    <w:p w14:paraId="3A19A5C7" w14:textId="77777777" w:rsidR="00920D86" w:rsidRPr="00920D86" w:rsidRDefault="00920D86" w:rsidP="00920D86">
      <w:pPr>
        <w:rPr>
          <w:rFonts w:ascii="Times New Roman" w:hAnsi="Times New Roman" w:cs="Times New Roman"/>
          <w:b/>
          <w:bCs/>
        </w:rPr>
      </w:pPr>
    </w:p>
    <w:p w14:paraId="00276626" w14:textId="081C208E" w:rsidR="00920D86" w:rsidRPr="00920D86" w:rsidRDefault="00920D86" w:rsidP="00920D86">
      <w:pPr>
        <w:rPr>
          <w:rFonts w:ascii="Times New Roman" w:hAnsi="Times New Roman" w:cs="Times New Roman"/>
          <w:b/>
          <w:bCs/>
        </w:rPr>
      </w:pPr>
      <w:r w:rsidRPr="00920D86">
        <w:rPr>
          <w:rFonts w:ascii="Times New Roman" w:hAnsi="Times New Roman" w:cs="Times New Roman"/>
          <w:b/>
          <w:bCs/>
        </w:rPr>
        <w:t>Question:</w:t>
      </w:r>
    </w:p>
    <w:p w14:paraId="3308362B" w14:textId="77777777" w:rsidR="001E1161" w:rsidRDefault="00920D86" w:rsidP="00920D86">
      <w:pPr>
        <w:rPr>
          <w:rFonts w:ascii="Times New Roman" w:hAnsi="Times New Roman" w:cs="Times New Roman"/>
        </w:rPr>
      </w:pPr>
      <w:r w:rsidRPr="00920D86">
        <w:rPr>
          <w:rFonts w:ascii="Times New Roman" w:hAnsi="Times New Roman" w:cs="Times New Roman"/>
        </w:rPr>
        <w:t>*</w:t>
      </w:r>
    </w:p>
    <w:p w14:paraId="0286809F" w14:textId="7CF3E0E9" w:rsidR="00920D86" w:rsidRPr="00920D86" w:rsidRDefault="00920D86" w:rsidP="00920D86">
      <w:pPr>
        <w:rPr>
          <w:rFonts w:ascii="Times New Roman" w:hAnsi="Times New Roman" w:cs="Times New Roman"/>
        </w:rPr>
      </w:pPr>
      <w:r w:rsidRPr="00920D86">
        <w:rPr>
          <w:rFonts w:ascii="Times New Roman" w:hAnsi="Times New Roman" w:cs="Times New Roman"/>
        </w:rPr>
        <w:t xml:space="preserve"> How do international conventions and national tourism laws work together to</w:t>
      </w:r>
    </w:p>
    <w:p w14:paraId="7D010BCE" w14:textId="77777777" w:rsidR="00920D86" w:rsidRPr="00920D86" w:rsidRDefault="00920D86" w:rsidP="00920D86">
      <w:pPr>
        <w:rPr>
          <w:rFonts w:ascii="Times New Roman" w:hAnsi="Times New Roman" w:cs="Times New Roman"/>
        </w:rPr>
      </w:pPr>
      <w:r w:rsidRPr="00920D86">
        <w:rPr>
          <w:rFonts w:ascii="Times New Roman" w:hAnsi="Times New Roman" w:cs="Times New Roman"/>
        </w:rPr>
        <w:t>regulate cross-border tourism, and what role does the United Nations World</w:t>
      </w:r>
    </w:p>
    <w:p w14:paraId="44113629" w14:textId="2C2EE752" w:rsidR="00920D86" w:rsidRPr="00920D86" w:rsidRDefault="00920D86" w:rsidP="00920D86">
      <w:pPr>
        <w:rPr>
          <w:rFonts w:ascii="Times New Roman" w:hAnsi="Times New Roman" w:cs="Times New Roman"/>
        </w:rPr>
      </w:pPr>
      <w:r w:rsidRPr="00920D86">
        <w:rPr>
          <w:rFonts w:ascii="Times New Roman" w:hAnsi="Times New Roman" w:cs="Times New Roman"/>
        </w:rPr>
        <w:t>Tourism Organization (UNWTO) play in this process?</w:t>
      </w:r>
    </w:p>
    <w:p w14:paraId="313EEB4A" w14:textId="77777777" w:rsidR="00920D86" w:rsidRPr="00920D86" w:rsidRDefault="00920D86" w:rsidP="00920D86">
      <w:pPr>
        <w:rPr>
          <w:rFonts w:ascii="Times New Roman" w:hAnsi="Times New Roman" w:cs="Times New Roman"/>
        </w:rPr>
      </w:pPr>
    </w:p>
    <w:p w14:paraId="72FE8246" w14:textId="77777777" w:rsidR="00920D86" w:rsidRPr="00920D86" w:rsidRDefault="00920D86" w:rsidP="00920D86">
      <w:pPr>
        <w:rPr>
          <w:rFonts w:ascii="Times New Roman" w:hAnsi="Times New Roman" w:cs="Times New Roman"/>
          <w:b/>
          <w:bCs/>
        </w:rPr>
      </w:pPr>
    </w:p>
    <w:p w14:paraId="1AF8AB66" w14:textId="77777777" w:rsidR="00920D86" w:rsidRPr="00920D86" w:rsidRDefault="00920D86" w:rsidP="00920D86">
      <w:pPr>
        <w:rPr>
          <w:rFonts w:ascii="Times New Roman" w:hAnsi="Times New Roman" w:cs="Times New Roman"/>
          <w:b/>
          <w:bCs/>
        </w:rPr>
      </w:pPr>
    </w:p>
    <w:p w14:paraId="62A863EA" w14:textId="77777777" w:rsidR="00920D86" w:rsidRDefault="00920D86" w:rsidP="00920D86">
      <w:pPr>
        <w:rPr>
          <w:rFonts w:ascii="Times New Roman" w:hAnsi="Times New Roman" w:cs="Times New Roman"/>
          <w:b/>
          <w:bCs/>
        </w:rPr>
      </w:pPr>
    </w:p>
    <w:p w14:paraId="49D5F3AA" w14:textId="322A5DA3" w:rsidR="00920D86" w:rsidRPr="00920D86" w:rsidRDefault="001E1161" w:rsidP="00920D86">
      <w:pPr>
        <w:rPr>
          <w:rFonts w:ascii="Times New Roman" w:hAnsi="Times New Roman" w:cs="Times New Roman"/>
          <w:b/>
          <w:bCs/>
        </w:rPr>
      </w:pPr>
      <w:r>
        <w:rPr>
          <w:rFonts w:ascii="Times New Roman" w:hAnsi="Times New Roman" w:cs="Times New Roman"/>
          <w:b/>
          <w:bCs/>
        </w:rPr>
        <w:t xml:space="preserve"> </w:t>
      </w:r>
      <w:r w:rsidR="00920D86" w:rsidRPr="00920D86">
        <w:rPr>
          <w:rFonts w:ascii="Times New Roman" w:hAnsi="Times New Roman" w:cs="Times New Roman"/>
          <w:b/>
          <w:bCs/>
        </w:rPr>
        <w:t>Table of Contents</w:t>
      </w:r>
    </w:p>
    <w:p w14:paraId="2FF1AA2F" w14:textId="06B1FCC8" w:rsidR="00920D86" w:rsidRPr="00920D86" w:rsidRDefault="001E1161" w:rsidP="00920D86">
      <w:pPr>
        <w:rPr>
          <w:rFonts w:ascii="Times New Roman" w:hAnsi="Times New Roman" w:cs="Times New Roman"/>
        </w:rPr>
      </w:pPr>
      <w:r>
        <w:rPr>
          <w:rFonts w:ascii="Times New Roman" w:hAnsi="Times New Roman" w:cs="Times New Roman"/>
        </w:rPr>
        <w:t xml:space="preserve">   </w:t>
      </w:r>
      <w:r w:rsidR="00920D86" w:rsidRPr="00920D86">
        <w:rPr>
          <w:rFonts w:ascii="Times New Roman" w:hAnsi="Times New Roman" w:cs="Times New Roman"/>
        </w:rPr>
        <w:t>Abstract</w:t>
      </w:r>
    </w:p>
    <w:p w14:paraId="651A965A" w14:textId="753B2ED7" w:rsidR="00920D86" w:rsidRPr="00920D86" w:rsidRDefault="001E1161" w:rsidP="00920D86">
      <w:pPr>
        <w:rPr>
          <w:rFonts w:ascii="Times New Roman" w:hAnsi="Times New Roman" w:cs="Times New Roman"/>
        </w:rPr>
      </w:pPr>
      <w:r>
        <w:rPr>
          <w:rFonts w:ascii="Times New Roman" w:hAnsi="Times New Roman" w:cs="Times New Roman"/>
        </w:rPr>
        <w:t xml:space="preserve"> </w:t>
      </w:r>
      <w:r w:rsidR="00920D86" w:rsidRPr="00920D86">
        <w:rPr>
          <w:rFonts w:ascii="Times New Roman" w:hAnsi="Times New Roman" w:cs="Times New Roman"/>
        </w:rPr>
        <w:t>Introduction Literature</w:t>
      </w:r>
    </w:p>
    <w:p w14:paraId="4806ED43" w14:textId="77777777" w:rsidR="00920D86" w:rsidRPr="00920D86" w:rsidRDefault="00920D86" w:rsidP="00920D86">
      <w:pPr>
        <w:rPr>
          <w:rFonts w:ascii="Times New Roman" w:hAnsi="Times New Roman" w:cs="Times New Roman"/>
        </w:rPr>
      </w:pPr>
      <w:r w:rsidRPr="00920D86">
        <w:rPr>
          <w:rFonts w:ascii="Times New Roman" w:hAnsi="Times New Roman" w:cs="Times New Roman"/>
        </w:rPr>
        <w:t>Review Methodology</w:t>
      </w:r>
    </w:p>
    <w:p w14:paraId="4CC8F2C3" w14:textId="77777777" w:rsidR="00920D86" w:rsidRPr="00920D86" w:rsidRDefault="00920D86" w:rsidP="00920D86">
      <w:pPr>
        <w:rPr>
          <w:rFonts w:ascii="Times New Roman" w:hAnsi="Times New Roman" w:cs="Times New Roman"/>
        </w:rPr>
      </w:pPr>
      <w:r w:rsidRPr="00920D86">
        <w:rPr>
          <w:rFonts w:ascii="Times New Roman" w:hAnsi="Times New Roman" w:cs="Times New Roman"/>
        </w:rPr>
        <w:t>Findings</w:t>
      </w:r>
    </w:p>
    <w:p w14:paraId="5416115C" w14:textId="77777777" w:rsidR="00920D86" w:rsidRPr="00920D86" w:rsidRDefault="00920D86" w:rsidP="00920D86">
      <w:pPr>
        <w:rPr>
          <w:rFonts w:ascii="Times New Roman" w:hAnsi="Times New Roman" w:cs="Times New Roman"/>
        </w:rPr>
      </w:pPr>
      <w:r w:rsidRPr="00920D86">
        <w:rPr>
          <w:rFonts w:ascii="Times New Roman" w:hAnsi="Times New Roman" w:cs="Times New Roman"/>
        </w:rPr>
        <w:t>Discussion</w:t>
      </w:r>
    </w:p>
    <w:p w14:paraId="6DA4CD30" w14:textId="77777777" w:rsidR="00920D86" w:rsidRPr="00920D86" w:rsidRDefault="00920D86" w:rsidP="00920D86">
      <w:pPr>
        <w:rPr>
          <w:rFonts w:ascii="Times New Roman" w:hAnsi="Times New Roman" w:cs="Times New Roman"/>
        </w:rPr>
      </w:pPr>
      <w:r w:rsidRPr="00920D86">
        <w:rPr>
          <w:rFonts w:ascii="Times New Roman" w:hAnsi="Times New Roman" w:cs="Times New Roman"/>
        </w:rPr>
        <w:t>Conclusion</w:t>
      </w:r>
    </w:p>
    <w:p w14:paraId="66609150" w14:textId="77777777" w:rsidR="00920D86" w:rsidRPr="00920D86" w:rsidRDefault="00920D86" w:rsidP="00920D86">
      <w:pPr>
        <w:rPr>
          <w:rFonts w:ascii="Times New Roman" w:hAnsi="Times New Roman" w:cs="Times New Roman"/>
        </w:rPr>
      </w:pPr>
      <w:r w:rsidRPr="00920D86">
        <w:rPr>
          <w:rFonts w:ascii="Times New Roman" w:hAnsi="Times New Roman" w:cs="Times New Roman"/>
        </w:rPr>
        <w:t>References</w:t>
      </w:r>
    </w:p>
    <w:p w14:paraId="059FA2B0" w14:textId="21B3930A" w:rsidR="00920D86" w:rsidRPr="00920D86" w:rsidRDefault="00920D86" w:rsidP="00920D86">
      <w:pPr>
        <w:rPr>
          <w:rFonts w:ascii="Times New Roman" w:hAnsi="Times New Roman" w:cs="Times New Roman"/>
        </w:rPr>
      </w:pPr>
      <w:r w:rsidRPr="00920D86">
        <w:rPr>
          <w:rFonts w:ascii="Times New Roman" w:hAnsi="Times New Roman" w:cs="Times New Roman"/>
        </w:rPr>
        <w:t>Appendices</w:t>
      </w:r>
    </w:p>
    <w:p w14:paraId="65E8E602" w14:textId="77777777" w:rsidR="00920D86" w:rsidRPr="00920D86" w:rsidRDefault="00920D86" w:rsidP="05235AB2">
      <w:pPr>
        <w:rPr>
          <w:rFonts w:ascii="Times New Roman" w:hAnsi="Times New Roman" w:cs="Times New Roman"/>
        </w:rPr>
      </w:pPr>
    </w:p>
    <w:p w14:paraId="75BE87BD" w14:textId="77777777" w:rsidR="00920D86" w:rsidRPr="00920D86" w:rsidRDefault="00920D86" w:rsidP="05235AB2">
      <w:pPr>
        <w:rPr>
          <w:rFonts w:ascii="Times New Roman" w:hAnsi="Times New Roman" w:cs="Times New Roman"/>
          <w:b/>
          <w:bCs/>
        </w:rPr>
      </w:pPr>
    </w:p>
    <w:p w14:paraId="6C5B6A2C" w14:textId="77777777" w:rsidR="00920D86" w:rsidRPr="00920D86" w:rsidRDefault="00920D86" w:rsidP="05235AB2">
      <w:pPr>
        <w:rPr>
          <w:rFonts w:ascii="Times New Roman" w:hAnsi="Times New Roman" w:cs="Times New Roman"/>
          <w:b/>
          <w:bCs/>
        </w:rPr>
      </w:pPr>
    </w:p>
    <w:p w14:paraId="00BC15E9" w14:textId="77777777" w:rsidR="00920D86" w:rsidRPr="00920D86" w:rsidRDefault="00920D86" w:rsidP="05235AB2">
      <w:pPr>
        <w:rPr>
          <w:rFonts w:ascii="Times New Roman" w:hAnsi="Times New Roman" w:cs="Times New Roman"/>
          <w:b/>
          <w:bCs/>
        </w:rPr>
      </w:pPr>
    </w:p>
    <w:p w14:paraId="265B814F" w14:textId="77777777" w:rsidR="00920D86" w:rsidRPr="00920D86" w:rsidRDefault="00920D86" w:rsidP="05235AB2">
      <w:pPr>
        <w:rPr>
          <w:rFonts w:ascii="Times New Roman" w:hAnsi="Times New Roman" w:cs="Times New Roman"/>
          <w:b/>
          <w:bCs/>
        </w:rPr>
      </w:pPr>
    </w:p>
    <w:p w14:paraId="04EA9FDD" w14:textId="77777777" w:rsidR="00920D86" w:rsidRPr="00920D86" w:rsidRDefault="00920D86" w:rsidP="05235AB2">
      <w:pPr>
        <w:rPr>
          <w:rFonts w:ascii="Times New Roman" w:hAnsi="Times New Roman" w:cs="Times New Roman"/>
          <w:b/>
          <w:bCs/>
        </w:rPr>
      </w:pPr>
    </w:p>
    <w:p w14:paraId="3FD0A7B4" w14:textId="77777777" w:rsidR="00920D86" w:rsidRDefault="00920D86" w:rsidP="05235AB2">
      <w:pPr>
        <w:rPr>
          <w:rFonts w:ascii="Times New Roman" w:hAnsi="Times New Roman" w:cs="Times New Roman"/>
          <w:b/>
          <w:bCs/>
        </w:rPr>
      </w:pPr>
    </w:p>
    <w:p w14:paraId="2344F4DB" w14:textId="77777777" w:rsidR="00920D86" w:rsidRDefault="00920D86" w:rsidP="05235AB2">
      <w:pPr>
        <w:rPr>
          <w:rFonts w:ascii="Times New Roman" w:hAnsi="Times New Roman" w:cs="Times New Roman"/>
          <w:b/>
          <w:bCs/>
        </w:rPr>
      </w:pPr>
    </w:p>
    <w:p w14:paraId="057A9996" w14:textId="42BE8D71" w:rsidR="00433399" w:rsidRPr="00920D86" w:rsidRDefault="05235AB2" w:rsidP="05235AB2">
      <w:pPr>
        <w:rPr>
          <w:rFonts w:ascii="Times New Roman" w:hAnsi="Times New Roman" w:cs="Times New Roman"/>
        </w:rPr>
      </w:pPr>
      <w:r w:rsidRPr="00920D86">
        <w:rPr>
          <w:rFonts w:ascii="Times New Roman" w:hAnsi="Times New Roman" w:cs="Times New Roman"/>
          <w:b/>
          <w:bCs/>
        </w:rPr>
        <w:t>Abstract:</w:t>
      </w:r>
      <w:r w:rsidRPr="00920D86">
        <w:rPr>
          <w:rFonts w:ascii="Times New Roman" w:hAnsi="Times New Roman" w:cs="Times New Roman"/>
        </w:rPr>
        <w:t xml:space="preserve"> </w:t>
      </w:r>
    </w:p>
    <w:p w14:paraId="0D7096EE" w14:textId="44297806" w:rsidR="00433399" w:rsidRPr="00920D86" w:rsidRDefault="05235AB2" w:rsidP="05235AB2">
      <w:pPr>
        <w:rPr>
          <w:rFonts w:ascii="Times New Roman" w:hAnsi="Times New Roman" w:cs="Times New Roman"/>
        </w:rPr>
      </w:pPr>
      <w:r w:rsidRPr="00920D86">
        <w:rPr>
          <w:rFonts w:ascii="Times New Roman" w:hAnsi="Times New Roman" w:cs="Times New Roman"/>
        </w:rPr>
        <w:t xml:space="preserve">National tourism laws operationalise these principles through domestic institutions, licensing regimes, consumer protections, immigration controls, and safety regulations. International conventions set baseline obligations and common standards. This assignment explains how national legislation interacts with international tourism-related instruments to influence traveller mobility and the operation of tourism markets. These instruments include human rights law, aviation and transportation conventions, consumer and contract norms, cultural heritage law, environmental agreements, and health and security frameworks. Additionally, it looks at how the United Nations World Tourism Organization (UNWTO) promotes sustainability through policy guidance, develops soft-law standards like the Global Code of Ethics for Tourism, coordinates capacity-building, and advances statistical standards that support evidence-based national regulation in order to influence global tourism governance. According to the analysis, cross-border tourism governance is best viewed as a "hybrid" system in which domestic law provides enforceability, remedies, and local adaptation while international law offers coordination, reciprocity, and minimum standards. </w:t>
      </w:r>
    </w:p>
    <w:p w14:paraId="050B699C" w14:textId="76C8F2A1" w:rsidR="00433399" w:rsidRPr="00920D86" w:rsidRDefault="05235AB2" w:rsidP="05235AB2">
      <w:pPr>
        <w:rPr>
          <w:rFonts w:ascii="Times New Roman" w:hAnsi="Times New Roman" w:cs="Times New Roman"/>
          <w:b/>
          <w:bCs/>
        </w:rPr>
      </w:pPr>
      <w:r w:rsidRPr="00920D86">
        <w:rPr>
          <w:rFonts w:ascii="Times New Roman" w:hAnsi="Times New Roman" w:cs="Times New Roman"/>
          <w:b/>
          <w:bCs/>
        </w:rPr>
        <w:t xml:space="preserve">Keywords: </w:t>
      </w:r>
    </w:p>
    <w:p w14:paraId="6889345E" w14:textId="13AA3C9D" w:rsidR="00433399" w:rsidRPr="00920D86" w:rsidRDefault="05235AB2" w:rsidP="05235AB2">
      <w:pPr>
        <w:rPr>
          <w:rFonts w:ascii="Times New Roman" w:hAnsi="Times New Roman" w:cs="Times New Roman"/>
        </w:rPr>
      </w:pPr>
      <w:r w:rsidRPr="00920D86">
        <w:rPr>
          <w:rFonts w:ascii="Times New Roman" w:hAnsi="Times New Roman" w:cs="Times New Roman"/>
        </w:rPr>
        <w:t xml:space="preserve">tourism law, international conventions, national tourism legislation, UNWTO, cross-border travel, soft law, sustainable tourism, consumer protection Introduction </w:t>
      </w:r>
      <w:proofErr w:type="gramStart"/>
      <w:r w:rsidRPr="00920D86">
        <w:rPr>
          <w:rFonts w:ascii="Times New Roman" w:hAnsi="Times New Roman" w:cs="Times New Roman"/>
        </w:rPr>
        <w:t>The</w:t>
      </w:r>
      <w:proofErr w:type="gramEnd"/>
      <w:r w:rsidRPr="00920D86">
        <w:rPr>
          <w:rFonts w:ascii="Times New Roman" w:hAnsi="Times New Roman" w:cs="Times New Roman"/>
        </w:rPr>
        <w:t xml:space="preserve"> UNWTO plays a crucial convening and norm-setting role, but its influence is mainly persuasive rather than coercive, depending on member state uptake, partnerships, and alignment with binding regimes administered by other international bodies like ICAO, IMO, WHO, UNESCO, and the WTO. Travel usually entails moving between jurisdictions, interacting with foreign legal systems, and depending on international transportation networks, even when it is short-distance or regional. Passports and visas, aviation or sea transit regulations, public health standards, consumer rights, data protection, insurance, contracts with tour operators or internet platforms, and occasionally environmental or cultural heritage restrictions are only a few of the legal sectors that a tourist's trip touches. Because each component is regulated by different actors and at different levels, tourism governance is not a single coherent “tourism code". Rather, it is a composite framework that combines international law, regional law, and national legal systems (Baker, 2015; UNWTO, 2020</w:t>
      </w:r>
      <w:proofErr w:type="gramStart"/>
      <w:r w:rsidRPr="00920D86">
        <w:rPr>
          <w:rFonts w:ascii="Times New Roman" w:hAnsi="Times New Roman" w:cs="Times New Roman"/>
        </w:rPr>
        <w:t>).The</w:t>
      </w:r>
      <w:proofErr w:type="gramEnd"/>
      <w:r w:rsidRPr="00920D86">
        <w:rPr>
          <w:rFonts w:ascii="Times New Roman" w:hAnsi="Times New Roman" w:cs="Times New Roman"/>
        </w:rPr>
        <w:t xml:space="preserve"> central question for tourism governance is how these levels interact. International conventions, treaties, and standards exist to coordinate rules and reduce friction in cross-border mobility. National tourism laws, in contrast, are the mechanism through which states exercise sovereignty: controlling entry, regulating businesses, enforcing safety and quality standards, and providing consumer remedies. In practice, cross-border tourism operates through constant interaction between these two layers—what legal scholarship often describes as the relationship between international obligations and domestic implementation (Shaw, 2017). </w:t>
      </w:r>
    </w:p>
    <w:p w14:paraId="49142D8F" w14:textId="1DA8B636" w:rsidR="00433399" w:rsidRPr="00920D86" w:rsidRDefault="05235AB2" w:rsidP="05235AB2">
      <w:pPr>
        <w:rPr>
          <w:rFonts w:ascii="Times New Roman" w:hAnsi="Times New Roman" w:cs="Times New Roman"/>
        </w:rPr>
      </w:pPr>
      <w:r w:rsidRPr="00920D86">
        <w:rPr>
          <w:rFonts w:ascii="Times New Roman" w:hAnsi="Times New Roman" w:cs="Times New Roman"/>
        </w:rPr>
        <w:t>A further dimension is the role of specialised international organisations. The United Nations World Tourism Organization (UNWTO), now a UN specialised agency, occupies a distinctive position: it is the principal intergovernmental forum dedicated to tourism, yet it has limited treaty-making power compared with bodies such as the International Civil Aviation Organization (ICAO) and the World Trade Organization (WTO). Its strength lies in norm entrepreneurship, coordination, capacity-building, and the production of global tourism policy guidance (Fayos-Solà, 1996; UNWTO, 2019a</w:t>
      </w:r>
      <w:proofErr w:type="gramStart"/>
      <w:r w:rsidRPr="00920D86">
        <w:rPr>
          <w:rFonts w:ascii="Times New Roman" w:hAnsi="Times New Roman" w:cs="Times New Roman"/>
        </w:rPr>
        <w:t>).This</w:t>
      </w:r>
      <w:proofErr w:type="gramEnd"/>
      <w:r w:rsidRPr="00920D86">
        <w:rPr>
          <w:rFonts w:ascii="Times New Roman" w:hAnsi="Times New Roman" w:cs="Times New Roman"/>
        </w:rPr>
        <w:t xml:space="preserve"> assignment answers the question: how do international conventions and national tourism laws work together to regulate cross-border tourism, and what role does the UNWTO play in this process? It proceeds in four stages. First, it maps the international legal instruments most relevant to tourism and explains what they regulate. Second, it examines national tourism laws and the domestic legal architecture that enables international rules to function in practice. Third, it analyses how international and national systems highlight core mechanisms such as incorporation, mutual recognition, regulatory alignment, and dispute resolution. Fourth, it evaluates the UNWTO’s role, distinguishing between binding legal regimes and soft-law governance, and considering the organisation's real-world impact on state practice.</w:t>
      </w:r>
    </w:p>
    <w:p w14:paraId="684B4800" w14:textId="46825F1A" w:rsidR="00433399" w:rsidRPr="00920D86" w:rsidRDefault="05235AB2" w:rsidP="05235AB2">
      <w:pPr>
        <w:rPr>
          <w:rFonts w:ascii="Times New Roman" w:hAnsi="Times New Roman" w:cs="Times New Roman"/>
        </w:rPr>
      </w:pPr>
      <w:r w:rsidRPr="00920D86">
        <w:rPr>
          <w:rFonts w:ascii="Times New Roman" w:hAnsi="Times New Roman" w:cs="Times New Roman"/>
        </w:rPr>
        <w:t>1. International Conventions and Instruments Relevant to Cross-Border TourismThere is no single “International Tourism Treaty” that comprehensively governs tourism. Instead, tourism is shaped by a network of international legal instruments and institutions, each covering a piece of the cross-border travel experience (Baker, 2015). The most significant categories include (a) mobility and facilitation, (b) transport law, (c) consumer and private law dimensions, (d) cultural heritage, (e) environmental and sustainability frameworks, and (f) health and security regimes.</w:t>
      </w:r>
    </w:p>
    <w:p w14:paraId="619329AC" w14:textId="16B5A9E2" w:rsidR="00433399" w:rsidRPr="00920D86" w:rsidRDefault="05235AB2" w:rsidP="05235AB2">
      <w:pPr>
        <w:rPr>
          <w:rFonts w:ascii="Times New Roman" w:hAnsi="Times New Roman" w:cs="Times New Roman"/>
        </w:rPr>
      </w:pPr>
      <w:r w:rsidRPr="00920D86">
        <w:rPr>
          <w:rFonts w:ascii="Times New Roman" w:hAnsi="Times New Roman" w:cs="Times New Roman"/>
        </w:rPr>
        <w:t xml:space="preserve">1.1 Mobility and Travel FacilitationTourism depends on the legal infrastructure of movement. Human rights law recognises freedom of movement as a foundational principle (subject to lawful restrictions). For example, Article 13 of the Universal Declaration of Human Rights affirms the right to leave any country and return to one’s own (United Nations, 1948). While the UDHR is not binding as a treaty, it influences subsequent human rights instruments and customary norms. In tourism practice, however, freedom of movement is heavily mediated by state sovereignty over borders. States may impose visas, entry conditions, and security restrictions, provided they are consistent with international </w:t>
      </w:r>
      <w:proofErr w:type="gramStart"/>
      <w:r w:rsidRPr="00920D86">
        <w:rPr>
          <w:rFonts w:ascii="Times New Roman" w:hAnsi="Times New Roman" w:cs="Times New Roman"/>
        </w:rPr>
        <w:t>obligations.Another</w:t>
      </w:r>
      <w:proofErr w:type="gramEnd"/>
      <w:r w:rsidRPr="00920D86">
        <w:rPr>
          <w:rFonts w:ascii="Times New Roman" w:hAnsi="Times New Roman" w:cs="Times New Roman"/>
        </w:rPr>
        <w:t xml:space="preserve"> dimension is the drive for travel facilitation, often advanced through standards rather than treaties. ICAO’s Standards and Recommended Practices (Ps), particularly those connected to travel documents and border processing, are influential. The global adoption of machine-readable passports and biometric standards reflects how technical international norms can reshape national administrative law and practices (ICAO, 2018). While not a tourism convention per se, standards underpin the smooth functioning of global tourism.</w:t>
      </w:r>
    </w:p>
    <w:p w14:paraId="0CA4A3B4" w14:textId="4766F994" w:rsidR="00433399" w:rsidRPr="00920D86" w:rsidRDefault="05235AB2" w:rsidP="05235AB2">
      <w:pPr>
        <w:rPr>
          <w:rFonts w:ascii="Times New Roman" w:hAnsi="Times New Roman" w:cs="Times New Roman"/>
        </w:rPr>
      </w:pPr>
      <w:r w:rsidRPr="00920D86">
        <w:rPr>
          <w:rFonts w:ascii="Times New Roman" w:hAnsi="Times New Roman" w:cs="Times New Roman"/>
        </w:rPr>
        <w:t>1.2 International Transport Law: Aviation, Maritime, and Land TransportTransport conventions are among the most legally robust international frameworks affecting tourism because they create predictable rules for carriers and passenger rights.</w:t>
      </w:r>
    </w:p>
    <w:p w14:paraId="063F249B" w14:textId="132C2BB4" w:rsidR="00433399" w:rsidRPr="00920D86" w:rsidRDefault="05235AB2" w:rsidP="05235AB2">
      <w:pPr>
        <w:rPr>
          <w:rFonts w:ascii="Times New Roman" w:hAnsi="Times New Roman" w:cs="Times New Roman"/>
        </w:rPr>
      </w:pPr>
      <w:r w:rsidRPr="00920D86">
        <w:rPr>
          <w:rFonts w:ascii="Times New Roman" w:hAnsi="Times New Roman" w:cs="Times New Roman"/>
        </w:rPr>
        <w:t>Aviation. The Convention on International Civil Aviation (Chicago Convention) established ICAO and the framework for international air navigation (ICAO, 1944). The Chicago system supports tourism by enabling cross-border flights through standardised rules on airworthiness, safety, and navigation. Private international air carriage is governed through conventions such as the Montreal Convention 1999, which harmonises carrier liability for passenger injury, baggage issues, and delays in international air transport (International Civil Aviation Organization, 1999). These rules matter directly to tourists who experience disruptions, lost baggage, or accidents.</w:t>
      </w:r>
    </w:p>
    <w:p w14:paraId="48D90BCC" w14:textId="607E82E3" w:rsidR="00433399" w:rsidRPr="00920D86" w:rsidRDefault="05235AB2" w:rsidP="05235AB2">
      <w:pPr>
        <w:rPr>
          <w:rFonts w:ascii="Times New Roman" w:hAnsi="Times New Roman" w:cs="Times New Roman"/>
        </w:rPr>
      </w:pPr>
      <w:r w:rsidRPr="00920D86">
        <w:rPr>
          <w:rFonts w:ascii="Times New Roman" w:hAnsi="Times New Roman" w:cs="Times New Roman"/>
        </w:rPr>
        <w:t xml:space="preserve">Maritime </w:t>
      </w:r>
      <w:proofErr w:type="gramStart"/>
      <w:r w:rsidRPr="00920D86">
        <w:rPr>
          <w:rFonts w:ascii="Times New Roman" w:hAnsi="Times New Roman" w:cs="Times New Roman"/>
        </w:rPr>
        <w:t>travel.*</w:t>
      </w:r>
      <w:proofErr w:type="gramEnd"/>
      <w:r w:rsidRPr="00920D86">
        <w:rPr>
          <w:rFonts w:ascii="Times New Roman" w:hAnsi="Times New Roman" w:cs="Times New Roman"/>
        </w:rPr>
        <w:t xml:space="preserve">* Cruise tourism is by maritime conventions administered through the International Maritime Organization (IMO). Safety at Sea (SOLAS) and standards relating to maritime safety and pollution prevention, such as MARPOL, shape cruise operations and environmental responsibilities. Again, these are not tourism but are essential to the legal environment enabling tourism </w:t>
      </w:r>
      <w:proofErr w:type="gramStart"/>
      <w:r w:rsidRPr="00920D86">
        <w:rPr>
          <w:rFonts w:ascii="Times New Roman" w:hAnsi="Times New Roman" w:cs="Times New Roman"/>
        </w:rPr>
        <w:t>activities.Land</w:t>
      </w:r>
      <w:proofErr w:type="gramEnd"/>
      <w:r w:rsidRPr="00920D86">
        <w:rPr>
          <w:rFonts w:ascii="Times New Roman" w:hAnsi="Times New Roman" w:cs="Times New Roman"/>
        </w:rPr>
        <w:t xml:space="preserve"> transport. Cross-border tourism by road or rail depends on bilateral and regional agreements and conventions governing vehicle standards, insurance, and passenger rights. In many regions, the most impactful rules are regional (e.g., EU passenger rights regimes) rather than global.</w:t>
      </w:r>
    </w:p>
    <w:p w14:paraId="090F8482" w14:textId="757C1F0A" w:rsidR="00433399" w:rsidRPr="00920D86" w:rsidRDefault="05235AB2" w:rsidP="05235AB2">
      <w:pPr>
        <w:rPr>
          <w:rFonts w:ascii="Times New Roman" w:hAnsi="Times New Roman" w:cs="Times New Roman"/>
        </w:rPr>
      </w:pPr>
      <w:r w:rsidRPr="00920D86">
        <w:rPr>
          <w:rFonts w:ascii="Times New Roman" w:hAnsi="Times New Roman" w:cs="Times New Roman"/>
        </w:rPr>
        <w:t xml:space="preserve">1.3 Consumer Protection, Contracting, and Private International LawTourism is a marketplace: consumers purchase packages, accommodation, experiences, and transport. Cross-border transactions raise issues of applicable law, jurisdiction, remedies, and standards of </w:t>
      </w:r>
      <w:proofErr w:type="gramStart"/>
      <w:r w:rsidRPr="00920D86">
        <w:rPr>
          <w:rFonts w:ascii="Times New Roman" w:hAnsi="Times New Roman" w:cs="Times New Roman"/>
        </w:rPr>
        <w:t>disclosure.At</w:t>
      </w:r>
      <w:proofErr w:type="gramEnd"/>
      <w:r w:rsidRPr="00920D86">
        <w:rPr>
          <w:rFonts w:ascii="Times New Roman" w:hAnsi="Times New Roman" w:cs="Times New Roman"/>
        </w:rPr>
        <w:t xml:space="preserve"> the global level, consumer protection is uneven, but general principles are supported by international guidance and regional frameworks. In practice, tourists rely on national consumer laws and, where available, regional protections (e.g., the EU Package Travel Directive). International private law instruments (e.g., the Hague Conference’s work) can influence cross-border dispute rules, but tourism disputes often remain difficult due to cost, jurisdictional complexity, and contract terms. This gap has pushed soft-law approaches—ethical codes and best practices—where binding consumer protections are limited (Baker, 2015).</w:t>
      </w:r>
    </w:p>
    <w:p w14:paraId="59CFCFEE" w14:textId="73184EA7" w:rsidR="00433399" w:rsidRPr="00920D86" w:rsidRDefault="05235AB2" w:rsidP="05235AB2">
      <w:pPr>
        <w:rPr>
          <w:rFonts w:ascii="Times New Roman" w:hAnsi="Times New Roman" w:cs="Times New Roman"/>
        </w:rPr>
      </w:pPr>
      <w:r w:rsidRPr="00920D86">
        <w:rPr>
          <w:rFonts w:ascii="Times New Roman" w:hAnsi="Times New Roman" w:cs="Times New Roman"/>
        </w:rPr>
        <w:t>1.4 Cultural Heritage ProtectionTourism frequently involves heritage sites, museums, and cultural landscapes. International heritage treaties aim to balance access with protection. UNESCO’s World Heritage Convention 1972 is a cornerstone: it creates duties for states to protect cultural and natural heritage of outstanding universal value (UNESCO, 1972). Tourism can generate resources for preservation but also causes overuse, commercialisation, or physical harm. Heritage conventions shape national laws through site management obligations, reporting, and conservation duties, increasingly integrated into tourism planning.</w:t>
      </w:r>
    </w:p>
    <w:p w14:paraId="5C1870C0" w14:textId="711EFDF8" w:rsidR="00433399" w:rsidRPr="00920D86" w:rsidRDefault="05235AB2" w:rsidP="05235AB2">
      <w:pPr>
        <w:rPr>
          <w:rFonts w:ascii="Times New Roman" w:hAnsi="Times New Roman" w:cs="Times New Roman"/>
        </w:rPr>
      </w:pPr>
      <w:r w:rsidRPr="00920D86">
        <w:rPr>
          <w:rFonts w:ascii="Times New Roman" w:hAnsi="Times New Roman" w:cs="Times New Roman"/>
        </w:rPr>
        <w:t xml:space="preserve">1.5 Environmental Agreements and Sustainable Tourism Tour </w:t>
      </w:r>
      <w:proofErr w:type="gramStart"/>
      <w:r w:rsidRPr="00920D86">
        <w:rPr>
          <w:rFonts w:ascii="Times New Roman" w:hAnsi="Times New Roman" w:cs="Times New Roman"/>
        </w:rPr>
        <w:t>depends</w:t>
      </w:r>
      <w:proofErr w:type="gramEnd"/>
      <w:r w:rsidRPr="00920D86">
        <w:rPr>
          <w:rFonts w:ascii="Times New Roman" w:hAnsi="Times New Roman" w:cs="Times New Roman"/>
        </w:rPr>
        <w:t xml:space="preserve"> on environmental quality and contributes to environmental pressures through emissions, waste, water use, and habitat disturbance. Environmental governance is shaped by global climate and biodiversity regimes, such as the UN Framework Convention on Climate Change (UNFCCC) and the Paris Agreement. Do not regulate tourism directly but create national obligations to mitigate and adapt implications that increasingly affect aviation policy, accommodation standards, and destination management.</w:t>
      </w:r>
    </w:p>
    <w:p w14:paraId="38068C63" w14:textId="0B791266" w:rsidR="00433399" w:rsidRPr="00920D86" w:rsidRDefault="05235AB2" w:rsidP="05235AB2">
      <w:pPr>
        <w:rPr>
          <w:rFonts w:ascii="Times New Roman" w:hAnsi="Times New Roman" w:cs="Times New Roman"/>
        </w:rPr>
      </w:pPr>
      <w:r w:rsidRPr="00920D86">
        <w:rPr>
          <w:rFonts w:ascii="Times New Roman" w:hAnsi="Times New Roman" w:cs="Times New Roman"/>
        </w:rPr>
        <w:t>Sustainable tourism is also promoted through policy frameworks and guidelines, including UN initiatives linked to the Sustainable Development Goals (SDGs). These instruments influence domestic regulation by legitimising sustainability standards, impact assessment requirements, and conservation measures integrated into tourism development.</w:t>
      </w:r>
    </w:p>
    <w:p w14:paraId="2D9345BE" w14:textId="6DB5B8AA" w:rsidR="00433399" w:rsidRPr="00920D86" w:rsidRDefault="05235AB2" w:rsidP="05235AB2">
      <w:pPr>
        <w:rPr>
          <w:rFonts w:ascii="Times New Roman" w:hAnsi="Times New Roman" w:cs="Times New Roman"/>
        </w:rPr>
      </w:pPr>
      <w:r w:rsidRPr="00920D86">
        <w:rPr>
          <w:rFonts w:ascii="Times New Roman" w:hAnsi="Times New Roman" w:cs="Times New Roman"/>
        </w:rPr>
        <w:t>1.6 Health and Security Regimes Public health law is a critical cross-border tourism regulator. The International Health Regulations (IHR 2005), adopted under the World Health Organization, create obligations for states to prevent and respond to public health risks while avoiding unnecessary interference with international traffic (WHO, 2005). Tourism is directly affected through vaccination requirements, screening protocols, travel advisories, and emergency measures. The COVID-19 pandemic illustrated that national tourism economies can be reshaped overnight by health measures, and it also highlighted tensions between sovereignty, scientific guidance, and economic pressures (UNWTO, 2020).</w:t>
      </w:r>
    </w:p>
    <w:p w14:paraId="203FC7D7" w14:textId="4B844D5B" w:rsidR="00433399" w:rsidRPr="00920D86" w:rsidRDefault="05235AB2" w:rsidP="05235AB2">
      <w:pPr>
        <w:rPr>
          <w:rFonts w:ascii="Times New Roman" w:hAnsi="Times New Roman" w:cs="Times New Roman"/>
        </w:rPr>
      </w:pPr>
      <w:r w:rsidRPr="00920D86">
        <w:rPr>
          <w:rFonts w:ascii="Times New Roman" w:hAnsi="Times New Roman" w:cs="Times New Roman"/>
        </w:rPr>
        <w:t>Security frameworks (including aviation standards and counterterrorism cooperation) also influence tourism, though often indirectly, through heightened border controls and risk-based approaches.</w:t>
      </w:r>
    </w:p>
    <w:p w14:paraId="05EC7AC4" w14:textId="4DBF59A6" w:rsidR="00433399" w:rsidRPr="00920D86" w:rsidRDefault="05235AB2" w:rsidP="05235AB2">
      <w:pPr>
        <w:rPr>
          <w:rFonts w:ascii="Times New Roman" w:hAnsi="Times New Roman" w:cs="Times New Roman"/>
        </w:rPr>
      </w:pPr>
      <w:r w:rsidRPr="00920D86">
        <w:rPr>
          <w:rFonts w:ascii="Times New Roman" w:hAnsi="Times New Roman" w:cs="Times New Roman"/>
        </w:rPr>
        <w:t>2. National Tourism Laws: Domestic Implementation and Regulatory Architecture If international conventions provide coordination and minimum standards, national laws provide enforceability. Domestic legal systems control tourism through a mix of sector-specific tourism legislation and broader laws (immigration, transport, consumer protection, environmental regulation, heritage, labour, taxation, and local government powers).</w:t>
      </w:r>
    </w:p>
    <w:p w14:paraId="3BD44523" w14:textId="1594D54A" w:rsidR="00433399" w:rsidRPr="00920D86" w:rsidRDefault="05235AB2" w:rsidP="05235AB2">
      <w:pPr>
        <w:rPr>
          <w:rFonts w:ascii="Times New Roman" w:hAnsi="Times New Roman" w:cs="Times New Roman"/>
        </w:rPr>
      </w:pPr>
      <w:r w:rsidRPr="00920D86">
        <w:rPr>
          <w:rFonts w:ascii="Times New Roman" w:hAnsi="Times New Roman" w:cs="Times New Roman"/>
        </w:rPr>
        <w:t>2.1 Sector-Specific Tourism Legislation</w:t>
      </w:r>
    </w:p>
    <w:p w14:paraId="4393840A" w14:textId="5BD4727E" w:rsidR="00433399" w:rsidRPr="00920D86" w:rsidRDefault="05235AB2" w:rsidP="05235AB2">
      <w:pPr>
        <w:rPr>
          <w:rFonts w:ascii="Times New Roman" w:hAnsi="Times New Roman" w:cs="Times New Roman"/>
        </w:rPr>
      </w:pPr>
      <w:r w:rsidRPr="00920D86">
        <w:rPr>
          <w:rFonts w:ascii="Times New Roman" w:hAnsi="Times New Roman" w:cs="Times New Roman"/>
        </w:rPr>
        <w:t xml:space="preserve">Many states have “tourism acts” or tourism development laws establishing the </w:t>
      </w:r>
      <w:proofErr w:type="gramStart"/>
      <w:r w:rsidRPr="00920D86">
        <w:rPr>
          <w:rFonts w:ascii="Times New Roman" w:hAnsi="Times New Roman" w:cs="Times New Roman"/>
        </w:rPr>
        <w:t>following:•</w:t>
      </w:r>
      <w:proofErr w:type="gramEnd"/>
      <w:r w:rsidRPr="00920D86">
        <w:rPr>
          <w:rFonts w:ascii="Times New Roman" w:hAnsi="Times New Roman" w:cs="Times New Roman"/>
        </w:rPr>
        <w:t xml:space="preserve"> a national tourism authority or </w:t>
      </w:r>
      <w:proofErr w:type="gramStart"/>
      <w:r w:rsidRPr="00920D86">
        <w:rPr>
          <w:rFonts w:ascii="Times New Roman" w:hAnsi="Times New Roman" w:cs="Times New Roman"/>
        </w:rPr>
        <w:t>ministry,•</w:t>
      </w:r>
      <w:proofErr w:type="gramEnd"/>
      <w:r w:rsidRPr="00920D86">
        <w:rPr>
          <w:rFonts w:ascii="Times New Roman" w:hAnsi="Times New Roman" w:cs="Times New Roman"/>
        </w:rPr>
        <w:t xml:space="preserve"> licensing and classification regimes for hotels, tour operators, and </w:t>
      </w:r>
      <w:proofErr w:type="gramStart"/>
      <w:r w:rsidRPr="00920D86">
        <w:rPr>
          <w:rFonts w:ascii="Times New Roman" w:hAnsi="Times New Roman" w:cs="Times New Roman"/>
        </w:rPr>
        <w:t>guides,•</w:t>
      </w:r>
      <w:proofErr w:type="gramEnd"/>
      <w:r w:rsidRPr="00920D86">
        <w:rPr>
          <w:rFonts w:ascii="Times New Roman" w:hAnsi="Times New Roman" w:cs="Times New Roman"/>
        </w:rPr>
        <w:t xml:space="preserve"> marketing and destination promotion </w:t>
      </w:r>
      <w:proofErr w:type="gramStart"/>
      <w:r w:rsidRPr="00920D86">
        <w:rPr>
          <w:rFonts w:ascii="Times New Roman" w:hAnsi="Times New Roman" w:cs="Times New Roman"/>
        </w:rPr>
        <w:t>mechanisms,•</w:t>
      </w:r>
      <w:proofErr w:type="gramEnd"/>
      <w:r w:rsidRPr="00920D86">
        <w:rPr>
          <w:rFonts w:ascii="Times New Roman" w:hAnsi="Times New Roman" w:cs="Times New Roman"/>
        </w:rPr>
        <w:t xml:space="preserve"> standards for service quality and </w:t>
      </w:r>
      <w:proofErr w:type="gramStart"/>
      <w:r w:rsidRPr="00920D86">
        <w:rPr>
          <w:rFonts w:ascii="Times New Roman" w:hAnsi="Times New Roman" w:cs="Times New Roman"/>
        </w:rPr>
        <w:t>safety,•</w:t>
      </w:r>
      <w:proofErr w:type="gramEnd"/>
      <w:r w:rsidRPr="00920D86">
        <w:rPr>
          <w:rFonts w:ascii="Times New Roman" w:hAnsi="Times New Roman" w:cs="Times New Roman"/>
        </w:rPr>
        <w:t xml:space="preserve"> powers for inspection and </w:t>
      </w:r>
      <w:proofErr w:type="gramStart"/>
      <w:r w:rsidRPr="00920D86">
        <w:rPr>
          <w:rFonts w:ascii="Times New Roman" w:hAnsi="Times New Roman" w:cs="Times New Roman"/>
        </w:rPr>
        <w:t>enforcement,•</w:t>
      </w:r>
      <w:proofErr w:type="gramEnd"/>
      <w:r w:rsidRPr="00920D86">
        <w:rPr>
          <w:rFonts w:ascii="Times New Roman" w:hAnsi="Times New Roman" w:cs="Times New Roman"/>
        </w:rPr>
        <w:t xml:space="preserve"> tourist complaint mechanisms or ombuds structures (where developed).</w:t>
      </w:r>
    </w:p>
    <w:p w14:paraId="172DFB72" w14:textId="415C5393" w:rsidR="00433399" w:rsidRPr="00920D86" w:rsidRDefault="05235AB2" w:rsidP="05235AB2">
      <w:pPr>
        <w:rPr>
          <w:rFonts w:ascii="Times New Roman" w:hAnsi="Times New Roman" w:cs="Times New Roman"/>
        </w:rPr>
      </w:pPr>
      <w:r w:rsidRPr="00920D86">
        <w:rPr>
          <w:rFonts w:ascii="Times New Roman" w:hAnsi="Times New Roman" w:cs="Times New Roman"/>
        </w:rPr>
        <w:t>These laws often reflect policy priorities: economic development, employment, and foreign exchange earnings. However, if drafted without alignment to international obligations—especially on consumer rights, non-discrimination, environmental standards, and health and safety—tourism acts can become outdated or ineffective in managing modern digital tourism markets (Baker, 2015).</w:t>
      </w:r>
    </w:p>
    <w:p w14:paraId="32CAABB4" w14:textId="505848D0" w:rsidR="00433399" w:rsidRPr="00920D86" w:rsidRDefault="05235AB2" w:rsidP="05235AB2">
      <w:pPr>
        <w:rPr>
          <w:rFonts w:ascii="Times New Roman" w:hAnsi="Times New Roman" w:cs="Times New Roman"/>
        </w:rPr>
      </w:pPr>
      <w:r w:rsidRPr="00920D86">
        <w:rPr>
          <w:rFonts w:ascii="Times New Roman" w:hAnsi="Times New Roman" w:cs="Times New Roman"/>
        </w:rPr>
        <w:t>2.2 Immigration and Border Law</w:t>
      </w:r>
    </w:p>
    <w:p w14:paraId="601FC6FC" w14:textId="5AA1190B" w:rsidR="00433399" w:rsidRPr="00920D86" w:rsidRDefault="05235AB2" w:rsidP="05235AB2">
      <w:pPr>
        <w:rPr>
          <w:rFonts w:ascii="Times New Roman" w:hAnsi="Times New Roman" w:cs="Times New Roman"/>
        </w:rPr>
      </w:pPr>
      <w:r w:rsidRPr="00920D86">
        <w:rPr>
          <w:rFonts w:ascii="Times New Roman" w:hAnsi="Times New Roman" w:cs="Times New Roman"/>
        </w:rPr>
        <w:t>Tourism flows are also governed by entry rules: visa regimes, length of stay conditions, work restrictions, and grounds for refusal. Immigration law reflects state sovereignty but is influenced by international commitments: non-discrimination norms, refugee law, human rights obligations, and regional mobility arrangements. Visa facilitation agreements and e-visa policies show how states implement travel facilitation objectives while maintaining security screening.</w:t>
      </w:r>
    </w:p>
    <w:p w14:paraId="0EFF6C7B" w14:textId="1BB42271" w:rsidR="00433399" w:rsidRPr="00920D86" w:rsidRDefault="05235AB2" w:rsidP="05235AB2">
      <w:pPr>
        <w:rPr>
          <w:rFonts w:ascii="Times New Roman" w:hAnsi="Times New Roman" w:cs="Times New Roman"/>
        </w:rPr>
      </w:pPr>
      <w:r w:rsidRPr="00920D86">
        <w:rPr>
          <w:rFonts w:ascii="Times New Roman" w:hAnsi="Times New Roman" w:cs="Times New Roman"/>
        </w:rPr>
        <w:t>2.3 Consumer Protection and Competition Law</w:t>
      </w:r>
    </w:p>
    <w:p w14:paraId="69328A06" w14:textId="3CB243A4" w:rsidR="00433399" w:rsidRPr="00920D86" w:rsidRDefault="05235AB2" w:rsidP="05235AB2">
      <w:pPr>
        <w:rPr>
          <w:rFonts w:ascii="Times New Roman" w:hAnsi="Times New Roman" w:cs="Times New Roman"/>
        </w:rPr>
      </w:pPr>
      <w:r w:rsidRPr="00920D86">
        <w:rPr>
          <w:rFonts w:ascii="Times New Roman" w:hAnsi="Times New Roman" w:cs="Times New Roman"/>
        </w:rPr>
        <w:t xml:space="preserve">Tourists often face asymmetries of information (they purchase experiences before consuming them) and vulnerability (they may not know local language or legal systems). </w:t>
      </w:r>
    </w:p>
    <w:p w14:paraId="6832A330" w14:textId="7EA8C15A" w:rsidR="00433399" w:rsidRPr="00920D86" w:rsidRDefault="05235AB2" w:rsidP="05235AB2">
      <w:pPr>
        <w:rPr>
          <w:rFonts w:ascii="Times New Roman" w:hAnsi="Times New Roman" w:cs="Times New Roman"/>
        </w:rPr>
      </w:pPr>
      <w:r w:rsidRPr="00920D86">
        <w:rPr>
          <w:rFonts w:ascii="Times New Roman" w:hAnsi="Times New Roman" w:cs="Times New Roman"/>
        </w:rPr>
        <w:t>National consumer laws regulate:</w:t>
      </w:r>
    </w:p>
    <w:p w14:paraId="42AF5A3C" w14:textId="126B41B4" w:rsidR="00433399" w:rsidRPr="00920D86" w:rsidRDefault="05235AB2" w:rsidP="05235AB2">
      <w:pPr>
        <w:rPr>
          <w:rFonts w:ascii="Times New Roman" w:hAnsi="Times New Roman" w:cs="Times New Roman"/>
        </w:rPr>
      </w:pPr>
      <w:r w:rsidRPr="00920D86">
        <w:rPr>
          <w:rFonts w:ascii="Times New Roman" w:hAnsi="Times New Roman" w:cs="Times New Roman"/>
        </w:rPr>
        <w:t>• misleading advertising,</w:t>
      </w:r>
    </w:p>
    <w:p w14:paraId="7D2EF787" w14:textId="0BBD3E6E" w:rsidR="00433399" w:rsidRPr="00920D86" w:rsidRDefault="05235AB2" w:rsidP="05235AB2">
      <w:pPr>
        <w:rPr>
          <w:rFonts w:ascii="Times New Roman" w:hAnsi="Times New Roman" w:cs="Times New Roman"/>
        </w:rPr>
      </w:pPr>
      <w:r w:rsidRPr="00920D86">
        <w:rPr>
          <w:rFonts w:ascii="Times New Roman" w:hAnsi="Times New Roman" w:cs="Times New Roman"/>
        </w:rPr>
        <w:t>• unfair contract terms,</w:t>
      </w:r>
    </w:p>
    <w:p w14:paraId="4A2DBB42" w14:textId="480C622C" w:rsidR="00433399" w:rsidRPr="00920D86" w:rsidRDefault="05235AB2" w:rsidP="05235AB2">
      <w:pPr>
        <w:rPr>
          <w:rFonts w:ascii="Times New Roman" w:hAnsi="Times New Roman" w:cs="Times New Roman"/>
        </w:rPr>
      </w:pPr>
      <w:r w:rsidRPr="00920D86">
        <w:rPr>
          <w:rFonts w:ascii="Times New Roman" w:hAnsi="Times New Roman" w:cs="Times New Roman"/>
        </w:rPr>
        <w:t>• dispute resolution mechanisms,</w:t>
      </w:r>
    </w:p>
    <w:p w14:paraId="6811DDBB" w14:textId="6EAE1403" w:rsidR="00433399" w:rsidRPr="00920D86" w:rsidRDefault="05235AB2" w:rsidP="05235AB2">
      <w:pPr>
        <w:rPr>
          <w:rFonts w:ascii="Times New Roman" w:hAnsi="Times New Roman" w:cs="Times New Roman"/>
        </w:rPr>
      </w:pPr>
      <w:r w:rsidRPr="00920D86">
        <w:rPr>
          <w:rFonts w:ascii="Times New Roman" w:hAnsi="Times New Roman" w:cs="Times New Roman"/>
        </w:rPr>
        <w:t>• product/service safety,</w:t>
      </w:r>
    </w:p>
    <w:p w14:paraId="3876FE0D" w14:textId="66419672" w:rsidR="00433399" w:rsidRPr="00920D86" w:rsidRDefault="05235AB2" w:rsidP="05235AB2">
      <w:pPr>
        <w:rPr>
          <w:rFonts w:ascii="Times New Roman" w:hAnsi="Times New Roman" w:cs="Times New Roman"/>
        </w:rPr>
      </w:pPr>
      <w:r w:rsidRPr="00920D86">
        <w:rPr>
          <w:rFonts w:ascii="Times New Roman" w:hAnsi="Times New Roman" w:cs="Times New Roman"/>
        </w:rPr>
        <w:t>• refund rights and cancellation obligations.</w:t>
      </w:r>
    </w:p>
    <w:p w14:paraId="12C990AF" w14:textId="03582E79" w:rsidR="00433399" w:rsidRPr="00920D86" w:rsidRDefault="05235AB2" w:rsidP="05235AB2">
      <w:pPr>
        <w:rPr>
          <w:rFonts w:ascii="Times New Roman" w:hAnsi="Times New Roman" w:cs="Times New Roman"/>
        </w:rPr>
      </w:pPr>
      <w:r w:rsidRPr="00920D86">
        <w:rPr>
          <w:rFonts w:ascii="Times New Roman" w:hAnsi="Times New Roman" w:cs="Times New Roman"/>
        </w:rPr>
        <w:t>Competition law also becomes relevant where large platforms or dominant operators influence prices and market access. Domestic enforcement varies widely, affecting how well tourists can obtain remedies for defective services.</w:t>
      </w:r>
    </w:p>
    <w:p w14:paraId="22A67C6B" w14:textId="08ED6879" w:rsidR="00433399" w:rsidRPr="00920D86" w:rsidRDefault="05235AB2" w:rsidP="05235AB2">
      <w:pPr>
        <w:rPr>
          <w:rFonts w:ascii="Times New Roman" w:hAnsi="Times New Roman" w:cs="Times New Roman"/>
        </w:rPr>
      </w:pPr>
      <w:r w:rsidRPr="00920D86">
        <w:rPr>
          <w:rFonts w:ascii="Times New Roman" w:hAnsi="Times New Roman" w:cs="Times New Roman"/>
        </w:rPr>
        <w:t>2.4 Health, Safety, and Liability Regimes</w:t>
      </w:r>
    </w:p>
    <w:p w14:paraId="006A7A08" w14:textId="0E182840" w:rsidR="00433399" w:rsidRPr="00920D86" w:rsidRDefault="05235AB2" w:rsidP="05235AB2">
      <w:pPr>
        <w:rPr>
          <w:rFonts w:ascii="Times New Roman" w:hAnsi="Times New Roman" w:cs="Times New Roman"/>
        </w:rPr>
      </w:pPr>
      <w:r w:rsidRPr="00920D86">
        <w:rPr>
          <w:rFonts w:ascii="Times New Roman" w:hAnsi="Times New Roman" w:cs="Times New Roman"/>
        </w:rPr>
        <w:t>National laws regulate safety standards for accommodation, food hygiene, adventure tourism, transport, and events. Tort law and insurance requirements can determine whether tourists can seek compensation for accidents. Where national standards are weak or enforcement capacity is limited, destinations may face reputational harm, affecting international arrivals.</w:t>
      </w:r>
    </w:p>
    <w:p w14:paraId="49878005" w14:textId="2056FCF1" w:rsidR="00433399" w:rsidRPr="00920D86" w:rsidRDefault="05235AB2" w:rsidP="05235AB2">
      <w:pPr>
        <w:rPr>
          <w:rFonts w:ascii="Times New Roman" w:hAnsi="Times New Roman" w:cs="Times New Roman"/>
        </w:rPr>
      </w:pPr>
      <w:r w:rsidRPr="00920D86">
        <w:rPr>
          <w:rFonts w:ascii="Times New Roman" w:hAnsi="Times New Roman" w:cs="Times New Roman"/>
        </w:rPr>
        <w:t>2.5 Environmental and Land-Use Regulation</w:t>
      </w:r>
    </w:p>
    <w:p w14:paraId="61C1BB10" w14:textId="349856F2" w:rsidR="00433399" w:rsidRPr="00920D86" w:rsidRDefault="05235AB2" w:rsidP="05235AB2">
      <w:pPr>
        <w:rPr>
          <w:rFonts w:ascii="Times New Roman" w:hAnsi="Times New Roman" w:cs="Times New Roman"/>
        </w:rPr>
      </w:pPr>
      <w:r w:rsidRPr="00920D86">
        <w:rPr>
          <w:rFonts w:ascii="Times New Roman" w:hAnsi="Times New Roman" w:cs="Times New Roman"/>
        </w:rPr>
        <w:t>Domestic environmental laws—environmental impact assessment (EIA), coastal zone management, protected areas regulation, water use, and waste management—shape the sustainability of tourism development. In many tourism economies, conflict arises between short-term development pressure (hotels, marinas, resorts) and long-term ecosystem protection. International environmental commitments can strengthen domestic agencies’ legal mandate, but political economy factors often determine enforcement in practice.</w:t>
      </w:r>
    </w:p>
    <w:p w14:paraId="32BB04FF" w14:textId="0EE06E4E" w:rsidR="00433399" w:rsidRPr="00920D86" w:rsidRDefault="05235AB2" w:rsidP="05235AB2">
      <w:pPr>
        <w:rPr>
          <w:rFonts w:ascii="Times New Roman" w:hAnsi="Times New Roman" w:cs="Times New Roman"/>
        </w:rPr>
      </w:pPr>
      <w:r w:rsidRPr="00920D86">
        <w:rPr>
          <w:rFonts w:ascii="Times New Roman" w:hAnsi="Times New Roman" w:cs="Times New Roman"/>
        </w:rPr>
        <w:t>2.6 Data Protection and Digital Tourism Markets</w:t>
      </w:r>
    </w:p>
    <w:p w14:paraId="3E3073FB" w14:textId="0480B312" w:rsidR="00433399" w:rsidRPr="00920D86" w:rsidRDefault="05235AB2" w:rsidP="05235AB2">
      <w:pPr>
        <w:rPr>
          <w:rFonts w:ascii="Times New Roman" w:hAnsi="Times New Roman" w:cs="Times New Roman"/>
        </w:rPr>
      </w:pPr>
      <w:r w:rsidRPr="00920D86">
        <w:rPr>
          <w:rFonts w:ascii="Times New Roman" w:hAnsi="Times New Roman" w:cs="Times New Roman"/>
        </w:rPr>
        <w:t>Modern tourism is digitised: bookings, identity verification, and marketing depend on personal data. National data protection laws (and regional frameworks such as the EU GDPR) affect cross-border tourism services, including how platforms process data and how hotels handle guest information. These rules interact with security and public health measures, raising questions about proportionality and privacy.</w:t>
      </w:r>
    </w:p>
    <w:p w14:paraId="1AC07E02" w14:textId="210A2609" w:rsidR="00433399" w:rsidRPr="00920D86" w:rsidRDefault="05235AB2" w:rsidP="05235AB2">
      <w:pPr>
        <w:rPr>
          <w:rFonts w:ascii="Times New Roman" w:hAnsi="Times New Roman" w:cs="Times New Roman"/>
        </w:rPr>
      </w:pPr>
      <w:r w:rsidRPr="00920D86">
        <w:rPr>
          <w:rFonts w:ascii="Times New Roman" w:hAnsi="Times New Roman" w:cs="Times New Roman"/>
        </w:rPr>
        <w:t xml:space="preserve">3. </w:t>
      </w:r>
      <w:proofErr w:type="gramStart"/>
      <w:r w:rsidRPr="00920D86">
        <w:rPr>
          <w:rFonts w:ascii="Times New Roman" w:hAnsi="Times New Roman" w:cs="Times New Roman"/>
        </w:rPr>
        <w:t>How</w:t>
      </w:r>
      <w:proofErr w:type="gramEnd"/>
      <w:r w:rsidRPr="00920D86">
        <w:rPr>
          <w:rFonts w:ascii="Times New Roman" w:hAnsi="Times New Roman" w:cs="Times New Roman"/>
        </w:rPr>
        <w:t xml:space="preserve"> International Conventions and National Tourism Laws Work Together</w:t>
      </w:r>
    </w:p>
    <w:p w14:paraId="4D205CEC" w14:textId="6B42C27A" w:rsidR="00433399" w:rsidRPr="00920D86" w:rsidRDefault="05235AB2" w:rsidP="05235AB2">
      <w:pPr>
        <w:rPr>
          <w:rFonts w:ascii="Times New Roman" w:hAnsi="Times New Roman" w:cs="Times New Roman"/>
        </w:rPr>
      </w:pPr>
      <w:r w:rsidRPr="00920D86">
        <w:rPr>
          <w:rFonts w:ascii="Times New Roman" w:hAnsi="Times New Roman" w:cs="Times New Roman"/>
        </w:rPr>
        <w:t>The relationship between international instruments and domestic tourism law can be described through three main mechanisms: (1) incorporation and implementation, (2) regulatory and mutual recognition, and (3) dispute resolution and compliance.</w:t>
      </w:r>
    </w:p>
    <w:p w14:paraId="20CBF7F0" w14:textId="2FFA58A0" w:rsidR="00433399" w:rsidRPr="00920D86" w:rsidRDefault="05235AB2" w:rsidP="05235AB2">
      <w:pPr>
        <w:rPr>
          <w:rFonts w:ascii="Times New Roman" w:hAnsi="Times New Roman" w:cs="Times New Roman"/>
        </w:rPr>
      </w:pPr>
      <w:r w:rsidRPr="00920D86">
        <w:rPr>
          <w:rFonts w:ascii="Times New Roman" w:hAnsi="Times New Roman" w:cs="Times New Roman"/>
        </w:rPr>
        <w:t>1. Incorporation and Implementation: Turning International Rules into Domestic</w:t>
      </w:r>
    </w:p>
    <w:p w14:paraId="2F7C2D03" w14:textId="228A9B4E" w:rsidR="00433399" w:rsidRPr="00920D86" w:rsidRDefault="05235AB2" w:rsidP="05235AB2">
      <w:pPr>
        <w:rPr>
          <w:rFonts w:ascii="Times New Roman" w:hAnsi="Times New Roman" w:cs="Times New Roman"/>
        </w:rPr>
      </w:pPr>
      <w:r w:rsidRPr="00920D86">
        <w:rPr>
          <w:rFonts w:ascii="Times New Roman" w:hAnsi="Times New Roman" w:cs="Times New Roman"/>
        </w:rPr>
        <w:t>International conventions generally bind states at the international level, but they often require domestic implementing measures. The method depends on constitutional systems:</w:t>
      </w:r>
    </w:p>
    <w:p w14:paraId="33BEE999" w14:textId="7350DE37" w:rsidR="00433399" w:rsidRPr="00920D86" w:rsidRDefault="05235AB2" w:rsidP="05235AB2">
      <w:pPr>
        <w:rPr>
          <w:rFonts w:ascii="Times New Roman" w:hAnsi="Times New Roman" w:cs="Times New Roman"/>
        </w:rPr>
      </w:pPr>
      <w:r w:rsidRPr="00920D86">
        <w:rPr>
          <w:rFonts w:ascii="Times New Roman" w:hAnsi="Times New Roman" w:cs="Times New Roman"/>
        </w:rPr>
        <w:t>• In some countries, treaties can be directly applicable (monist approaches).</w:t>
      </w:r>
    </w:p>
    <w:p w14:paraId="0B1E43A6" w14:textId="2622C702" w:rsidR="00433399" w:rsidRPr="00920D86" w:rsidRDefault="05235AB2" w:rsidP="05235AB2">
      <w:pPr>
        <w:rPr>
          <w:rFonts w:ascii="Times New Roman" w:hAnsi="Times New Roman" w:cs="Times New Roman"/>
        </w:rPr>
      </w:pPr>
      <w:r w:rsidRPr="00920D86">
        <w:rPr>
          <w:rFonts w:ascii="Times New Roman" w:hAnsi="Times New Roman" w:cs="Times New Roman"/>
        </w:rPr>
        <w:t>• In others, treaties require enabling legislation (dualist approaches) (Shaw, 2017).</w:t>
      </w:r>
    </w:p>
    <w:p w14:paraId="44F127CF" w14:textId="2898E20F" w:rsidR="00433399" w:rsidRPr="00920D86" w:rsidRDefault="05235AB2" w:rsidP="05235AB2">
      <w:pPr>
        <w:rPr>
          <w:rFonts w:ascii="Times New Roman" w:hAnsi="Times New Roman" w:cs="Times New Roman"/>
        </w:rPr>
      </w:pPr>
      <w:r w:rsidRPr="00920D86">
        <w:rPr>
          <w:rFonts w:ascii="Times New Roman" w:hAnsi="Times New Roman" w:cs="Times New Roman"/>
        </w:rPr>
        <w:t>In tourism practice, even where a treaty is binding, tourists and businesses usually experience it through national rules: aviation passenger claim procedures, consumer complaint systems, immigration entry conditions, or environmental permitting. For example:</w:t>
      </w:r>
    </w:p>
    <w:p w14:paraId="36D5C899" w14:textId="77018AC4" w:rsidR="00433399" w:rsidRPr="00920D86" w:rsidRDefault="05235AB2" w:rsidP="05235AB2">
      <w:pPr>
        <w:rPr>
          <w:rFonts w:ascii="Times New Roman" w:hAnsi="Times New Roman" w:cs="Times New Roman"/>
        </w:rPr>
      </w:pPr>
      <w:r w:rsidRPr="00920D86">
        <w:rPr>
          <w:rFonts w:ascii="Times New Roman" w:hAnsi="Times New Roman" w:cs="Times New Roman"/>
        </w:rPr>
        <w:t>• Under the Montreal Convention, passenger claims are asserted through national courts and procedures.</w:t>
      </w:r>
    </w:p>
    <w:p w14:paraId="32A39C9D" w14:textId="685FE923" w:rsidR="00433399" w:rsidRPr="00920D86" w:rsidRDefault="05235AB2" w:rsidP="05235AB2">
      <w:pPr>
        <w:rPr>
          <w:rFonts w:ascii="Times New Roman" w:hAnsi="Times New Roman" w:cs="Times New Roman"/>
        </w:rPr>
      </w:pPr>
      <w:r w:rsidRPr="00920D86">
        <w:rPr>
          <w:rFonts w:ascii="Times New Roman" w:hAnsi="Times New Roman" w:cs="Times New Roman"/>
        </w:rPr>
        <w:t>• Under IHR, border screening and quarantine measures are executed under domestic public health acts and emergency powers. Thus, international law sets the “outer boundary” of commitments, but domestic law sets accessibility, enforcement, and remedies.</w:t>
      </w:r>
    </w:p>
    <w:p w14:paraId="02D31E86" w14:textId="7BBCF383" w:rsidR="00433399" w:rsidRPr="00920D86" w:rsidRDefault="05235AB2" w:rsidP="05235AB2">
      <w:pPr>
        <w:rPr>
          <w:rFonts w:ascii="Times New Roman" w:hAnsi="Times New Roman" w:cs="Times New Roman"/>
        </w:rPr>
      </w:pPr>
      <w:r w:rsidRPr="00920D86">
        <w:rPr>
          <w:rFonts w:ascii="Times New Roman" w:hAnsi="Times New Roman" w:cs="Times New Roman"/>
        </w:rPr>
        <w:t>3.2 Regulatory Alignment and Mutual Recognition Reducing Cross-Border Friction</w:t>
      </w:r>
    </w:p>
    <w:p w14:paraId="23AC9270" w14:textId="6C73AF29" w:rsidR="00433399" w:rsidRPr="00920D86" w:rsidRDefault="05235AB2" w:rsidP="05235AB2">
      <w:pPr>
        <w:rPr>
          <w:rFonts w:ascii="Times New Roman" w:hAnsi="Times New Roman" w:cs="Times New Roman"/>
        </w:rPr>
      </w:pPr>
      <w:r w:rsidRPr="00920D86">
        <w:rPr>
          <w:rFonts w:ascii="Times New Roman" w:hAnsi="Times New Roman" w:cs="Times New Roman"/>
        </w:rPr>
        <w:t>Cross-border tourism requires compatibility: travel documents, safety standards, and transport rules must be mutually intelligible. International conventions and standards reduce transaction costs by harmonising the core. National laws then align with these shared norms, enabling:</w:t>
      </w:r>
    </w:p>
    <w:p w14:paraId="62810EB5" w14:textId="565A0FAF" w:rsidR="00433399" w:rsidRPr="00920D86" w:rsidRDefault="05235AB2" w:rsidP="05235AB2">
      <w:pPr>
        <w:rPr>
          <w:rFonts w:ascii="Times New Roman" w:hAnsi="Times New Roman" w:cs="Times New Roman"/>
        </w:rPr>
      </w:pPr>
      <w:r w:rsidRPr="00920D86">
        <w:rPr>
          <w:rFonts w:ascii="Times New Roman" w:hAnsi="Times New Roman" w:cs="Times New Roman"/>
        </w:rPr>
        <w:t>• airlines to operate under common safety standards,</w:t>
      </w:r>
    </w:p>
    <w:p w14:paraId="7F30685A" w14:textId="73C1F440" w:rsidR="00433399" w:rsidRPr="00920D86" w:rsidRDefault="05235AB2" w:rsidP="05235AB2">
      <w:pPr>
        <w:rPr>
          <w:rFonts w:ascii="Times New Roman" w:hAnsi="Times New Roman" w:cs="Times New Roman"/>
        </w:rPr>
      </w:pPr>
      <w:r w:rsidRPr="00920D86">
        <w:rPr>
          <w:rFonts w:ascii="Times New Roman" w:hAnsi="Times New Roman" w:cs="Times New Roman"/>
        </w:rPr>
        <w:t>• tourists to rely on predictable liability rules,</w:t>
      </w:r>
    </w:p>
    <w:p w14:paraId="1E006DE4" w14:textId="46BA9C35" w:rsidR="00433399" w:rsidRPr="00920D86" w:rsidRDefault="05235AB2" w:rsidP="05235AB2">
      <w:pPr>
        <w:rPr>
          <w:rFonts w:ascii="Times New Roman" w:hAnsi="Times New Roman" w:cs="Times New Roman"/>
        </w:rPr>
      </w:pPr>
      <w:r w:rsidRPr="00920D86">
        <w:rPr>
          <w:rFonts w:ascii="Times New Roman" w:hAnsi="Times New Roman" w:cs="Times New Roman"/>
        </w:rPr>
        <w:t>• tourism businesses to meet recognised certification requirements.</w:t>
      </w:r>
    </w:p>
    <w:p w14:paraId="123FF7F0" w14:textId="6C7D8C60" w:rsidR="00433399" w:rsidRPr="00920D86" w:rsidRDefault="05235AB2" w:rsidP="05235AB2">
      <w:pPr>
        <w:rPr>
          <w:rFonts w:ascii="Times New Roman" w:hAnsi="Times New Roman" w:cs="Times New Roman"/>
        </w:rPr>
      </w:pPr>
      <w:r w:rsidRPr="00920D86">
        <w:rPr>
          <w:rFonts w:ascii="Times New Roman" w:hAnsi="Times New Roman" w:cs="Times New Roman"/>
        </w:rPr>
        <w:t>Mutual recognition is especially strong in regional systems (e.g., EU internal market rules) but also occurs globally through technical standards (e.g., passports, aviation safety, and maritime safety). The more states align their domestic rules with shared standards, the smoother tourism flows become.</w:t>
      </w:r>
    </w:p>
    <w:p w14:paraId="156BDD7F" w14:textId="560578D2" w:rsidR="00433399" w:rsidRPr="00920D86" w:rsidRDefault="05235AB2" w:rsidP="05235AB2">
      <w:pPr>
        <w:rPr>
          <w:rFonts w:ascii="Times New Roman" w:hAnsi="Times New Roman" w:cs="Times New Roman"/>
        </w:rPr>
      </w:pPr>
      <w:r w:rsidRPr="00920D86">
        <w:rPr>
          <w:rFonts w:ascii="Times New Roman" w:hAnsi="Times New Roman" w:cs="Times New Roman"/>
        </w:rPr>
        <w:t>3.3 Enforcement, Remedies, and Dispute ResolutionA key difference between international and national law is enforcement. Many international instruments lack direct individual complaint mechanisms for tourists. National law provides:</w:t>
      </w:r>
    </w:p>
    <w:p w14:paraId="2B3B9001" w14:textId="243E7483" w:rsidR="00433399" w:rsidRPr="00920D86" w:rsidRDefault="05235AB2" w:rsidP="05235AB2">
      <w:pPr>
        <w:rPr>
          <w:rFonts w:ascii="Times New Roman" w:hAnsi="Times New Roman" w:cs="Times New Roman"/>
        </w:rPr>
      </w:pPr>
      <w:r w:rsidRPr="00920D86">
        <w:rPr>
          <w:rFonts w:ascii="Times New Roman" w:hAnsi="Times New Roman" w:cs="Times New Roman"/>
        </w:rPr>
        <w:t>• courts and tribunals,</w:t>
      </w:r>
    </w:p>
    <w:p w14:paraId="6EE99690" w14:textId="59CB68AD" w:rsidR="00433399" w:rsidRPr="00920D86" w:rsidRDefault="05235AB2" w:rsidP="05235AB2">
      <w:pPr>
        <w:rPr>
          <w:rFonts w:ascii="Times New Roman" w:hAnsi="Times New Roman" w:cs="Times New Roman"/>
        </w:rPr>
      </w:pPr>
      <w:r w:rsidRPr="00920D86">
        <w:rPr>
          <w:rFonts w:ascii="Times New Roman" w:hAnsi="Times New Roman" w:cs="Times New Roman"/>
        </w:rPr>
        <w:t>• regulators and inspectorates,</w:t>
      </w:r>
    </w:p>
    <w:p w14:paraId="331EE895" w14:textId="06FCDFC1" w:rsidR="00433399" w:rsidRPr="00920D86" w:rsidRDefault="05235AB2" w:rsidP="05235AB2">
      <w:pPr>
        <w:rPr>
          <w:rFonts w:ascii="Times New Roman" w:hAnsi="Times New Roman" w:cs="Times New Roman"/>
        </w:rPr>
      </w:pPr>
      <w:r w:rsidRPr="00920D86">
        <w:rPr>
          <w:rFonts w:ascii="Times New Roman" w:hAnsi="Times New Roman" w:cs="Times New Roman"/>
        </w:rPr>
        <w:t>• consumer agencies,</w:t>
      </w:r>
    </w:p>
    <w:p w14:paraId="7E93B37D" w14:textId="7271EF6C" w:rsidR="00433399" w:rsidRPr="00920D86" w:rsidRDefault="05235AB2" w:rsidP="05235AB2">
      <w:pPr>
        <w:rPr>
          <w:rFonts w:ascii="Times New Roman" w:hAnsi="Times New Roman" w:cs="Times New Roman"/>
        </w:rPr>
      </w:pPr>
      <w:r w:rsidRPr="00920D86">
        <w:rPr>
          <w:rFonts w:ascii="Times New Roman" w:hAnsi="Times New Roman" w:cs="Times New Roman"/>
        </w:rPr>
        <w:t>• administrative review systems.</w:t>
      </w:r>
    </w:p>
    <w:p w14:paraId="4943EB6D" w14:textId="76CDEB13" w:rsidR="00433399" w:rsidRPr="00920D86" w:rsidRDefault="05235AB2" w:rsidP="05235AB2">
      <w:pPr>
        <w:rPr>
          <w:rFonts w:ascii="Times New Roman" w:hAnsi="Times New Roman" w:cs="Times New Roman"/>
        </w:rPr>
      </w:pPr>
      <w:r w:rsidRPr="00920D86">
        <w:rPr>
          <w:rFonts w:ascii="Times New Roman" w:hAnsi="Times New Roman" w:cs="Times New Roman"/>
        </w:rPr>
        <w:t>Where domestic enforcement is weak, international commitments may be largely symbolic. Conversely, strong domestic institutions can “activate” international standards, making them meaningful in day-to-day tourism.</w:t>
      </w:r>
    </w:p>
    <w:p w14:paraId="4D1EFBF2" w14:textId="58E5676C" w:rsidR="00433399" w:rsidRPr="00920D86" w:rsidRDefault="05235AB2" w:rsidP="05235AB2">
      <w:pPr>
        <w:rPr>
          <w:rFonts w:ascii="Times New Roman" w:hAnsi="Times New Roman" w:cs="Times New Roman"/>
        </w:rPr>
      </w:pPr>
      <w:r w:rsidRPr="00920D86">
        <w:rPr>
          <w:rFonts w:ascii="Times New Roman" w:hAnsi="Times New Roman" w:cs="Times New Roman"/>
        </w:rPr>
        <w:t>3.4 Managing Conflicts: Sovereignty vs Coordination</w:t>
      </w:r>
    </w:p>
    <w:p w14:paraId="1CBA1649" w14:textId="766DD4B2" w:rsidR="00433399" w:rsidRPr="00920D86" w:rsidRDefault="05235AB2" w:rsidP="05235AB2">
      <w:pPr>
        <w:rPr>
          <w:rFonts w:ascii="Times New Roman" w:hAnsi="Times New Roman" w:cs="Times New Roman"/>
        </w:rPr>
      </w:pPr>
      <w:r w:rsidRPr="00920D86">
        <w:rPr>
          <w:rFonts w:ascii="Times New Roman" w:hAnsi="Times New Roman" w:cs="Times New Roman"/>
        </w:rPr>
        <w:t>Cross-border tourism also reveals conflict points:</w:t>
      </w:r>
    </w:p>
    <w:p w14:paraId="13051E9B" w14:textId="0DCD233F" w:rsidR="00433399" w:rsidRPr="00920D86" w:rsidRDefault="05235AB2" w:rsidP="05235AB2">
      <w:pPr>
        <w:rPr>
          <w:rFonts w:ascii="Times New Roman" w:hAnsi="Times New Roman" w:cs="Times New Roman"/>
        </w:rPr>
      </w:pPr>
      <w:r w:rsidRPr="00920D86">
        <w:rPr>
          <w:rFonts w:ascii="Times New Roman" w:hAnsi="Times New Roman" w:cs="Times New Roman"/>
        </w:rPr>
        <w:t>• Public health emergencies can prompt travel restrictions that conflict with facilitation goals.</w:t>
      </w:r>
    </w:p>
    <w:p w14:paraId="4B6FABBF" w14:textId="3D5794EC" w:rsidR="00433399" w:rsidRPr="00920D86" w:rsidRDefault="05235AB2" w:rsidP="05235AB2">
      <w:pPr>
        <w:rPr>
          <w:rFonts w:ascii="Times New Roman" w:hAnsi="Times New Roman" w:cs="Times New Roman"/>
        </w:rPr>
      </w:pPr>
      <w:r w:rsidRPr="00920D86">
        <w:rPr>
          <w:rFonts w:ascii="Times New Roman" w:hAnsi="Times New Roman" w:cs="Times New Roman"/>
        </w:rPr>
        <w:t>• Security measures can create discriminatory impacts.</w:t>
      </w:r>
    </w:p>
    <w:p w14:paraId="3B2EE2D3" w14:textId="7BF0AABF" w:rsidR="00433399" w:rsidRPr="00920D86" w:rsidRDefault="05235AB2" w:rsidP="05235AB2">
      <w:pPr>
        <w:rPr>
          <w:rFonts w:ascii="Times New Roman" w:hAnsi="Times New Roman" w:cs="Times New Roman"/>
        </w:rPr>
      </w:pPr>
      <w:r w:rsidRPr="00920D86">
        <w:rPr>
          <w:rFonts w:ascii="Times New Roman" w:hAnsi="Times New Roman" w:cs="Times New Roman"/>
        </w:rPr>
        <w:t>• Environmental obligations can restrict development even when tourism is economically vital.</w:t>
      </w:r>
    </w:p>
    <w:p w14:paraId="1569F0DB" w14:textId="555929A3" w:rsidR="00433399" w:rsidRPr="00920D86" w:rsidRDefault="05235AB2" w:rsidP="05235AB2">
      <w:pPr>
        <w:rPr>
          <w:rFonts w:ascii="Times New Roman" w:hAnsi="Times New Roman" w:cs="Times New Roman"/>
        </w:rPr>
      </w:pPr>
      <w:r w:rsidRPr="00920D86">
        <w:rPr>
          <w:rFonts w:ascii="Times New Roman" w:hAnsi="Times New Roman" w:cs="Times New Roman"/>
        </w:rPr>
        <w:t>• Consumer protection can clash with business lobbying or platform terms.</w:t>
      </w:r>
    </w:p>
    <w:p w14:paraId="6E188E92" w14:textId="4D06F4AE" w:rsidR="00433399" w:rsidRPr="00920D86" w:rsidRDefault="05235AB2" w:rsidP="05235AB2">
      <w:pPr>
        <w:rPr>
          <w:rFonts w:ascii="Times New Roman" w:hAnsi="Times New Roman" w:cs="Times New Roman"/>
        </w:rPr>
      </w:pPr>
      <w:r w:rsidRPr="00920D86">
        <w:rPr>
          <w:rFonts w:ascii="Times New Roman" w:hAnsi="Times New Roman" w:cs="Times New Roman"/>
        </w:rPr>
        <w:t>International law helps manage these tensions through proportionality principles, non-discrimination norms, and cooperative mechanisms, but ultimate decisions are often political and executed through national law.4. The Role of the UNWTO in Global Tourism Regulation</w:t>
      </w:r>
    </w:p>
    <w:p w14:paraId="0FD5E63F" w14:textId="3F84D97D" w:rsidR="00433399" w:rsidRPr="00920D86" w:rsidRDefault="05235AB2" w:rsidP="05235AB2">
      <w:pPr>
        <w:rPr>
          <w:rFonts w:ascii="Times New Roman" w:hAnsi="Times New Roman" w:cs="Times New Roman"/>
        </w:rPr>
      </w:pPr>
      <w:r w:rsidRPr="00920D86">
        <w:rPr>
          <w:rFonts w:ascii="Times New Roman" w:hAnsi="Times New Roman" w:cs="Times New Roman"/>
        </w:rPr>
        <w:t>The UNWTO’s role is best understood as governance rather than government. It does not typically bind tourism treaties with strong enforcement. Instead, it influences tourism law and policy through soft law, coordination, knowledge production, and partnerships with bodies that manage binding regimes (UNWTO, 2019a).</w:t>
      </w:r>
    </w:p>
    <w:p w14:paraId="2D7A60F2" w14:textId="10C16434" w:rsidR="00433399" w:rsidRPr="00920D86" w:rsidRDefault="05235AB2" w:rsidP="05235AB2">
      <w:pPr>
        <w:rPr>
          <w:rFonts w:ascii="Times New Roman" w:hAnsi="Times New Roman" w:cs="Times New Roman"/>
        </w:rPr>
      </w:pPr>
      <w:r w:rsidRPr="00920D86">
        <w:rPr>
          <w:rFonts w:ascii="Times New Roman" w:hAnsi="Times New Roman" w:cs="Times New Roman"/>
        </w:rPr>
        <w:t>4.1 Norm-Setting Through Soft Law: Ethics, Sustainability, and Responsible Tourism</w:t>
      </w:r>
    </w:p>
    <w:p w14:paraId="22129400" w14:textId="4AD4B64D" w:rsidR="00433399" w:rsidRPr="00920D86" w:rsidRDefault="05235AB2" w:rsidP="05235AB2">
      <w:pPr>
        <w:rPr>
          <w:rFonts w:ascii="Times New Roman" w:hAnsi="Times New Roman" w:cs="Times New Roman"/>
        </w:rPr>
      </w:pPr>
      <w:r w:rsidRPr="00920D86">
        <w:rPr>
          <w:rFonts w:ascii="Times New Roman" w:hAnsi="Times New Roman" w:cs="Times New Roman"/>
        </w:rPr>
        <w:t>A central UNWTO contribution is the development of normative frameworks. The Global Code of Ethics for Tourism (1999) articulates principles on sustainable development, cultural respect, stakeholder rights and obligations, and tourism’s contribution to mutual understanding (UNWTO, 1999). While not legally binding, it:</w:t>
      </w:r>
    </w:p>
    <w:p w14:paraId="6204AF30" w14:textId="6BE2176E" w:rsidR="00433399" w:rsidRPr="00920D86" w:rsidRDefault="05235AB2" w:rsidP="05235AB2">
      <w:pPr>
        <w:rPr>
          <w:rFonts w:ascii="Times New Roman" w:hAnsi="Times New Roman" w:cs="Times New Roman"/>
        </w:rPr>
      </w:pPr>
      <w:r w:rsidRPr="00920D86">
        <w:rPr>
          <w:rFonts w:ascii="Times New Roman" w:hAnsi="Times New Roman" w:cs="Times New Roman"/>
        </w:rPr>
        <w:t>• provides a reference point for national tourism policies,</w:t>
      </w:r>
    </w:p>
    <w:p w14:paraId="0FA3EE91" w14:textId="28CB4DC7" w:rsidR="00433399" w:rsidRPr="00920D86" w:rsidRDefault="05235AB2" w:rsidP="05235AB2">
      <w:pPr>
        <w:rPr>
          <w:rFonts w:ascii="Times New Roman" w:hAnsi="Times New Roman" w:cs="Times New Roman"/>
        </w:rPr>
      </w:pPr>
      <w:r w:rsidRPr="00920D86">
        <w:rPr>
          <w:rFonts w:ascii="Times New Roman" w:hAnsi="Times New Roman" w:cs="Times New Roman"/>
        </w:rPr>
        <w:t>• supports industry self-regulation and corporate codes,</w:t>
      </w:r>
    </w:p>
    <w:p w14:paraId="56F261C9" w14:textId="0E179A95" w:rsidR="00433399" w:rsidRPr="00920D86" w:rsidRDefault="05235AB2" w:rsidP="05235AB2">
      <w:pPr>
        <w:rPr>
          <w:rFonts w:ascii="Times New Roman" w:hAnsi="Times New Roman" w:cs="Times New Roman"/>
        </w:rPr>
      </w:pPr>
      <w:r w:rsidRPr="00920D86">
        <w:rPr>
          <w:rFonts w:ascii="Times New Roman" w:hAnsi="Times New Roman" w:cs="Times New Roman"/>
        </w:rPr>
        <w:t>• influences educational curricula and professional standards,</w:t>
      </w:r>
    </w:p>
    <w:p w14:paraId="42B44DDC" w14:textId="10515D3E" w:rsidR="00433399" w:rsidRPr="00920D86" w:rsidRDefault="05235AB2" w:rsidP="05235AB2">
      <w:pPr>
        <w:rPr>
          <w:rFonts w:ascii="Times New Roman" w:hAnsi="Times New Roman" w:cs="Times New Roman"/>
        </w:rPr>
      </w:pPr>
      <w:r w:rsidRPr="00920D86">
        <w:rPr>
          <w:rFonts w:ascii="Times New Roman" w:hAnsi="Times New Roman" w:cs="Times New Roman"/>
        </w:rPr>
        <w:t>• can be cited in policy debates and legislative drafting as a benchmark for responsible tourism.</w:t>
      </w:r>
    </w:p>
    <w:p w14:paraId="5191CBEE" w14:textId="5354CE17" w:rsidR="00433399" w:rsidRPr="00920D86" w:rsidRDefault="05235AB2" w:rsidP="05235AB2">
      <w:pPr>
        <w:rPr>
          <w:rFonts w:ascii="Times New Roman" w:hAnsi="Times New Roman" w:cs="Times New Roman"/>
        </w:rPr>
      </w:pPr>
      <w:r w:rsidRPr="00920D86">
        <w:rPr>
          <w:rFonts w:ascii="Times New Roman" w:hAnsi="Times New Roman" w:cs="Times New Roman"/>
        </w:rPr>
        <w:t>Soft law matters in tourism because many tourism harms—overtourism impacts, community displacement, labour exploitation in supply chains, or cultural commodification—are not easily addressed by single binding instruments. UNWTO soft-law standards fill part of this gap by shaping expectations and encouraging convergence of domestic policy (Drahos, 2017).4.2 Policy Guidance and Technical Assistance UNWTO supports member states by:</w:t>
      </w:r>
    </w:p>
    <w:p w14:paraId="65A4931C" w14:textId="4D04D33B" w:rsidR="00433399" w:rsidRPr="00920D86" w:rsidRDefault="05235AB2" w:rsidP="05235AB2">
      <w:pPr>
        <w:rPr>
          <w:rFonts w:ascii="Times New Roman" w:hAnsi="Times New Roman" w:cs="Times New Roman"/>
        </w:rPr>
      </w:pPr>
      <w:r w:rsidRPr="00920D86">
        <w:rPr>
          <w:rFonts w:ascii="Times New Roman" w:hAnsi="Times New Roman" w:cs="Times New Roman"/>
        </w:rPr>
        <w:t>• providing policy toolkits and guidelines,</w:t>
      </w:r>
    </w:p>
    <w:p w14:paraId="20AC517A" w14:textId="0C9F9C15" w:rsidR="00433399" w:rsidRPr="00920D86" w:rsidRDefault="05235AB2" w:rsidP="05235AB2">
      <w:pPr>
        <w:rPr>
          <w:rFonts w:ascii="Times New Roman" w:hAnsi="Times New Roman" w:cs="Times New Roman"/>
        </w:rPr>
      </w:pPr>
      <w:r w:rsidRPr="00920D86">
        <w:rPr>
          <w:rFonts w:ascii="Times New Roman" w:hAnsi="Times New Roman" w:cs="Times New Roman"/>
        </w:rPr>
        <w:t>• advising on tourism master plans,</w:t>
      </w:r>
    </w:p>
    <w:p w14:paraId="279AD7F6" w14:textId="41A0438F" w:rsidR="00433399" w:rsidRPr="00920D86" w:rsidRDefault="05235AB2" w:rsidP="05235AB2">
      <w:pPr>
        <w:rPr>
          <w:rFonts w:ascii="Times New Roman" w:hAnsi="Times New Roman" w:cs="Times New Roman"/>
        </w:rPr>
      </w:pPr>
      <w:r w:rsidRPr="00920D86">
        <w:rPr>
          <w:rFonts w:ascii="Times New Roman" w:hAnsi="Times New Roman" w:cs="Times New Roman"/>
        </w:rPr>
        <w:t>• supporting capacity-building in statistics, destination management, and crisis response,</w:t>
      </w:r>
    </w:p>
    <w:p w14:paraId="0104B54E" w14:textId="1216BD18" w:rsidR="00433399" w:rsidRPr="00920D86" w:rsidRDefault="05235AB2" w:rsidP="05235AB2">
      <w:pPr>
        <w:rPr>
          <w:rFonts w:ascii="Times New Roman" w:hAnsi="Times New Roman" w:cs="Times New Roman"/>
        </w:rPr>
      </w:pPr>
      <w:r w:rsidRPr="00920D86">
        <w:rPr>
          <w:rFonts w:ascii="Times New Roman" w:hAnsi="Times New Roman" w:cs="Times New Roman"/>
        </w:rPr>
        <w:t>• sharing best practices on tourism legislation and governance models.</w:t>
      </w:r>
    </w:p>
    <w:p w14:paraId="37B8DF31" w14:textId="01BACFCC" w:rsidR="00433399" w:rsidRPr="00920D86" w:rsidRDefault="05235AB2" w:rsidP="05235AB2">
      <w:pPr>
        <w:rPr>
          <w:rFonts w:ascii="Times New Roman" w:hAnsi="Times New Roman" w:cs="Times New Roman"/>
        </w:rPr>
      </w:pPr>
      <w:r w:rsidRPr="00920D86">
        <w:rPr>
          <w:rFonts w:ascii="Times New Roman" w:hAnsi="Times New Roman" w:cs="Times New Roman"/>
        </w:rPr>
        <w:t>This role is especially significant for states with rapidly growing tourism sectors but limited regulatory capacity. Technical assistance can indirectly affect national laws by shaping draft legislation, regulatory strategies, and institutional design.</w:t>
      </w:r>
    </w:p>
    <w:p w14:paraId="27C77D69" w14:textId="00EA877D" w:rsidR="00433399" w:rsidRPr="00920D86" w:rsidRDefault="05235AB2" w:rsidP="05235AB2">
      <w:pPr>
        <w:rPr>
          <w:rFonts w:ascii="Times New Roman" w:hAnsi="Times New Roman" w:cs="Times New Roman"/>
        </w:rPr>
      </w:pPr>
      <w:r w:rsidRPr="00920D86">
        <w:rPr>
          <w:rFonts w:ascii="Times New Roman" w:hAnsi="Times New Roman" w:cs="Times New Roman"/>
        </w:rPr>
        <w:t>4.3 Tourism Statistics and Measurement StandardsA less visible but influential contribution is the UNWTO's work on tourism measurement and the development of global standards for tourism statistics in collaboration with the UN system. Common statistical frameworks enable:</w:t>
      </w:r>
    </w:p>
    <w:p w14:paraId="1165F229" w14:textId="504712B3" w:rsidR="00433399" w:rsidRPr="00920D86" w:rsidRDefault="05235AB2" w:rsidP="05235AB2">
      <w:pPr>
        <w:rPr>
          <w:rFonts w:ascii="Times New Roman" w:hAnsi="Times New Roman" w:cs="Times New Roman"/>
        </w:rPr>
      </w:pPr>
      <w:r w:rsidRPr="00920D86">
        <w:rPr>
          <w:rFonts w:ascii="Times New Roman" w:hAnsi="Times New Roman" w:cs="Times New Roman"/>
        </w:rPr>
        <w:t>• comparability of tourism performance across states,</w:t>
      </w:r>
    </w:p>
    <w:p w14:paraId="767B714F" w14:textId="4999CCB9" w:rsidR="00433399" w:rsidRPr="00920D86" w:rsidRDefault="05235AB2" w:rsidP="05235AB2">
      <w:pPr>
        <w:rPr>
          <w:rFonts w:ascii="Times New Roman" w:hAnsi="Times New Roman" w:cs="Times New Roman"/>
        </w:rPr>
      </w:pPr>
      <w:r w:rsidRPr="00920D86">
        <w:rPr>
          <w:rFonts w:ascii="Times New Roman" w:hAnsi="Times New Roman" w:cs="Times New Roman"/>
        </w:rPr>
        <w:t>• evidence-based policymaking,</w:t>
      </w:r>
    </w:p>
    <w:p w14:paraId="1EB2DFC0" w14:textId="432978AA" w:rsidR="00433399" w:rsidRPr="00920D86" w:rsidRDefault="05235AB2" w:rsidP="05235AB2">
      <w:pPr>
        <w:rPr>
          <w:rFonts w:ascii="Times New Roman" w:hAnsi="Times New Roman" w:cs="Times New Roman"/>
        </w:rPr>
      </w:pPr>
      <w:r w:rsidRPr="00920D86">
        <w:rPr>
          <w:rFonts w:ascii="Times New Roman" w:hAnsi="Times New Roman" w:cs="Times New Roman"/>
        </w:rPr>
        <w:t>• justification for regulatory interventions (e.g., crowd management, taxation, infrastructure planning).</w:t>
      </w:r>
    </w:p>
    <w:p w14:paraId="226100F1" w14:textId="16FE2FA2" w:rsidR="00433399" w:rsidRPr="00920D86" w:rsidRDefault="05235AB2" w:rsidP="05235AB2">
      <w:pPr>
        <w:rPr>
          <w:rFonts w:ascii="Times New Roman" w:hAnsi="Times New Roman" w:cs="Times New Roman"/>
        </w:rPr>
      </w:pPr>
      <w:r w:rsidRPr="00920D86">
        <w:rPr>
          <w:rFonts w:ascii="Times New Roman" w:hAnsi="Times New Roman" w:cs="Times New Roman"/>
        </w:rPr>
        <w:t>Reliable measurement supports better regulation because laws and policies can be calibrated to actual visitor flows, seasonality, and impacts.</w:t>
      </w:r>
    </w:p>
    <w:p w14:paraId="63A29E44" w14:textId="67E23944" w:rsidR="00433399" w:rsidRPr="00920D86" w:rsidRDefault="05235AB2" w:rsidP="05235AB2">
      <w:pPr>
        <w:rPr>
          <w:rFonts w:ascii="Times New Roman" w:hAnsi="Times New Roman" w:cs="Times New Roman"/>
        </w:rPr>
      </w:pPr>
      <w:r w:rsidRPr="00920D86">
        <w:rPr>
          <w:rFonts w:ascii="Times New Roman" w:hAnsi="Times New Roman" w:cs="Times New Roman"/>
        </w:rPr>
        <w:t xml:space="preserve">4.4 Coordination </w:t>
      </w:r>
      <w:proofErr w:type="gramStart"/>
      <w:r w:rsidRPr="00920D86">
        <w:rPr>
          <w:rFonts w:ascii="Times New Roman" w:hAnsi="Times New Roman" w:cs="Times New Roman"/>
        </w:rPr>
        <w:t>With</w:t>
      </w:r>
      <w:proofErr w:type="gramEnd"/>
      <w:r w:rsidRPr="00920D86">
        <w:rPr>
          <w:rFonts w:ascii="Times New Roman" w:hAnsi="Times New Roman" w:cs="Times New Roman"/>
        </w:rPr>
        <w:t xml:space="preserve"> Other International Organisations UNWTO operates in an ecosystem of institutions. Tourism’s binding legal frameworks are often administered elsewhere:</w:t>
      </w:r>
    </w:p>
    <w:p w14:paraId="0D988B2E" w14:textId="1077C735" w:rsidR="00433399" w:rsidRPr="00920D86" w:rsidRDefault="05235AB2" w:rsidP="05235AB2">
      <w:pPr>
        <w:rPr>
          <w:rFonts w:ascii="Times New Roman" w:hAnsi="Times New Roman" w:cs="Times New Roman"/>
        </w:rPr>
      </w:pPr>
      <w:r w:rsidRPr="00920D86">
        <w:rPr>
          <w:rFonts w:ascii="Times New Roman" w:hAnsi="Times New Roman" w:cs="Times New Roman"/>
        </w:rPr>
        <w:t>• ICAO and Montreal Convention for air carriage and safety,</w:t>
      </w:r>
    </w:p>
    <w:p w14:paraId="17D13D74" w14:textId="772101E0" w:rsidR="00433399" w:rsidRPr="00920D86" w:rsidRDefault="05235AB2" w:rsidP="05235AB2">
      <w:pPr>
        <w:rPr>
          <w:rFonts w:ascii="Times New Roman" w:hAnsi="Times New Roman" w:cs="Times New Roman"/>
        </w:rPr>
      </w:pPr>
      <w:r w:rsidRPr="00920D86">
        <w:rPr>
          <w:rFonts w:ascii="Times New Roman" w:hAnsi="Times New Roman" w:cs="Times New Roman"/>
        </w:rPr>
        <w:t>• IMO for maritime safety and pollution,</w:t>
      </w:r>
    </w:p>
    <w:p w14:paraId="7249F6E0" w14:textId="3EBC326D" w:rsidR="00433399" w:rsidRPr="00920D86" w:rsidRDefault="05235AB2" w:rsidP="05235AB2">
      <w:pPr>
        <w:rPr>
          <w:rFonts w:ascii="Times New Roman" w:hAnsi="Times New Roman" w:cs="Times New Roman"/>
        </w:rPr>
      </w:pPr>
      <w:r w:rsidRPr="00920D86">
        <w:rPr>
          <w:rFonts w:ascii="Times New Roman" w:hAnsi="Times New Roman" w:cs="Times New Roman"/>
        </w:rPr>
        <w:t>• WHO for IHR and health coordination,</w:t>
      </w:r>
    </w:p>
    <w:p w14:paraId="7DCA6F4F" w14:textId="67545C11" w:rsidR="00433399" w:rsidRPr="00920D86" w:rsidRDefault="05235AB2" w:rsidP="05235AB2">
      <w:pPr>
        <w:rPr>
          <w:rFonts w:ascii="Times New Roman" w:hAnsi="Times New Roman" w:cs="Times New Roman"/>
        </w:rPr>
      </w:pPr>
      <w:r w:rsidRPr="00920D86">
        <w:rPr>
          <w:rFonts w:ascii="Times New Roman" w:hAnsi="Times New Roman" w:cs="Times New Roman"/>
        </w:rPr>
        <w:t>• UNESCO for governance,</w:t>
      </w:r>
    </w:p>
    <w:p w14:paraId="180C6CCA" w14:textId="7DDF178E" w:rsidR="00433399" w:rsidRPr="00920D86" w:rsidRDefault="05235AB2" w:rsidP="05235AB2">
      <w:pPr>
        <w:rPr>
          <w:rFonts w:ascii="Times New Roman" w:hAnsi="Times New Roman" w:cs="Times New Roman"/>
        </w:rPr>
      </w:pPr>
      <w:r w:rsidRPr="00920D86">
        <w:rPr>
          <w:rFonts w:ascii="Times New Roman" w:hAnsi="Times New Roman" w:cs="Times New Roman"/>
        </w:rPr>
        <w:t>• WTO for trade in services (including tourism-related services) and trade disputes,</w:t>
      </w:r>
    </w:p>
    <w:p w14:paraId="69825662" w14:textId="42F7330E" w:rsidR="00433399" w:rsidRPr="00920D86" w:rsidRDefault="05235AB2" w:rsidP="05235AB2">
      <w:pPr>
        <w:rPr>
          <w:rFonts w:ascii="Times New Roman" w:hAnsi="Times New Roman" w:cs="Times New Roman"/>
        </w:rPr>
      </w:pPr>
      <w:r w:rsidRPr="00920D86">
        <w:rPr>
          <w:rFonts w:ascii="Times New Roman" w:hAnsi="Times New Roman" w:cs="Times New Roman"/>
        </w:rPr>
        <w:t>• UNFCCC for climate policy affecting tourism emissions.</w:t>
      </w:r>
    </w:p>
    <w:p w14:paraId="455B2B18" w14:textId="27D3B017" w:rsidR="00433399" w:rsidRPr="00920D86" w:rsidRDefault="05235AB2" w:rsidP="05235AB2">
      <w:pPr>
        <w:rPr>
          <w:rFonts w:ascii="Times New Roman" w:hAnsi="Times New Roman" w:cs="Times New Roman"/>
        </w:rPr>
      </w:pPr>
      <w:r w:rsidRPr="00920D86">
        <w:rPr>
          <w:rFonts w:ascii="Times New Roman" w:hAnsi="Times New Roman" w:cs="Times New Roman"/>
        </w:rPr>
        <w:t>UNWTO contributes by aligning tourism policy priorities with these regimes and representing tourism interests in cross-sectoral discussions. For example, in crises affecting travel (health emergencies and security incidents), the UNWTO can act as a convening platform to coordinate messaging, share guidance, and promote recovery measures (UNWTO, 2020). Its influence is therefore partly diplomatic and partly epistemic: it shapes what states and industry consider “best practice".</w:t>
      </w:r>
    </w:p>
    <w:p w14:paraId="6D23641D" w14:textId="5E965599" w:rsidR="00433399" w:rsidRPr="00920D86" w:rsidRDefault="05235AB2" w:rsidP="05235AB2">
      <w:pPr>
        <w:rPr>
          <w:rFonts w:ascii="Times New Roman" w:hAnsi="Times New Roman" w:cs="Times New Roman"/>
        </w:rPr>
      </w:pPr>
      <w:r w:rsidRPr="00920D86">
        <w:rPr>
          <w:rFonts w:ascii="Times New Roman" w:hAnsi="Times New Roman" w:cs="Times New Roman"/>
        </w:rPr>
        <w:t>4.5 Limitations of UNWTO Influence UNWTO’s impact is constrained by:</w:t>
      </w:r>
    </w:p>
    <w:p w14:paraId="128778BF" w14:textId="01376AE9" w:rsidR="00433399" w:rsidRPr="00920D86" w:rsidRDefault="05235AB2" w:rsidP="05235AB2">
      <w:pPr>
        <w:rPr>
          <w:rFonts w:ascii="Times New Roman" w:hAnsi="Times New Roman" w:cs="Times New Roman"/>
        </w:rPr>
      </w:pPr>
      <w:r w:rsidRPr="00920D86">
        <w:rPr>
          <w:rFonts w:ascii="Times New Roman" w:hAnsi="Times New Roman" w:cs="Times New Roman"/>
        </w:rPr>
        <w:t>• soft-law nature of many instruments (non-binding),</w:t>
      </w:r>
    </w:p>
    <w:p w14:paraId="0F703361" w14:textId="5A4F1E89" w:rsidR="00433399" w:rsidRPr="00920D86" w:rsidRDefault="05235AB2" w:rsidP="05235AB2">
      <w:pPr>
        <w:rPr>
          <w:rFonts w:ascii="Times New Roman" w:hAnsi="Times New Roman" w:cs="Times New Roman"/>
        </w:rPr>
      </w:pPr>
      <w:r w:rsidRPr="00920D86">
        <w:rPr>
          <w:rFonts w:ascii="Times New Roman" w:hAnsi="Times New Roman" w:cs="Times New Roman"/>
        </w:rPr>
        <w:t>• reliance on member state political will,</w:t>
      </w:r>
    </w:p>
    <w:p w14:paraId="34FE2381" w14:textId="20F6A8FE" w:rsidR="00433399" w:rsidRPr="00920D86" w:rsidRDefault="05235AB2" w:rsidP="05235AB2">
      <w:pPr>
        <w:rPr>
          <w:rFonts w:ascii="Times New Roman" w:hAnsi="Times New Roman" w:cs="Times New Roman"/>
        </w:rPr>
      </w:pPr>
      <w:r w:rsidRPr="00920D86">
        <w:rPr>
          <w:rFonts w:ascii="Times New Roman" w:hAnsi="Times New Roman" w:cs="Times New Roman"/>
        </w:rPr>
        <w:t>• uneven uptake into domestic law,</w:t>
      </w:r>
    </w:p>
    <w:p w14:paraId="0E254EF0" w14:textId="7ECD036E" w:rsidR="00433399" w:rsidRPr="00920D86" w:rsidRDefault="05235AB2" w:rsidP="05235AB2">
      <w:pPr>
        <w:rPr>
          <w:rFonts w:ascii="Times New Roman" w:hAnsi="Times New Roman" w:cs="Times New Roman"/>
        </w:rPr>
      </w:pPr>
      <w:r w:rsidRPr="00920D86">
        <w:rPr>
          <w:rFonts w:ascii="Times New Roman" w:hAnsi="Times New Roman" w:cs="Times New Roman"/>
        </w:rPr>
        <w:t>• competing priorities (security, public health, migration politics, economic growth),</w:t>
      </w:r>
    </w:p>
    <w:p w14:paraId="18F88453" w14:textId="03685BC6" w:rsidR="00433399" w:rsidRPr="00920D86" w:rsidRDefault="05235AB2" w:rsidP="05235AB2">
      <w:pPr>
        <w:rPr>
          <w:rFonts w:ascii="Times New Roman" w:hAnsi="Times New Roman" w:cs="Times New Roman"/>
        </w:rPr>
      </w:pPr>
      <w:r w:rsidRPr="00920D86">
        <w:rPr>
          <w:rFonts w:ascii="Times New Roman" w:hAnsi="Times New Roman" w:cs="Times New Roman"/>
        </w:rPr>
        <w:t>• the fact that many “hard law” levers relevant to tourism lie with other bodies.</w:t>
      </w:r>
    </w:p>
    <w:p w14:paraId="5775F5DE" w14:textId="175A59D0" w:rsidR="00433399" w:rsidRPr="00920D86" w:rsidRDefault="05235AB2" w:rsidP="05235AB2">
      <w:pPr>
        <w:rPr>
          <w:rFonts w:ascii="Times New Roman" w:hAnsi="Times New Roman" w:cs="Times New Roman"/>
        </w:rPr>
      </w:pPr>
      <w:r w:rsidRPr="00920D86">
        <w:rPr>
          <w:rFonts w:ascii="Times New Roman" w:hAnsi="Times New Roman" w:cs="Times New Roman"/>
        </w:rPr>
        <w:t>Nonetheless, soft law can have durable effects. UNWTO's normative frameworks can influence donor funding, investment requirements, and the content of national tourist policies in areas like sustainability, ethics, and community-based tourism. Critical Analysis: tourist Regulation as a Hybrid System The interplay between national tourist legislation and international conventions demonstrates that tourism is regulated by a hybrid system that combines binding and non-binding standards. This hybrid character has advantages and disadvantages.</w:t>
      </w:r>
    </w:p>
    <w:p w14:paraId="7D3B411E" w14:textId="77777777" w:rsidR="001E1161" w:rsidRDefault="001E1161" w:rsidP="05235AB2">
      <w:pPr>
        <w:rPr>
          <w:rFonts w:ascii="Times New Roman" w:hAnsi="Times New Roman" w:cs="Times New Roman"/>
        </w:rPr>
      </w:pPr>
    </w:p>
    <w:p w14:paraId="197952A5" w14:textId="210AC2BD" w:rsidR="00433399" w:rsidRPr="00920D86" w:rsidRDefault="05235AB2" w:rsidP="05235AB2">
      <w:pPr>
        <w:rPr>
          <w:rFonts w:ascii="Times New Roman" w:hAnsi="Times New Roman" w:cs="Times New Roman"/>
        </w:rPr>
      </w:pPr>
      <w:r w:rsidRPr="00920D86">
        <w:rPr>
          <w:rFonts w:ascii="Times New Roman" w:hAnsi="Times New Roman" w:cs="Times New Roman"/>
        </w:rPr>
        <w:t>5.1 Strengths of the Hybrid Model</w:t>
      </w:r>
    </w:p>
    <w:p w14:paraId="142AF10C" w14:textId="759FE60C" w:rsidR="00433399" w:rsidRPr="00920D86" w:rsidRDefault="05235AB2" w:rsidP="05235AB2">
      <w:pPr>
        <w:rPr>
          <w:rFonts w:ascii="Times New Roman" w:hAnsi="Times New Roman" w:cs="Times New Roman"/>
        </w:rPr>
      </w:pPr>
      <w:r w:rsidRPr="00920D86">
        <w:rPr>
          <w:rFonts w:ascii="Times New Roman" w:hAnsi="Times New Roman" w:cs="Times New Roman"/>
        </w:rPr>
        <w:t xml:space="preserve">• Flexibility: </w:t>
      </w:r>
    </w:p>
    <w:p w14:paraId="235D795D" w14:textId="64FB7144" w:rsidR="00433399" w:rsidRPr="00920D86" w:rsidRDefault="05235AB2" w:rsidP="05235AB2">
      <w:pPr>
        <w:rPr>
          <w:rFonts w:ascii="Times New Roman" w:hAnsi="Times New Roman" w:cs="Times New Roman"/>
        </w:rPr>
      </w:pPr>
      <w:r w:rsidRPr="00920D86">
        <w:rPr>
          <w:rFonts w:ascii="Times New Roman" w:hAnsi="Times New Roman" w:cs="Times New Roman"/>
        </w:rPr>
        <w:t>National law can adapt international principles to local conditions (e.g., different environmental capacities, heritage sensitivities, and labour markets).</w:t>
      </w:r>
    </w:p>
    <w:p w14:paraId="5C19917A" w14:textId="5DBA12DE" w:rsidR="00433399" w:rsidRPr="00920D86" w:rsidRDefault="05235AB2" w:rsidP="05235AB2">
      <w:pPr>
        <w:rPr>
          <w:rFonts w:ascii="Times New Roman" w:hAnsi="Times New Roman" w:cs="Times New Roman"/>
        </w:rPr>
      </w:pPr>
      <w:r w:rsidRPr="00920D86">
        <w:rPr>
          <w:rFonts w:ascii="Times New Roman" w:hAnsi="Times New Roman" w:cs="Times New Roman"/>
        </w:rPr>
        <w:t xml:space="preserve">• Coordination: </w:t>
      </w:r>
    </w:p>
    <w:p w14:paraId="015C92E4" w14:textId="1DE8A465" w:rsidR="00433399" w:rsidRPr="00920D86" w:rsidRDefault="05235AB2" w:rsidP="05235AB2">
      <w:pPr>
        <w:rPr>
          <w:rFonts w:ascii="Times New Roman" w:hAnsi="Times New Roman" w:cs="Times New Roman"/>
        </w:rPr>
      </w:pPr>
      <w:r w:rsidRPr="00920D86">
        <w:rPr>
          <w:rFonts w:ascii="Times New Roman" w:hAnsi="Times New Roman" w:cs="Times New Roman"/>
        </w:rPr>
        <w:t>International conventions reduce fragmentation in key areas like aviation liability and health measures.</w:t>
      </w:r>
      <w:r w:rsidR="00000000" w:rsidRPr="00920D86">
        <w:rPr>
          <w:rFonts w:ascii="Times New Roman" w:hAnsi="Times New Roman" w:cs="Times New Roman"/>
        </w:rPr>
        <w:br/>
      </w:r>
      <w:r w:rsidRPr="00920D86">
        <w:rPr>
          <w:rFonts w:ascii="Times New Roman" w:hAnsi="Times New Roman" w:cs="Times New Roman"/>
        </w:rPr>
        <w:t>• Policy diffusion: The UNWTO promotes the convergence of ethical and sustainability norms without requiring complex treaty negotiation.</w:t>
      </w:r>
    </w:p>
    <w:p w14:paraId="56754EE1" w14:textId="406B9EA1" w:rsidR="00433399" w:rsidRPr="00920D86" w:rsidRDefault="05235AB2" w:rsidP="05235AB2">
      <w:pPr>
        <w:rPr>
          <w:rFonts w:ascii="Times New Roman" w:hAnsi="Times New Roman" w:cs="Times New Roman"/>
        </w:rPr>
      </w:pPr>
      <w:r w:rsidRPr="00920D86">
        <w:rPr>
          <w:rFonts w:ascii="Times New Roman" w:hAnsi="Times New Roman" w:cs="Times New Roman"/>
        </w:rPr>
        <w:t>5.2 Weaknesses and Persistent Gaps</w:t>
      </w:r>
    </w:p>
    <w:p w14:paraId="1D670A4F" w14:textId="34DD8B00" w:rsidR="00433399" w:rsidRPr="00920D86" w:rsidRDefault="05235AB2" w:rsidP="05235AB2">
      <w:pPr>
        <w:rPr>
          <w:rFonts w:ascii="Times New Roman" w:hAnsi="Times New Roman" w:cs="Times New Roman"/>
        </w:rPr>
      </w:pPr>
      <w:r w:rsidRPr="00920D86">
        <w:rPr>
          <w:rFonts w:ascii="Times New Roman" w:hAnsi="Times New Roman" w:cs="Times New Roman"/>
        </w:rPr>
        <w:t>• Enforcement gaps: Where domestic institution</w:t>
      </w:r>
      <w:r w:rsidR="001E1161">
        <w:rPr>
          <w:rFonts w:ascii="Times New Roman" w:hAnsi="Times New Roman" w:cs="Times New Roman"/>
        </w:rPr>
        <w:t xml:space="preserve"> </w:t>
      </w:r>
      <w:r w:rsidRPr="00920D86">
        <w:rPr>
          <w:rFonts w:ascii="Times New Roman" w:hAnsi="Times New Roman" w:cs="Times New Roman"/>
        </w:rPr>
        <w:t>s are weak, tourists may lack effective remedies.</w:t>
      </w:r>
    </w:p>
    <w:p w14:paraId="44ED4C52" w14:textId="3DFC6962" w:rsidR="00433399" w:rsidRPr="00920D86" w:rsidRDefault="05235AB2" w:rsidP="05235AB2">
      <w:pPr>
        <w:rPr>
          <w:rFonts w:ascii="Times New Roman" w:hAnsi="Times New Roman" w:cs="Times New Roman"/>
        </w:rPr>
      </w:pPr>
      <w:r w:rsidRPr="00920D86">
        <w:rPr>
          <w:rFonts w:ascii="Times New Roman" w:hAnsi="Times New Roman" w:cs="Times New Roman"/>
        </w:rPr>
        <w:t>• Fragmentation: Multiple regimes can overlap without clear hierarchy—health rules, immigration policies, aviation rules, and consumer law may conflict.</w:t>
      </w:r>
    </w:p>
    <w:p w14:paraId="1797A719" w14:textId="5DC90584" w:rsidR="00433399" w:rsidRPr="00920D86" w:rsidRDefault="05235AB2" w:rsidP="05235AB2">
      <w:pPr>
        <w:rPr>
          <w:rFonts w:ascii="Times New Roman" w:hAnsi="Times New Roman" w:cs="Times New Roman"/>
        </w:rPr>
      </w:pPr>
      <w:r w:rsidRPr="00920D86">
        <w:rPr>
          <w:rFonts w:ascii="Times New Roman" w:hAnsi="Times New Roman" w:cs="Times New Roman"/>
        </w:rPr>
        <w:t>• Equity concerns: Tourism development can produce unequal benefits; international ethical norms may not be enough to prevent community harm or labour exploitation.</w:t>
      </w:r>
    </w:p>
    <w:p w14:paraId="4382DE7F" w14:textId="567DC67A" w:rsidR="00433399" w:rsidRPr="00920D86" w:rsidRDefault="05235AB2" w:rsidP="05235AB2">
      <w:pPr>
        <w:rPr>
          <w:rFonts w:ascii="Times New Roman" w:hAnsi="Times New Roman" w:cs="Times New Roman"/>
        </w:rPr>
      </w:pPr>
      <w:r w:rsidRPr="00920D86">
        <w:rPr>
          <w:rFonts w:ascii="Times New Roman" w:hAnsi="Times New Roman" w:cs="Times New Roman"/>
        </w:rPr>
        <w:t xml:space="preserve">• Crisis vulnerability: Cross-border tourism is highly sensitive to emergencies. </w:t>
      </w:r>
    </w:p>
    <w:p w14:paraId="406A263C" w14:textId="249AACC8" w:rsidR="00433399" w:rsidRPr="00920D86" w:rsidRDefault="05235AB2" w:rsidP="05235AB2">
      <w:pPr>
        <w:rPr>
          <w:rFonts w:ascii="Times New Roman" w:hAnsi="Times New Roman" w:cs="Times New Roman"/>
        </w:rPr>
      </w:pPr>
      <w:r w:rsidRPr="00920D86">
        <w:rPr>
          <w:rFonts w:ascii="Times New Roman" w:hAnsi="Times New Roman" w:cs="Times New Roman"/>
        </w:rPr>
        <w:t>5.3 Emerging Challenges: Platforms, Climate, and Overtourism Three contemporary forces put the current framework to the test. Although there are international coordinating channels (such as IHR), nations frequently turn to unilateral measures.</w:t>
      </w:r>
    </w:p>
    <w:p w14:paraId="76C70D18" w14:textId="559C93B0" w:rsidR="00433399" w:rsidRPr="00920D86" w:rsidRDefault="05235AB2" w:rsidP="05235AB2">
      <w:pPr>
        <w:rPr>
          <w:rFonts w:ascii="Times New Roman" w:hAnsi="Times New Roman" w:cs="Times New Roman"/>
        </w:rPr>
      </w:pPr>
      <w:r w:rsidRPr="00920D86">
        <w:rPr>
          <w:rFonts w:ascii="Times New Roman" w:hAnsi="Times New Roman" w:cs="Times New Roman"/>
        </w:rPr>
        <w:t>Platform governance (short-term rentals, online travel agencies): Domestic legislation finds it difficult to keep up with international digital business models. There is little international coordination.</w:t>
      </w:r>
    </w:p>
    <w:p w14:paraId="123213F7" w14:textId="1279B8C3" w:rsidR="00433399" w:rsidRPr="00920D86" w:rsidRDefault="05235AB2" w:rsidP="05235AB2">
      <w:pPr>
        <w:rPr>
          <w:rFonts w:ascii="Times New Roman" w:hAnsi="Times New Roman" w:cs="Times New Roman"/>
        </w:rPr>
      </w:pPr>
      <w:r w:rsidRPr="00920D86">
        <w:rPr>
          <w:rFonts w:ascii="Times New Roman" w:hAnsi="Times New Roman" w:cs="Times New Roman"/>
        </w:rPr>
        <w:t>Climate regulation: Decarbonisation is linked to tourism, particularly aviation. National levies, carbon regulations, and destination sustainability mandates will increasingly reflect international climate commitments.</w:t>
      </w:r>
    </w:p>
    <w:p w14:paraId="24991E3A" w14:textId="3AD71903" w:rsidR="00433399" w:rsidRPr="00920D86" w:rsidRDefault="05235AB2" w:rsidP="05235AB2">
      <w:pPr>
        <w:rPr>
          <w:rFonts w:ascii="Times New Roman" w:hAnsi="Times New Roman" w:cs="Times New Roman"/>
        </w:rPr>
      </w:pPr>
      <w:r w:rsidRPr="00920D86">
        <w:rPr>
          <w:rFonts w:ascii="Times New Roman" w:hAnsi="Times New Roman" w:cs="Times New Roman"/>
        </w:rPr>
        <w:t xml:space="preserve">Overtourism and community impacts: The need for local controls (visitor caps, zoning, and behavioural rules) raises concerns about striking a balance between openness and community rights, pushing destinations toward stronger domestic regulation in line with sustainability principles. The UNWTO plays a significant role in these challenges as a convener and norm-setter, but the hard constraints will come from domestic law and from binding regimes in transport and climate governance. In conclusion, </w:t>
      </w:r>
      <w:proofErr w:type="gramStart"/>
      <w:r w:rsidRPr="00920D86">
        <w:rPr>
          <w:rFonts w:ascii="Times New Roman" w:hAnsi="Times New Roman" w:cs="Times New Roman"/>
        </w:rPr>
        <w:t>In</w:t>
      </w:r>
      <w:proofErr w:type="gramEnd"/>
      <w:r w:rsidRPr="00920D86">
        <w:rPr>
          <w:rFonts w:ascii="Times New Roman" w:hAnsi="Times New Roman" w:cs="Times New Roman"/>
        </w:rPr>
        <w:t xml:space="preserve"> sectors critical to tourism, including as transportation safety and liability, travel facilitation, health coordination, historical protection, and environmental governance, international instruments create common standards and cooperation structures. These criteria are translated into enforceable regulations, licensing and inspection procedures, consumer safeguards, border procedures, and remedies for travellers and enterprises by national tourism laws and more general domestic legal systems. In the end, local implementation capacity and institutional strength determine how well cross-border tourist governance works. The UNWTO has a significant but mostly non-coercive role in this system. Through soft-law tools like the Global Code of Ethics for tourist, policy recommendations, technical support, and the advancement of measuring standards, it influences global tourist governance. Additionally, it coordinates tourism interests throughout the larger UN and international institutional framework, where several legally binding regulations pertaining to tourism are developed and implemented. Conventions, domestic law, and UNWTO rules interact to create a hybrid regulatory regime that can promote tourist growth and collaboration but is hampered by fragmentation, enforcement gaps, the transformation of the digital economy, climate imperatives, and the ongoing strains of global crises. Therefore, in addition to adhering to international conventions, strengthening cross-border tourism governance necessitates ongoing modernisation of national tourism laws, enhanced enforcement capabilities, and a deeper alignment of tourism policy with sustainability, public health, and human rights standards. </w:t>
      </w:r>
    </w:p>
    <w:p w14:paraId="71E9BCE7" w14:textId="2630D5E4" w:rsidR="00433399" w:rsidRPr="00920D86" w:rsidRDefault="05235AB2" w:rsidP="05235AB2">
      <w:pPr>
        <w:rPr>
          <w:rFonts w:ascii="Times New Roman" w:hAnsi="Times New Roman" w:cs="Times New Roman"/>
        </w:rPr>
      </w:pPr>
      <w:r w:rsidRPr="00920D86">
        <w:rPr>
          <w:rFonts w:ascii="Times New Roman" w:hAnsi="Times New Roman" w:cs="Times New Roman"/>
        </w:rPr>
        <w:t xml:space="preserve">References </w:t>
      </w:r>
    </w:p>
    <w:p w14:paraId="65918456" w14:textId="2C591944" w:rsidR="00433399" w:rsidRPr="00920D86" w:rsidRDefault="05235AB2" w:rsidP="05235AB2">
      <w:pPr>
        <w:rPr>
          <w:rFonts w:ascii="Times New Roman" w:hAnsi="Times New Roman" w:cs="Times New Roman"/>
        </w:rPr>
      </w:pPr>
      <w:r w:rsidRPr="00920D86">
        <w:rPr>
          <w:rFonts w:ascii="Times New Roman" w:hAnsi="Times New Roman" w:cs="Times New Roman"/>
        </w:rPr>
        <w:t xml:space="preserve">(APA 7th): B, D. M. A. (2015). The law and tourism. </w:t>
      </w:r>
    </w:p>
    <w:p w14:paraId="735BE355" w14:textId="375E2CE5" w:rsidR="00433399" w:rsidRPr="00920D86" w:rsidRDefault="05235AB2" w:rsidP="05235AB2">
      <w:pPr>
        <w:rPr>
          <w:rFonts w:ascii="Times New Roman" w:hAnsi="Times New Roman" w:cs="Times New Roman"/>
        </w:rPr>
      </w:pPr>
      <w:r w:rsidRPr="00920D86">
        <w:rPr>
          <w:rFonts w:ascii="Times New Roman" w:hAnsi="Times New Roman" w:cs="Times New Roman"/>
        </w:rPr>
        <w:t xml:space="preserve">Drahos, P. (201). Channel View Publications. The principles and applications of regulatory theory. </w:t>
      </w:r>
    </w:p>
    <w:p w14:paraId="5E5787A5" w14:textId="16BF48D3" w:rsidR="00433399" w:rsidRPr="00920D86" w:rsidRDefault="05235AB2" w:rsidP="05235AB2">
      <w:pPr>
        <w:rPr>
          <w:rFonts w:ascii="Times New Roman" w:hAnsi="Times New Roman" w:cs="Times New Roman"/>
        </w:rPr>
      </w:pPr>
      <w:r w:rsidRPr="00920D86">
        <w:rPr>
          <w:rFonts w:ascii="Times New Roman" w:hAnsi="Times New Roman" w:cs="Times New Roman"/>
        </w:rPr>
        <w:t xml:space="preserve">Fayos-Solà, ANU, E. (1996). A midsummer night's dream for tourism policy? Tourism Management, 17(6), 412. International Civil Aviation Organization: </w:t>
      </w:r>
      <w:hyperlink r:id="rId4" w:history="1">
        <w:r w:rsidRPr="00920D86">
          <w:rPr>
            <w:rStyle w:val="Hyperlink"/>
            <w:rFonts w:ascii="Times New Roman" w:hAnsi="Times New Roman" w:cs="Times New Roman"/>
          </w:rPr>
          <w:t>https://.org/10.1016/0261-517796)00044-4</w:t>
        </w:r>
      </w:hyperlink>
      <w:r w:rsidRPr="00920D86">
        <w:rPr>
          <w:rFonts w:ascii="Times New Roman" w:hAnsi="Times New Roman" w:cs="Times New Roman"/>
        </w:rPr>
        <w:t xml:space="preserve">. (1944). The Chicago Convention is an international civil aviation convention. International Civil Aviation Organization: </w:t>
      </w:r>
      <w:hyperlink r:id="rId5">
        <w:r w:rsidRPr="00920D86">
          <w:rPr>
            <w:rStyle w:val="Hyperlink"/>
            <w:rFonts w:ascii="Times New Roman" w:hAnsi="Times New Roman" w:cs="Times New Roman"/>
          </w:rPr>
          <w:t>https://www.icao.int</w:t>
        </w:r>
      </w:hyperlink>
      <w:r w:rsidRPr="00920D86">
        <w:rPr>
          <w:rFonts w:ascii="Times New Roman" w:hAnsi="Times New Roman" w:cs="Times New Roman"/>
        </w:rPr>
        <w:t xml:space="preserve">. (1999). Convention for the Unification of Specific Regulations for International Air Travel (Montreal Convention). International Civil Aviation Organization: </w:t>
      </w:r>
      <w:hyperlink r:id="rId6">
        <w:r w:rsidRPr="00920D86">
          <w:rPr>
            <w:rStyle w:val="Hyperlink"/>
            <w:rFonts w:ascii="Times New Roman" w:hAnsi="Times New Roman" w:cs="Times New Roman"/>
          </w:rPr>
          <w:t>https://www</w:t>
        </w:r>
      </w:hyperlink>
      <w:r w:rsidRPr="00920D86">
        <w:rPr>
          <w:rFonts w:ascii="Times New Roman" w:hAnsi="Times New Roman" w:cs="Times New Roman"/>
        </w:rPr>
        <w:t xml:space="preserve">. (2018). Travel paperwork that can be read by machines (Doc 9303). </w:t>
      </w:r>
      <w:hyperlink r:id="rId7">
        <w:r w:rsidRPr="00920D86">
          <w:rPr>
            <w:rStyle w:val="Hyperlink"/>
            <w:rFonts w:ascii="Times New Roman" w:hAnsi="Times New Roman" w:cs="Times New Roman"/>
          </w:rPr>
          <w:t>https://www.icao.intaw</w:t>
        </w:r>
      </w:hyperlink>
      <w:r w:rsidRPr="00920D86">
        <w:rPr>
          <w:rFonts w:ascii="Times New Roman" w:hAnsi="Times New Roman" w:cs="Times New Roman"/>
        </w:rPr>
        <w:t xml:space="preserve">, M. No. (2017). International law, eighth edition. United Nations, Cambridge University Press. (1948). Declaration of Universal Human Rights. United Nations World Tourism Organization: </w:t>
      </w:r>
      <w:hyperlink r:id="rId8">
        <w:r w:rsidRPr="00920D86">
          <w:rPr>
            <w:rStyle w:val="Hyperlink"/>
            <w:rFonts w:ascii="Times New Roman" w:hAnsi="Times New Roman" w:cs="Times New Roman"/>
          </w:rPr>
          <w:t>https://www.un.org/en/about-us/universal-declaration-of-human-rights</w:t>
        </w:r>
      </w:hyperlink>
      <w:r w:rsidRPr="00920D86">
        <w:rPr>
          <w:rFonts w:ascii="Times New Roman" w:hAnsi="Times New Roman" w:cs="Times New Roman"/>
        </w:rPr>
        <w:t xml:space="preserve">. (1999). International Tourism Code of Ethics. United Nations World Tourism Organization: </w:t>
      </w:r>
      <w:hyperlink r:id="rId9">
        <w:r w:rsidRPr="00920D86">
          <w:rPr>
            <w:rStyle w:val="Hyperlink"/>
            <w:rFonts w:ascii="Times New Roman" w:hAnsi="Times New Roman" w:cs="Times New Roman"/>
          </w:rPr>
          <w:t>https://www.unwto.org</w:t>
        </w:r>
      </w:hyperlink>
      <w:r w:rsidRPr="00920D86">
        <w:rPr>
          <w:rFonts w:ascii="Times New Roman" w:hAnsi="Times New Roman" w:cs="Times New Roman"/>
        </w:rPr>
        <w:t xml:space="preserve">. (2019a). Tourism for inclusive growth is part of the UNWTO's agenda for Africa. United Nations World Tourism Organization: </w:t>
      </w:r>
      <w:hyperlink r:id="rId10">
        <w:r w:rsidRPr="00920D86">
          <w:rPr>
            <w:rStyle w:val="Hyperlink"/>
            <w:rFonts w:ascii="Times New Roman" w:hAnsi="Times New Roman" w:cs="Times New Roman"/>
          </w:rPr>
          <w:t>https://www.unwto.org</w:t>
        </w:r>
      </w:hyperlink>
      <w:r w:rsidRPr="00920D86">
        <w:rPr>
          <w:rFonts w:ascii="Times New Roman" w:hAnsi="Times New Roman" w:cs="Times New Roman"/>
        </w:rPr>
        <w:t xml:space="preserve">. (2020). Highlights of international travel (2020 ed.). The United Nations Educational, Scientific, and Cultural Organization is at </w:t>
      </w:r>
      <w:hyperlink r:id="rId11">
        <w:r w:rsidRPr="00920D86">
          <w:rPr>
            <w:rStyle w:val="Hyperlink"/>
            <w:rFonts w:ascii="Times New Roman" w:hAnsi="Times New Roman" w:cs="Times New Roman"/>
          </w:rPr>
          <w:t>https://www.unto.org</w:t>
        </w:r>
      </w:hyperlink>
      <w:r w:rsidRPr="00920D86">
        <w:rPr>
          <w:rFonts w:ascii="Times New Roman" w:hAnsi="Times New Roman" w:cs="Times New Roman"/>
        </w:rPr>
        <w:t xml:space="preserve">. (1972). The World Heritage Convention is a convention that aims to protect the world's natural and cultural heritage. World Health Organization: </w:t>
      </w:r>
      <w:hyperlink r:id="rId12">
        <w:r w:rsidRPr="00920D86">
          <w:rPr>
            <w:rStyle w:val="Hyperlink"/>
            <w:rFonts w:ascii="Times New Roman" w:hAnsi="Times New Roman" w:cs="Times New Roman"/>
          </w:rPr>
          <w:t>https://whc.unesco.org</w:t>
        </w:r>
      </w:hyperlink>
      <w:r w:rsidRPr="00920D86">
        <w:rPr>
          <w:rFonts w:ascii="Times New Roman" w:hAnsi="Times New Roman" w:cs="Times New Roman"/>
        </w:rPr>
        <w:t xml:space="preserve">. (5). International Health Regulations, Third Edition, 2005. </w:t>
      </w:r>
      <w:hyperlink r:id="rId13">
        <w:r w:rsidRPr="00920D86">
          <w:rPr>
            <w:rStyle w:val="Hyperlink"/>
            <w:rFonts w:ascii="Times New Roman" w:hAnsi="Times New Roman" w:cs="Times New Roman"/>
          </w:rPr>
          <w:t>https://www.who.int—</w:t>
        </w:r>
      </w:hyperlink>
    </w:p>
    <w:sectPr w:rsidR="00433399" w:rsidRPr="00920D86">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343C7EB"/>
    <w:rsid w:val="00121A6D"/>
    <w:rsid w:val="001E1161"/>
    <w:rsid w:val="00433399"/>
    <w:rsid w:val="00920D86"/>
    <w:rsid w:val="00E1057E"/>
    <w:rsid w:val="05235AB2"/>
    <w:rsid w:val="213251D5"/>
    <w:rsid w:val="2343C7EB"/>
    <w:rsid w:val="609433AA"/>
    <w:rsid w:val="6849F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3C7EB"/>
  <w15:chartTrackingRefBased/>
  <w15:docId w15:val="{CD5BD709-6A9B-46D3-BAE6-FBE28CA42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609433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609433AA"/>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org/en/about-us/universal-declaration-of-human-rights" TargetMode="External"/><Relationship Id="rId13" Type="http://schemas.openxmlformats.org/officeDocument/2006/relationships/hyperlink" Target="https://www.who.int&#8212;" TargetMode="External"/><Relationship Id="rId3" Type="http://schemas.openxmlformats.org/officeDocument/2006/relationships/webSettings" Target="webSettings.xml"/><Relationship Id="rId7" Type="http://schemas.openxmlformats.org/officeDocument/2006/relationships/hyperlink" Target="https://www.icao.intaw" TargetMode="External"/><Relationship Id="rId12" Type="http://schemas.openxmlformats.org/officeDocument/2006/relationships/hyperlink" Target="https://whc.unesco.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 TargetMode="External"/><Relationship Id="rId11" Type="http://schemas.openxmlformats.org/officeDocument/2006/relationships/hyperlink" Target="https://www.unto.org" TargetMode="External"/><Relationship Id="rId5" Type="http://schemas.openxmlformats.org/officeDocument/2006/relationships/hyperlink" Target="https://www.icao.int" TargetMode="External"/><Relationship Id="rId15" Type="http://schemas.openxmlformats.org/officeDocument/2006/relationships/theme" Target="theme/theme1.xml"/><Relationship Id="rId10" Type="http://schemas.openxmlformats.org/officeDocument/2006/relationships/hyperlink" Target="https://www.unwto.org" TargetMode="External"/><Relationship Id="rId4" Type="http://schemas.openxmlformats.org/officeDocument/2006/relationships/hyperlink" Target="https://.org/10.1016/0261-517796)00044-4" TargetMode="External"/><Relationship Id="rId9" Type="http://schemas.openxmlformats.org/officeDocument/2006/relationships/hyperlink" Target="https://www.unwto.or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4398</Words>
  <Characters>25070</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Hemant Hemant</dc:creator>
  <cp:keywords/>
  <dc:description/>
  <cp:lastModifiedBy>Happy's Laptop</cp:lastModifiedBy>
  <cp:revision>2</cp:revision>
  <dcterms:created xsi:type="dcterms:W3CDTF">2026-03-30T22:20:00Z</dcterms:created>
  <dcterms:modified xsi:type="dcterms:W3CDTF">2026-03-30T22:20:00Z</dcterms:modified>
</cp:coreProperties>
</file>