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22A44D" w14:textId="77777777" w:rsidR="00426865" w:rsidRDefault="00672345">
      <w:r>
        <w:rPr>
          <w:noProof/>
          <w:lang w:val="en-US"/>
        </w:rPr>
        <w:drawing>
          <wp:anchor distT="0" distB="0" distL="114300" distR="114300" simplePos="0" relativeHeight="251659264" behindDoc="1" locked="0" layoutInCell="1" allowOverlap="1" wp14:anchorId="2D3E3AF5" wp14:editId="47688ADE">
            <wp:simplePos x="0" y="0"/>
            <wp:positionH relativeFrom="column">
              <wp:posOffset>3945348</wp:posOffset>
            </wp:positionH>
            <wp:positionV relativeFrom="paragraph">
              <wp:posOffset>218</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5405F710" w14:textId="77777777" w:rsidR="00672345" w:rsidRPr="0019504D" w:rsidRDefault="00672345" w:rsidP="00672345">
      <w:pPr>
        <w:rPr>
          <w:b/>
          <w:bCs/>
          <w:lang w:val="en-US"/>
        </w:rPr>
      </w:pPr>
      <w:r>
        <w:rPr>
          <w:b/>
          <w:bCs/>
          <w:lang w:val="en-US"/>
        </w:rPr>
        <w:t xml:space="preserve">Cultural Heritage Management </w:t>
      </w:r>
    </w:p>
    <w:p w14:paraId="03E3F988" w14:textId="77777777" w:rsidR="00672345" w:rsidRDefault="00672345" w:rsidP="00672345">
      <w:pPr>
        <w:rPr>
          <w:lang w:val="en-US"/>
        </w:rPr>
      </w:pPr>
      <w:r w:rsidRPr="0019504D">
        <w:rPr>
          <w:lang w:val="en-US"/>
        </w:rPr>
        <w:t>Ass</w:t>
      </w:r>
      <w:r>
        <w:rPr>
          <w:lang w:val="en-US"/>
        </w:rPr>
        <w:t>ignment</w:t>
      </w:r>
      <w:r w:rsidR="007C7917">
        <w:rPr>
          <w:lang w:val="en-US"/>
        </w:rPr>
        <w:t xml:space="preserve"> </w:t>
      </w:r>
      <w:r w:rsidR="00232559">
        <w:rPr>
          <w:lang w:val="en-US"/>
        </w:rPr>
        <w:t>10</w:t>
      </w:r>
    </w:p>
    <w:p w14:paraId="5BE88C47" w14:textId="77777777" w:rsidR="00672345" w:rsidRPr="0019504D" w:rsidRDefault="005E1FD5" w:rsidP="00672345">
      <w:pPr>
        <w:rPr>
          <w:lang w:val="en-US"/>
        </w:rPr>
      </w:pPr>
      <w:r>
        <w:rPr>
          <w:lang w:val="en-US"/>
        </w:rPr>
        <w:t>1</w:t>
      </w:r>
      <w:r w:rsidR="00232559">
        <w:rPr>
          <w:lang w:val="en-US"/>
        </w:rPr>
        <w:t>7</w:t>
      </w:r>
      <w:r w:rsidR="00672345">
        <w:rPr>
          <w:lang w:val="en-US"/>
        </w:rPr>
        <w:t>.0</w:t>
      </w:r>
      <w:r w:rsidR="00705037">
        <w:rPr>
          <w:lang w:val="en-US"/>
        </w:rPr>
        <w:t>6</w:t>
      </w:r>
      <w:r w:rsidR="00672345">
        <w:rPr>
          <w:lang w:val="en-US"/>
        </w:rPr>
        <w:t>.2026</w:t>
      </w:r>
    </w:p>
    <w:p w14:paraId="035A70A4" w14:textId="77777777" w:rsidR="00672345" w:rsidRDefault="00672345"/>
    <w:p w14:paraId="3F9FE5D2" w14:textId="77777777" w:rsidR="00672345" w:rsidRDefault="00672345"/>
    <w:p w14:paraId="74408380" w14:textId="77777777" w:rsidR="00672345" w:rsidRDefault="00672345"/>
    <w:p w14:paraId="6A01BA03" w14:textId="77777777" w:rsidR="00672345" w:rsidRDefault="00672345"/>
    <w:p w14:paraId="5F49F050" w14:textId="77777777" w:rsidR="00672345" w:rsidRDefault="00672345"/>
    <w:p w14:paraId="32950421" w14:textId="77777777" w:rsidR="00672345" w:rsidRDefault="00672345"/>
    <w:p w14:paraId="19CC4261" w14:textId="77777777" w:rsidR="00672345" w:rsidRDefault="00672345"/>
    <w:p w14:paraId="4C1B354A" w14:textId="77777777" w:rsidR="00672345" w:rsidRDefault="00672345"/>
    <w:p w14:paraId="4AD83E9C" w14:textId="77777777" w:rsidR="00672345" w:rsidRDefault="00672345"/>
    <w:p w14:paraId="64E6C1A2" w14:textId="77777777" w:rsidR="00672345" w:rsidRDefault="00672345"/>
    <w:p w14:paraId="039F5153" w14:textId="77777777" w:rsidR="00672345" w:rsidRDefault="00672345"/>
    <w:p w14:paraId="11FF9F18" w14:textId="77777777" w:rsidR="00672345" w:rsidRDefault="00672345"/>
    <w:p w14:paraId="16870934" w14:textId="77777777" w:rsidR="00672345" w:rsidRDefault="00672345"/>
    <w:p w14:paraId="5578CD2E" w14:textId="77777777" w:rsidR="00016EE8" w:rsidRDefault="00016EE8" w:rsidP="00016EE8">
      <w:pPr>
        <w:spacing w:line="276" w:lineRule="auto"/>
        <w:rPr>
          <w:b/>
          <w:bCs/>
          <w:lang w:val="en-US"/>
        </w:rPr>
      </w:pPr>
      <w:r w:rsidRPr="00EA737F">
        <w:rPr>
          <w:b/>
          <w:bCs/>
          <w:lang w:val="en-US"/>
        </w:rPr>
        <w:t>In no more than 500 words</w:t>
      </w:r>
      <w:r>
        <w:rPr>
          <w:b/>
          <w:bCs/>
          <w:lang w:val="en-US"/>
        </w:rPr>
        <w:t xml:space="preserve"> each, explain and 2-4 references:</w:t>
      </w:r>
    </w:p>
    <w:p w14:paraId="16644DE2" w14:textId="77777777" w:rsidR="00016EE8" w:rsidRDefault="00016EE8" w:rsidP="00016EE8">
      <w:pPr>
        <w:rPr>
          <w:lang w:val="en-US"/>
        </w:rPr>
      </w:pPr>
    </w:p>
    <w:p w14:paraId="210C875C" w14:textId="77777777" w:rsidR="00232559" w:rsidRPr="00232559" w:rsidRDefault="00705037" w:rsidP="00232559">
      <w:pPr>
        <w:spacing w:line="276" w:lineRule="auto"/>
        <w:rPr>
          <w:b/>
          <w:bCs/>
          <w:lang w:val="en-US"/>
        </w:rPr>
      </w:pPr>
      <w:r w:rsidRPr="005E1FD5">
        <w:rPr>
          <w:b/>
          <w:bCs/>
          <w:lang w:val="en-US"/>
        </w:rPr>
        <w:t xml:space="preserve">1- </w:t>
      </w:r>
      <w:r w:rsidR="00232559" w:rsidRPr="00232559">
        <w:rPr>
          <w:b/>
          <w:bCs/>
          <w:lang w:val="en-US"/>
        </w:rPr>
        <w:t>Define the following terms:</w:t>
      </w:r>
    </w:p>
    <w:p w14:paraId="78B186FF" w14:textId="77777777" w:rsidR="00232559" w:rsidRPr="00232559" w:rsidRDefault="00232559" w:rsidP="00232559">
      <w:pPr>
        <w:pStyle w:val="ListParagraph"/>
        <w:numPr>
          <w:ilvl w:val="0"/>
          <w:numId w:val="10"/>
        </w:numPr>
        <w:spacing w:line="276" w:lineRule="auto"/>
        <w:rPr>
          <w:lang w:val="en-US"/>
        </w:rPr>
      </w:pPr>
      <w:r w:rsidRPr="00232559">
        <w:rPr>
          <w:lang w:val="en-US"/>
        </w:rPr>
        <w:t>Stakeholder</w:t>
      </w:r>
    </w:p>
    <w:p w14:paraId="4D94D5C7" w14:textId="77777777" w:rsidR="00232559" w:rsidRPr="00232559" w:rsidRDefault="00232559" w:rsidP="00232559">
      <w:pPr>
        <w:pStyle w:val="ListParagraph"/>
        <w:numPr>
          <w:ilvl w:val="0"/>
          <w:numId w:val="10"/>
        </w:numPr>
        <w:spacing w:line="276" w:lineRule="auto"/>
        <w:rPr>
          <w:lang w:val="en-US"/>
        </w:rPr>
      </w:pPr>
      <w:r w:rsidRPr="00232559">
        <w:rPr>
          <w:lang w:val="en-US"/>
        </w:rPr>
        <w:t>Rights holder</w:t>
      </w:r>
    </w:p>
    <w:p w14:paraId="61DA17EC" w14:textId="77777777" w:rsidR="00232559" w:rsidRPr="00232559" w:rsidRDefault="00232559" w:rsidP="00232559">
      <w:pPr>
        <w:pStyle w:val="ListParagraph"/>
        <w:numPr>
          <w:ilvl w:val="0"/>
          <w:numId w:val="10"/>
        </w:numPr>
        <w:spacing w:line="276" w:lineRule="auto"/>
        <w:rPr>
          <w:lang w:val="en-US"/>
        </w:rPr>
      </w:pPr>
      <w:r w:rsidRPr="00232559">
        <w:rPr>
          <w:lang w:val="en-US"/>
        </w:rPr>
        <w:t>People-centered heritage management</w:t>
      </w:r>
    </w:p>
    <w:p w14:paraId="06D49067" w14:textId="77777777" w:rsidR="00232559" w:rsidRPr="00232559" w:rsidRDefault="00232559" w:rsidP="00232559">
      <w:pPr>
        <w:pStyle w:val="ListParagraph"/>
        <w:numPr>
          <w:ilvl w:val="0"/>
          <w:numId w:val="10"/>
        </w:numPr>
        <w:spacing w:line="276" w:lineRule="auto"/>
        <w:rPr>
          <w:lang w:val="en-US"/>
        </w:rPr>
      </w:pPr>
      <w:r w:rsidRPr="00232559">
        <w:rPr>
          <w:lang w:val="en-US"/>
        </w:rPr>
        <w:t>Capacity building</w:t>
      </w:r>
    </w:p>
    <w:p w14:paraId="23B486D4" w14:textId="77777777" w:rsidR="00232559" w:rsidRPr="00232559" w:rsidRDefault="00232559" w:rsidP="00232559">
      <w:pPr>
        <w:spacing w:line="276" w:lineRule="auto"/>
        <w:rPr>
          <w:b/>
          <w:bCs/>
          <w:lang w:val="en-US"/>
        </w:rPr>
      </w:pPr>
    </w:p>
    <w:p w14:paraId="5FA52A76" w14:textId="77777777" w:rsidR="00232559" w:rsidRPr="00232559" w:rsidRDefault="00232559" w:rsidP="00232559">
      <w:pPr>
        <w:spacing w:line="276" w:lineRule="auto"/>
        <w:rPr>
          <w:b/>
          <w:bCs/>
          <w:lang w:val="en-US"/>
        </w:rPr>
      </w:pPr>
      <w:r>
        <w:rPr>
          <w:b/>
          <w:bCs/>
          <w:lang w:val="en-US"/>
        </w:rPr>
        <w:t xml:space="preserve">2- </w:t>
      </w:r>
      <w:r w:rsidRPr="00232559">
        <w:rPr>
          <w:b/>
          <w:bCs/>
          <w:lang w:val="en-US"/>
        </w:rPr>
        <w:t>Analyze a heritage site you have visited and discuss whether its management approach appears:</w:t>
      </w:r>
    </w:p>
    <w:p w14:paraId="5E5ADA97" w14:textId="77777777" w:rsidR="00232559" w:rsidRPr="00232559" w:rsidRDefault="00232559" w:rsidP="00232559">
      <w:pPr>
        <w:pStyle w:val="ListParagraph"/>
        <w:numPr>
          <w:ilvl w:val="0"/>
          <w:numId w:val="11"/>
        </w:numPr>
        <w:spacing w:line="276" w:lineRule="auto"/>
        <w:rPr>
          <w:lang w:val="en-US"/>
        </w:rPr>
      </w:pPr>
      <w:r w:rsidRPr="00232559">
        <w:rPr>
          <w:lang w:val="en-US"/>
        </w:rPr>
        <w:t>Expert-centered</w:t>
      </w:r>
    </w:p>
    <w:p w14:paraId="5E80B802" w14:textId="77777777" w:rsidR="00232559" w:rsidRPr="00232559" w:rsidRDefault="00232559" w:rsidP="00232559">
      <w:pPr>
        <w:pStyle w:val="ListParagraph"/>
        <w:numPr>
          <w:ilvl w:val="0"/>
          <w:numId w:val="11"/>
        </w:numPr>
        <w:spacing w:line="276" w:lineRule="auto"/>
        <w:rPr>
          <w:lang w:val="en-US"/>
        </w:rPr>
      </w:pPr>
      <w:r w:rsidRPr="00232559">
        <w:rPr>
          <w:lang w:val="en-US"/>
        </w:rPr>
        <w:t>Values-based</w:t>
      </w:r>
    </w:p>
    <w:p w14:paraId="0B2006D0" w14:textId="77777777" w:rsidR="00CF34F8" w:rsidRDefault="00232559" w:rsidP="00232559">
      <w:pPr>
        <w:pStyle w:val="ListParagraph"/>
        <w:numPr>
          <w:ilvl w:val="0"/>
          <w:numId w:val="11"/>
        </w:numPr>
        <w:spacing w:line="276" w:lineRule="auto"/>
        <w:rPr>
          <w:lang w:val="en-US"/>
        </w:rPr>
      </w:pPr>
      <w:r w:rsidRPr="00232559">
        <w:rPr>
          <w:lang w:val="en-US"/>
        </w:rPr>
        <w:t xml:space="preserve">Or </w:t>
      </w:r>
      <w:proofErr w:type="gramStart"/>
      <w:r w:rsidRPr="00232559">
        <w:rPr>
          <w:lang w:val="en-US"/>
        </w:rPr>
        <w:t>people-centered</w:t>
      </w:r>
      <w:proofErr w:type="gramEnd"/>
      <w:r w:rsidRPr="00232559">
        <w:rPr>
          <w:lang w:val="en-US"/>
        </w:rPr>
        <w:t>.</w:t>
      </w:r>
    </w:p>
    <w:p w14:paraId="63955D71" w14:textId="77777777" w:rsidR="00F61E85" w:rsidRDefault="00F61E85" w:rsidP="00F61E85">
      <w:pPr>
        <w:pStyle w:val="ListParagraph"/>
        <w:spacing w:line="276" w:lineRule="auto"/>
        <w:ind w:left="0"/>
        <w:rPr>
          <w:lang w:val="en-US"/>
        </w:rPr>
      </w:pPr>
    </w:p>
    <w:p w14:paraId="72110D4E" w14:textId="77777777" w:rsidR="00F61E85" w:rsidRDefault="00F61E85" w:rsidP="00F61E85">
      <w:pPr>
        <w:pStyle w:val="ListParagraph"/>
        <w:spacing w:line="276" w:lineRule="auto"/>
        <w:ind w:left="0"/>
        <w:rPr>
          <w:lang w:val="en-US"/>
        </w:rPr>
      </w:pPr>
    </w:p>
    <w:p w14:paraId="73D16080" w14:textId="77777777" w:rsidR="00F61E85" w:rsidRDefault="00F61E85" w:rsidP="00F61E85">
      <w:pPr>
        <w:pStyle w:val="ListParagraph"/>
        <w:spacing w:line="276" w:lineRule="auto"/>
        <w:ind w:left="0"/>
        <w:rPr>
          <w:lang w:val="en-US"/>
        </w:rPr>
      </w:pPr>
    </w:p>
    <w:p w14:paraId="5B873409" w14:textId="77777777" w:rsidR="00F61E85" w:rsidRDefault="00F61E85" w:rsidP="00F61E85">
      <w:pPr>
        <w:pStyle w:val="ListParagraph"/>
        <w:spacing w:line="276" w:lineRule="auto"/>
        <w:ind w:left="0"/>
        <w:rPr>
          <w:lang w:val="en-US"/>
        </w:rPr>
      </w:pPr>
    </w:p>
    <w:p w14:paraId="089BD937" w14:textId="77777777" w:rsidR="00F61E85" w:rsidRDefault="00F61E85" w:rsidP="00F61E85">
      <w:pPr>
        <w:pStyle w:val="ListParagraph"/>
        <w:spacing w:line="276" w:lineRule="auto"/>
        <w:ind w:left="0"/>
        <w:rPr>
          <w:lang w:val="en-US"/>
        </w:rPr>
      </w:pPr>
    </w:p>
    <w:p w14:paraId="44859A06" w14:textId="77777777" w:rsidR="00F61E85" w:rsidRDefault="00F61E85" w:rsidP="00F61E85">
      <w:pPr>
        <w:pStyle w:val="ListParagraph"/>
        <w:spacing w:line="276" w:lineRule="auto"/>
        <w:ind w:left="0"/>
        <w:rPr>
          <w:lang w:val="en-US"/>
        </w:rPr>
      </w:pPr>
    </w:p>
    <w:p w14:paraId="4E1047E7" w14:textId="77777777" w:rsidR="00F61E85" w:rsidRDefault="00F61E85" w:rsidP="00F61E85">
      <w:pPr>
        <w:pStyle w:val="ListParagraph"/>
        <w:spacing w:line="276" w:lineRule="auto"/>
        <w:ind w:left="0"/>
        <w:rPr>
          <w:lang w:val="en-US"/>
        </w:rPr>
      </w:pPr>
    </w:p>
    <w:p w14:paraId="50FF8A3B" w14:textId="77777777" w:rsidR="00F61E85" w:rsidRDefault="00F61E85" w:rsidP="00F61E85">
      <w:pPr>
        <w:pStyle w:val="ListParagraph"/>
        <w:spacing w:line="276" w:lineRule="auto"/>
        <w:ind w:left="0"/>
        <w:rPr>
          <w:lang w:val="en-US"/>
        </w:rPr>
      </w:pPr>
    </w:p>
    <w:p w14:paraId="6453589D" w14:textId="77777777" w:rsidR="00F61E85" w:rsidRDefault="00F61E85" w:rsidP="00F61E85">
      <w:pPr>
        <w:pStyle w:val="ListParagraph"/>
        <w:spacing w:line="276" w:lineRule="auto"/>
        <w:ind w:left="0"/>
        <w:rPr>
          <w:lang w:val="en-US"/>
        </w:rPr>
      </w:pPr>
    </w:p>
    <w:p w14:paraId="55ED39F0" w14:textId="77777777" w:rsidR="00F61E85" w:rsidRDefault="00F61E85" w:rsidP="00F61E85">
      <w:pPr>
        <w:pStyle w:val="ListParagraph"/>
        <w:spacing w:line="276" w:lineRule="auto"/>
        <w:ind w:left="0"/>
        <w:rPr>
          <w:lang w:val="en-US"/>
        </w:rPr>
      </w:pPr>
    </w:p>
    <w:p w14:paraId="5EFAEBA0" w14:textId="77777777" w:rsidR="00F61E85" w:rsidRDefault="00F61E85" w:rsidP="00F61E85">
      <w:pPr>
        <w:pStyle w:val="ListParagraph"/>
        <w:spacing w:line="276" w:lineRule="auto"/>
        <w:ind w:left="0"/>
        <w:rPr>
          <w:lang w:val="en-US"/>
        </w:rPr>
      </w:pPr>
    </w:p>
    <w:p w14:paraId="15ED44D6" w14:textId="77777777" w:rsidR="00F61E85" w:rsidRDefault="00F61E85" w:rsidP="00F61E85">
      <w:pPr>
        <w:pStyle w:val="ListParagraph"/>
        <w:spacing w:line="276" w:lineRule="auto"/>
        <w:ind w:left="0"/>
        <w:rPr>
          <w:lang w:val="en-US"/>
        </w:rPr>
      </w:pPr>
    </w:p>
    <w:p w14:paraId="36F3B995" w14:textId="77777777" w:rsidR="00224657" w:rsidRDefault="00224657" w:rsidP="00F61E85">
      <w:pPr>
        <w:pStyle w:val="ListParagraph"/>
        <w:spacing w:line="276" w:lineRule="auto"/>
        <w:ind w:left="0"/>
        <w:rPr>
          <w:lang w:val="en-US"/>
        </w:rPr>
      </w:pPr>
    </w:p>
    <w:p w14:paraId="35703DA2" w14:textId="77777777" w:rsidR="00B37BB0" w:rsidRPr="00B37BB0" w:rsidRDefault="00B37BB0" w:rsidP="00B37BB0">
      <w:pPr>
        <w:pStyle w:val="ListParagraph"/>
        <w:spacing w:line="276" w:lineRule="auto"/>
        <w:rPr>
          <w:b/>
          <w:bCs/>
          <w:lang w:val="en-GB"/>
        </w:rPr>
      </w:pPr>
      <w:r w:rsidRPr="00B37BB0">
        <w:rPr>
          <w:b/>
          <w:bCs/>
          <w:lang w:val="en-GB"/>
        </w:rPr>
        <w:lastRenderedPageBreak/>
        <w:t>Part 1: Definition of Key Terms</w:t>
      </w:r>
    </w:p>
    <w:p w14:paraId="2DF94AD1" w14:textId="77777777" w:rsidR="00B37BB0" w:rsidRPr="00B37BB0" w:rsidRDefault="00B37BB0" w:rsidP="00B37BB0">
      <w:pPr>
        <w:pStyle w:val="ListParagraph"/>
        <w:spacing w:line="276" w:lineRule="auto"/>
        <w:rPr>
          <w:b/>
          <w:bCs/>
          <w:lang w:val="en-GB"/>
        </w:rPr>
      </w:pPr>
      <w:r w:rsidRPr="00B37BB0">
        <w:rPr>
          <w:b/>
          <w:bCs/>
          <w:lang w:val="en-GB"/>
        </w:rPr>
        <w:t>1. Stakeholder</w:t>
      </w:r>
    </w:p>
    <w:p w14:paraId="4FB7FB08" w14:textId="77777777" w:rsidR="00B37BB0" w:rsidRPr="00B37BB0" w:rsidRDefault="00B37BB0" w:rsidP="00B37BB0">
      <w:pPr>
        <w:pStyle w:val="ListParagraph"/>
        <w:spacing w:line="276" w:lineRule="auto"/>
        <w:rPr>
          <w:lang w:val="en-GB"/>
        </w:rPr>
      </w:pPr>
      <w:r w:rsidRPr="00B37BB0">
        <w:rPr>
          <w:lang w:val="en-GB"/>
        </w:rPr>
        <w:t xml:space="preserve">A </w:t>
      </w:r>
      <w:r w:rsidRPr="00B37BB0">
        <w:rPr>
          <w:b/>
          <w:bCs/>
          <w:lang w:val="en-GB"/>
        </w:rPr>
        <w:t>stakeholder</w:t>
      </w:r>
      <w:r w:rsidRPr="00B37BB0">
        <w:rPr>
          <w:lang w:val="en-GB"/>
        </w:rPr>
        <w:t xml:space="preserve"> refers to any individual, group, or institutional entity that has an active interest in, is impacted by, or holds power over a heritage asset's preservation and operations. Stakeholders represent varied professional, economic, or recreational circles—such as tourism operators, regional business owners, transport authorities, and academic researchers. While their operational or monetary input affects the site, their relationship is driven by strategic interest rather than foundational, ancestral, or legal ownership (</w:t>
      </w:r>
      <w:proofErr w:type="spellStart"/>
      <w:r w:rsidRPr="00B37BB0">
        <w:rPr>
          <w:lang w:val="en-GB"/>
        </w:rPr>
        <w:t>Miklošević</w:t>
      </w:r>
      <w:proofErr w:type="spellEnd"/>
      <w:r w:rsidRPr="00B37BB0">
        <w:rPr>
          <w:lang w:val="en-GB"/>
        </w:rPr>
        <w:t>, 2023).</w:t>
      </w:r>
    </w:p>
    <w:p w14:paraId="60264A34" w14:textId="77777777" w:rsidR="00B37BB0" w:rsidRPr="00B37BB0" w:rsidRDefault="00B37BB0" w:rsidP="00B37BB0">
      <w:pPr>
        <w:pStyle w:val="ListParagraph"/>
        <w:spacing w:line="276" w:lineRule="auto"/>
        <w:rPr>
          <w:b/>
          <w:bCs/>
          <w:lang w:val="en-GB"/>
        </w:rPr>
      </w:pPr>
      <w:r w:rsidRPr="00B37BB0">
        <w:rPr>
          <w:b/>
          <w:bCs/>
          <w:lang w:val="en-GB"/>
        </w:rPr>
        <w:t>2. Rights Holder</w:t>
      </w:r>
    </w:p>
    <w:p w14:paraId="37F9A719" w14:textId="77777777" w:rsidR="00B37BB0" w:rsidRPr="00B37BB0" w:rsidRDefault="00B37BB0" w:rsidP="00B37BB0">
      <w:pPr>
        <w:pStyle w:val="ListParagraph"/>
        <w:spacing w:line="276" w:lineRule="auto"/>
        <w:rPr>
          <w:lang w:val="en-GB"/>
        </w:rPr>
      </w:pPr>
      <w:r w:rsidRPr="00B37BB0">
        <w:rPr>
          <w:lang w:val="en-GB"/>
        </w:rPr>
        <w:t xml:space="preserve">A </w:t>
      </w:r>
      <w:r w:rsidRPr="00B37BB0">
        <w:rPr>
          <w:b/>
          <w:bCs/>
          <w:lang w:val="en-GB"/>
        </w:rPr>
        <w:t>rights holder</w:t>
      </w:r>
      <w:r w:rsidRPr="00B37BB0">
        <w:rPr>
          <w:lang w:val="en-GB"/>
        </w:rPr>
        <w:t xml:space="preserve"> holds legally recognized, constitutional, or long-standing customary rights directly tied to the heritage property. This distinct classification primarily protects Indigenous communities, traditional tribal custodians, or property owners whose ties to the land are sanctioned by customary law or treaties. Heritage frameworks treat rights holders as vital co-governing partners; their position demands formal statutory consent and self-determination, separating them from </w:t>
      </w:r>
      <w:proofErr w:type="gramStart"/>
      <w:r w:rsidRPr="00B37BB0">
        <w:rPr>
          <w:lang w:val="en-GB"/>
        </w:rPr>
        <w:t>general public</w:t>
      </w:r>
      <w:proofErr w:type="gramEnd"/>
      <w:r w:rsidRPr="00B37BB0">
        <w:rPr>
          <w:lang w:val="en-GB"/>
        </w:rPr>
        <w:t xml:space="preserve"> stakeholders who are merely consulted (Miklošević, 2023).</w:t>
      </w:r>
    </w:p>
    <w:p w14:paraId="7F8C4DBC" w14:textId="77777777" w:rsidR="00B37BB0" w:rsidRPr="00B37BB0" w:rsidRDefault="00B37BB0" w:rsidP="00B37BB0">
      <w:pPr>
        <w:pStyle w:val="ListParagraph"/>
        <w:spacing w:line="276" w:lineRule="auto"/>
        <w:rPr>
          <w:b/>
          <w:bCs/>
          <w:lang w:val="en-GB"/>
        </w:rPr>
      </w:pPr>
      <w:r w:rsidRPr="00B37BB0">
        <w:rPr>
          <w:b/>
          <w:bCs/>
          <w:lang w:val="en-GB"/>
        </w:rPr>
        <w:t>3. People-</w:t>
      </w:r>
      <w:proofErr w:type="spellStart"/>
      <w:r w:rsidRPr="00B37BB0">
        <w:rPr>
          <w:b/>
          <w:bCs/>
          <w:lang w:val="en-GB"/>
        </w:rPr>
        <w:t>Centered</w:t>
      </w:r>
      <w:proofErr w:type="spellEnd"/>
      <w:r w:rsidRPr="00B37BB0">
        <w:rPr>
          <w:b/>
          <w:bCs/>
          <w:lang w:val="en-GB"/>
        </w:rPr>
        <w:t xml:space="preserve"> Heritage Management</w:t>
      </w:r>
    </w:p>
    <w:p w14:paraId="448F1577" w14:textId="77777777" w:rsidR="00B37BB0" w:rsidRPr="00B37BB0" w:rsidRDefault="00B37BB0" w:rsidP="00B37BB0">
      <w:pPr>
        <w:pStyle w:val="ListParagraph"/>
        <w:spacing w:line="276" w:lineRule="auto"/>
        <w:rPr>
          <w:lang w:val="en-GB"/>
        </w:rPr>
      </w:pPr>
      <w:r w:rsidRPr="00B37BB0">
        <w:rPr>
          <w:lang w:val="en-GB"/>
        </w:rPr>
        <w:t xml:space="preserve">This approach prioritizes the dynamic, living connections between communities and their historical environments over the strict physical preservation of ancient building materials. Moving past the standard "authorized heritage discourse" that heavily </w:t>
      </w:r>
      <w:proofErr w:type="spellStart"/>
      <w:r w:rsidRPr="00B37BB0">
        <w:rPr>
          <w:lang w:val="en-GB"/>
        </w:rPr>
        <w:t>favors</w:t>
      </w:r>
      <w:proofErr w:type="spellEnd"/>
      <w:r w:rsidRPr="00B37BB0">
        <w:rPr>
          <w:lang w:val="en-GB"/>
        </w:rPr>
        <w:t xml:space="preserve"> expert analysis, it places human well-being, community identity, and everyday cultural practices at the core of conservation. It focuses on social justice, ensuring that surrounding populations actively drive site interpretation and directly share in its socio-economic benefits (Babić, 2026; Tenzer, 2023).</w:t>
      </w:r>
    </w:p>
    <w:p w14:paraId="40374CEC" w14:textId="77777777" w:rsidR="00B37BB0" w:rsidRPr="00B37BB0" w:rsidRDefault="00B37BB0" w:rsidP="00B37BB0">
      <w:pPr>
        <w:pStyle w:val="ListParagraph"/>
        <w:spacing w:line="276" w:lineRule="auto"/>
        <w:rPr>
          <w:b/>
          <w:bCs/>
          <w:lang w:val="en-GB"/>
        </w:rPr>
      </w:pPr>
      <w:r w:rsidRPr="00B37BB0">
        <w:rPr>
          <w:b/>
          <w:bCs/>
          <w:lang w:val="en-GB"/>
        </w:rPr>
        <w:t>4. Capacity Building</w:t>
      </w:r>
    </w:p>
    <w:p w14:paraId="248ED9A5" w14:textId="77777777" w:rsidR="00B37BB0" w:rsidRDefault="00B37BB0" w:rsidP="00B37BB0">
      <w:pPr>
        <w:pStyle w:val="ListParagraph"/>
        <w:spacing w:line="276" w:lineRule="auto"/>
        <w:rPr>
          <w:lang w:val="en-GB"/>
        </w:rPr>
      </w:pPr>
      <w:r w:rsidRPr="00B37BB0">
        <w:rPr>
          <w:b/>
          <w:bCs/>
          <w:lang w:val="en-GB"/>
        </w:rPr>
        <w:t>Capacity building</w:t>
      </w:r>
      <w:r w:rsidRPr="00B37BB0">
        <w:rPr>
          <w:lang w:val="en-GB"/>
        </w:rPr>
        <w:t xml:space="preserve"> is an intentional, long-term process aimed at improving the skills, resources, systemic tools, and governance abilities of everyone connected to a heritage site. Rather than just advancing technical training for elite scientists, modern capacity building focuses heavily on empowering local citizen bodies and rights holders. It provides grassroots groups with the financial, legal, and operational skills needed to autonomously manage and protect their own historic spaces (Babić, 2026).</w:t>
      </w:r>
    </w:p>
    <w:p w14:paraId="36DEDA05" w14:textId="77777777" w:rsidR="00B37BB0" w:rsidRDefault="00B37BB0" w:rsidP="00B37BB0">
      <w:pPr>
        <w:pStyle w:val="ListParagraph"/>
        <w:spacing w:line="276" w:lineRule="auto"/>
        <w:rPr>
          <w:lang w:val="en-GB"/>
        </w:rPr>
      </w:pPr>
    </w:p>
    <w:p w14:paraId="35FCBA9A" w14:textId="77777777" w:rsidR="00B37BB0" w:rsidRDefault="00B37BB0" w:rsidP="00B37BB0">
      <w:pPr>
        <w:pStyle w:val="ListParagraph"/>
        <w:spacing w:line="276" w:lineRule="auto"/>
        <w:rPr>
          <w:lang w:val="en-GB"/>
        </w:rPr>
      </w:pPr>
    </w:p>
    <w:p w14:paraId="07C1FAC0" w14:textId="77777777" w:rsidR="00B37BB0" w:rsidRDefault="00B37BB0" w:rsidP="00B37BB0">
      <w:pPr>
        <w:pStyle w:val="ListParagraph"/>
        <w:spacing w:line="276" w:lineRule="auto"/>
        <w:rPr>
          <w:lang w:val="en-GB"/>
        </w:rPr>
      </w:pPr>
    </w:p>
    <w:p w14:paraId="7674254A" w14:textId="77777777" w:rsidR="00B37BB0" w:rsidRDefault="00B37BB0" w:rsidP="00B37BB0">
      <w:pPr>
        <w:pStyle w:val="ListParagraph"/>
        <w:spacing w:line="276" w:lineRule="auto"/>
        <w:rPr>
          <w:lang w:val="en-GB"/>
        </w:rPr>
      </w:pPr>
    </w:p>
    <w:p w14:paraId="5E07F06A" w14:textId="77777777" w:rsidR="00B37BB0" w:rsidRDefault="00B37BB0" w:rsidP="00B37BB0">
      <w:pPr>
        <w:pStyle w:val="ListParagraph"/>
        <w:spacing w:line="276" w:lineRule="auto"/>
        <w:rPr>
          <w:lang w:val="en-GB"/>
        </w:rPr>
      </w:pPr>
    </w:p>
    <w:p w14:paraId="7C6D1B01" w14:textId="77777777" w:rsidR="00B37BB0" w:rsidRDefault="00B37BB0" w:rsidP="00B37BB0">
      <w:pPr>
        <w:pStyle w:val="ListParagraph"/>
        <w:spacing w:line="276" w:lineRule="auto"/>
        <w:rPr>
          <w:lang w:val="en-GB"/>
        </w:rPr>
      </w:pPr>
    </w:p>
    <w:p w14:paraId="45CA9190" w14:textId="77777777" w:rsidR="00B37BB0" w:rsidRDefault="00B37BB0" w:rsidP="00B37BB0">
      <w:pPr>
        <w:pStyle w:val="ListParagraph"/>
        <w:spacing w:line="276" w:lineRule="auto"/>
        <w:rPr>
          <w:lang w:val="en-GB"/>
        </w:rPr>
      </w:pPr>
    </w:p>
    <w:p w14:paraId="18BFBE4D" w14:textId="77777777" w:rsidR="00B37BB0" w:rsidRDefault="00B37BB0" w:rsidP="00B37BB0">
      <w:pPr>
        <w:pStyle w:val="ListParagraph"/>
        <w:spacing w:line="276" w:lineRule="auto"/>
        <w:rPr>
          <w:lang w:val="en-GB"/>
        </w:rPr>
      </w:pPr>
    </w:p>
    <w:p w14:paraId="6410EB5F" w14:textId="77777777" w:rsidR="00B37BB0" w:rsidRPr="00B37BB0" w:rsidRDefault="00B37BB0" w:rsidP="00B37BB0">
      <w:pPr>
        <w:pStyle w:val="ListParagraph"/>
        <w:spacing w:line="276" w:lineRule="auto"/>
        <w:rPr>
          <w:lang w:val="en-GB"/>
        </w:rPr>
      </w:pPr>
    </w:p>
    <w:p w14:paraId="1740559A" w14:textId="77777777" w:rsidR="00B37BB0" w:rsidRPr="00B37BB0" w:rsidRDefault="00B37BB0" w:rsidP="00B37BB0">
      <w:pPr>
        <w:pStyle w:val="ListParagraph"/>
        <w:spacing w:line="276" w:lineRule="auto"/>
        <w:rPr>
          <w:b/>
          <w:bCs/>
          <w:lang w:val="en-GB"/>
        </w:rPr>
      </w:pPr>
      <w:r w:rsidRPr="00B37BB0">
        <w:rPr>
          <w:b/>
          <w:bCs/>
          <w:lang w:val="en-GB"/>
        </w:rPr>
        <w:t>Part 2: Heritage Site Analysis – Stonehenge and Avebury</w:t>
      </w:r>
    </w:p>
    <w:p w14:paraId="1A20B370" w14:textId="77777777" w:rsidR="00B37BB0" w:rsidRPr="00B37BB0" w:rsidRDefault="00B37BB0" w:rsidP="00B37BB0">
      <w:pPr>
        <w:pStyle w:val="ListParagraph"/>
        <w:spacing w:line="276" w:lineRule="auto"/>
        <w:rPr>
          <w:b/>
          <w:bCs/>
          <w:lang w:val="en-GB"/>
        </w:rPr>
      </w:pPr>
      <w:r w:rsidRPr="00B37BB0">
        <w:rPr>
          <w:b/>
          <w:bCs/>
          <w:lang w:val="en-GB"/>
        </w:rPr>
        <w:t>Management Approach Analysis: From Expert-</w:t>
      </w:r>
      <w:proofErr w:type="spellStart"/>
      <w:r w:rsidRPr="00B37BB0">
        <w:rPr>
          <w:b/>
          <w:bCs/>
          <w:lang w:val="en-GB"/>
        </w:rPr>
        <w:t>Centered</w:t>
      </w:r>
      <w:proofErr w:type="spellEnd"/>
      <w:r w:rsidRPr="00B37BB0">
        <w:rPr>
          <w:b/>
          <w:bCs/>
          <w:lang w:val="en-GB"/>
        </w:rPr>
        <w:t xml:space="preserve"> to Contested Values-Based</w:t>
      </w:r>
    </w:p>
    <w:p w14:paraId="739095E4" w14:textId="77777777" w:rsidR="00B37BB0" w:rsidRPr="00B37BB0" w:rsidRDefault="00B37BB0" w:rsidP="00B37BB0">
      <w:pPr>
        <w:pStyle w:val="ListParagraph"/>
        <w:spacing w:line="276" w:lineRule="auto"/>
        <w:rPr>
          <w:lang w:val="en-GB"/>
        </w:rPr>
      </w:pPr>
      <w:r w:rsidRPr="00B37BB0">
        <w:rPr>
          <w:lang w:val="en-GB"/>
        </w:rPr>
        <w:t xml:space="preserve">The </w:t>
      </w:r>
      <w:r w:rsidRPr="00B37BB0">
        <w:rPr>
          <w:b/>
          <w:bCs/>
          <w:lang w:val="en-GB"/>
        </w:rPr>
        <w:t>Stonehenge and Avebury World Heritage Site</w:t>
      </w:r>
      <w:r w:rsidRPr="00B37BB0">
        <w:rPr>
          <w:lang w:val="en-GB"/>
        </w:rPr>
        <w:t xml:space="preserve"> in the United Kingdom serves as a striking example of the shift from an </w:t>
      </w:r>
      <w:r w:rsidRPr="00B37BB0">
        <w:rPr>
          <w:b/>
          <w:bCs/>
          <w:lang w:val="en-GB"/>
        </w:rPr>
        <w:t>expert-</w:t>
      </w:r>
      <w:proofErr w:type="spellStart"/>
      <w:r w:rsidRPr="00B37BB0">
        <w:rPr>
          <w:b/>
          <w:bCs/>
          <w:lang w:val="en-GB"/>
        </w:rPr>
        <w:t>centered</w:t>
      </w:r>
      <w:proofErr w:type="spellEnd"/>
      <w:r w:rsidRPr="00B37BB0">
        <w:rPr>
          <w:lang w:val="en-GB"/>
        </w:rPr>
        <w:t xml:space="preserve"> heritage model toward a deeply complex, </w:t>
      </w:r>
      <w:r w:rsidRPr="00B37BB0">
        <w:rPr>
          <w:b/>
          <w:bCs/>
          <w:lang w:val="en-GB"/>
        </w:rPr>
        <w:t>values-based</w:t>
      </w:r>
      <w:r w:rsidRPr="00B37BB0">
        <w:rPr>
          <w:lang w:val="en-GB"/>
        </w:rPr>
        <w:t xml:space="preserve"> management approach.</w:t>
      </w:r>
    </w:p>
    <w:p w14:paraId="0CD3539A" w14:textId="77777777" w:rsidR="00B37BB0" w:rsidRPr="00B37BB0" w:rsidRDefault="00B37BB0" w:rsidP="00B37BB0">
      <w:pPr>
        <w:pStyle w:val="ListParagraph"/>
        <w:spacing w:line="276" w:lineRule="auto"/>
        <w:rPr>
          <w:lang w:val="en-GB"/>
        </w:rPr>
      </w:pPr>
      <w:r w:rsidRPr="00B37BB0">
        <w:rPr>
          <w:lang w:val="en-GB"/>
        </w:rPr>
        <w:t>Historically, Stonehenge was managed using a strict, top-down expert-</w:t>
      </w:r>
      <w:proofErr w:type="spellStart"/>
      <w:r w:rsidRPr="00B37BB0">
        <w:rPr>
          <w:lang w:val="en-GB"/>
        </w:rPr>
        <w:t>centered</w:t>
      </w:r>
      <w:proofErr w:type="spellEnd"/>
      <w:r w:rsidRPr="00B37BB0">
        <w:rPr>
          <w:lang w:val="en-GB"/>
        </w:rPr>
        <w:t xml:space="preserve"> model. For decades, state authorities and institutional archaeologists treated the site exclusively as an elite scientific resource, focusing almost entirely on the physical protection, excavation, and structural engineering of the prehistoric stones. Under this rigid structure, non-expert groups—such as </w:t>
      </w:r>
      <w:proofErr w:type="gramStart"/>
      <w:r w:rsidRPr="00B37BB0">
        <w:rPr>
          <w:lang w:val="en-GB"/>
        </w:rPr>
        <w:t>local residents</w:t>
      </w:r>
      <w:proofErr w:type="gramEnd"/>
      <w:r w:rsidRPr="00B37BB0">
        <w:rPr>
          <w:lang w:val="en-GB"/>
        </w:rPr>
        <w:t xml:space="preserve">, contemporary Druids, and counter-cultural </w:t>
      </w:r>
      <w:proofErr w:type="spellStart"/>
      <w:r w:rsidRPr="00B37BB0">
        <w:rPr>
          <w:lang w:val="en-GB"/>
        </w:rPr>
        <w:t>travelers</w:t>
      </w:r>
      <w:proofErr w:type="spellEnd"/>
      <w:r w:rsidRPr="00B37BB0">
        <w:rPr>
          <w:lang w:val="en-GB"/>
        </w:rPr>
        <w:t>—were largely sidelined, restricted, or completely barred from accessing the landscape during key seasonal events like the summer solstice.</w:t>
      </w:r>
    </w:p>
    <w:p w14:paraId="223AF385" w14:textId="77777777" w:rsidR="00B37BB0" w:rsidRPr="00B37BB0" w:rsidRDefault="00B37BB0" w:rsidP="00B37BB0">
      <w:pPr>
        <w:pStyle w:val="ListParagraph"/>
        <w:spacing w:line="276" w:lineRule="auto"/>
        <w:rPr>
          <w:lang w:val="en-GB"/>
        </w:rPr>
      </w:pPr>
      <w:r w:rsidRPr="00B37BB0">
        <w:rPr>
          <w:lang w:val="en-GB"/>
        </w:rPr>
        <w:t xml:space="preserve">Over the past few decades, management has evolved into a comprehensive </w:t>
      </w:r>
      <w:r w:rsidRPr="00B37BB0">
        <w:rPr>
          <w:b/>
          <w:bCs/>
          <w:lang w:val="en-GB"/>
        </w:rPr>
        <w:t>values-based approach</w:t>
      </w:r>
      <w:r w:rsidRPr="00B37BB0">
        <w:rPr>
          <w:lang w:val="en-GB"/>
        </w:rPr>
        <w:t>, coordinated by English Heritage and the National Trust. This strategy formally recognizes that the monument possesses multiple layers of significance that extend far beyond scientific archaeology. Management plans now balance competing values:</w:t>
      </w:r>
    </w:p>
    <w:p w14:paraId="4A9CEE1D" w14:textId="77777777" w:rsidR="00B37BB0" w:rsidRPr="00B37BB0" w:rsidRDefault="00B37BB0" w:rsidP="00B37BB0">
      <w:pPr>
        <w:pStyle w:val="ListParagraph"/>
        <w:numPr>
          <w:ilvl w:val="0"/>
          <w:numId w:val="18"/>
        </w:numPr>
        <w:spacing w:line="276" w:lineRule="auto"/>
        <w:rPr>
          <w:lang w:val="en-GB"/>
        </w:rPr>
      </w:pPr>
      <w:r w:rsidRPr="00B37BB0">
        <w:rPr>
          <w:b/>
          <w:bCs/>
          <w:lang w:val="en-GB"/>
        </w:rPr>
        <w:t>Socio-Spiritual Value:</w:t>
      </w:r>
      <w:r w:rsidRPr="00B37BB0">
        <w:rPr>
          <w:lang w:val="en-GB"/>
        </w:rPr>
        <w:t xml:space="preserve"> Acknowledging the site as a living sacred space for contemporary Pagan and Neo-Druid communities by granting managed access to the stones during solstices.</w:t>
      </w:r>
    </w:p>
    <w:p w14:paraId="01679C3D" w14:textId="77777777" w:rsidR="00B37BB0" w:rsidRPr="00B37BB0" w:rsidRDefault="00B37BB0" w:rsidP="00B37BB0">
      <w:pPr>
        <w:pStyle w:val="ListParagraph"/>
        <w:numPr>
          <w:ilvl w:val="0"/>
          <w:numId w:val="18"/>
        </w:numPr>
        <w:spacing w:line="276" w:lineRule="auto"/>
        <w:rPr>
          <w:lang w:val="en-GB"/>
        </w:rPr>
      </w:pPr>
      <w:r w:rsidRPr="00B37BB0">
        <w:rPr>
          <w:b/>
          <w:bCs/>
          <w:lang w:val="en-GB"/>
        </w:rPr>
        <w:t>Economic and Infrastructural Value:</w:t>
      </w:r>
      <w:r w:rsidRPr="00B37BB0">
        <w:rPr>
          <w:lang w:val="en-GB"/>
        </w:rPr>
        <w:t xml:space="preserve"> Navigating high-volume international tourism alongside the major highway infrastructure demands of the nearby A303 corridor.</w:t>
      </w:r>
    </w:p>
    <w:p w14:paraId="7EE1917E" w14:textId="77777777" w:rsidR="00B37BB0" w:rsidRDefault="00B37BB0" w:rsidP="00B37BB0">
      <w:pPr>
        <w:pStyle w:val="ListParagraph"/>
        <w:spacing w:line="276" w:lineRule="auto"/>
        <w:rPr>
          <w:lang w:val="en-GB"/>
        </w:rPr>
      </w:pPr>
      <w:r w:rsidRPr="00B37BB0">
        <w:rPr>
          <w:lang w:val="en-GB"/>
        </w:rPr>
        <w:t xml:space="preserve">While elements of a </w:t>
      </w:r>
      <w:r w:rsidRPr="00B37BB0">
        <w:rPr>
          <w:b/>
          <w:bCs/>
          <w:lang w:val="en-GB"/>
        </w:rPr>
        <w:t>people-</w:t>
      </w:r>
      <w:proofErr w:type="spellStart"/>
      <w:r w:rsidRPr="00B37BB0">
        <w:rPr>
          <w:b/>
          <w:bCs/>
          <w:lang w:val="en-GB"/>
        </w:rPr>
        <w:t>centered</w:t>
      </w:r>
      <w:proofErr w:type="spellEnd"/>
      <w:r w:rsidRPr="00B37BB0">
        <w:rPr>
          <w:b/>
          <w:bCs/>
          <w:lang w:val="en-GB"/>
        </w:rPr>
        <w:t xml:space="preserve"> approach</w:t>
      </w:r>
      <w:r w:rsidRPr="00B37BB0">
        <w:rPr>
          <w:lang w:val="en-GB"/>
        </w:rPr>
        <w:t xml:space="preserve"> are beginning to emerge—such as utilizing community mapping to capture local attachments to the wider landscape—the site remains heavily institutionalized. True people-</w:t>
      </w:r>
      <w:proofErr w:type="spellStart"/>
      <w:r w:rsidRPr="00B37BB0">
        <w:rPr>
          <w:lang w:val="en-GB"/>
        </w:rPr>
        <w:t>centered</w:t>
      </w:r>
      <w:proofErr w:type="spellEnd"/>
      <w:r w:rsidRPr="00B37BB0">
        <w:rPr>
          <w:lang w:val="en-GB"/>
        </w:rPr>
        <w:t xml:space="preserve"> management is regularly tested by ongoing disputes over massive infrastructure projects like the proposed A303 Stonehenge tunnel. This demonstrates that while the management structure actively balances a wide array of cultural, economic, and archaeological values, it remains a contested landscape where institutional expertise often holds final decision-making power over grassroots community preferences (Tenzer, 2023).</w:t>
      </w:r>
    </w:p>
    <w:p w14:paraId="731125C0" w14:textId="77777777" w:rsidR="00B37BB0" w:rsidRDefault="00B37BB0" w:rsidP="00B37BB0">
      <w:pPr>
        <w:pStyle w:val="ListParagraph"/>
        <w:spacing w:line="276" w:lineRule="auto"/>
        <w:rPr>
          <w:lang w:val="en-GB"/>
        </w:rPr>
      </w:pPr>
    </w:p>
    <w:p w14:paraId="46F8D0AF" w14:textId="77777777" w:rsidR="00B37BB0" w:rsidRDefault="00B37BB0" w:rsidP="00B37BB0">
      <w:pPr>
        <w:pStyle w:val="ListParagraph"/>
        <w:spacing w:line="276" w:lineRule="auto"/>
        <w:rPr>
          <w:lang w:val="en-GB"/>
        </w:rPr>
      </w:pPr>
    </w:p>
    <w:p w14:paraId="5E5CBE94" w14:textId="77777777" w:rsidR="00B37BB0" w:rsidRDefault="00B37BB0" w:rsidP="00B37BB0">
      <w:pPr>
        <w:pStyle w:val="ListParagraph"/>
        <w:spacing w:line="276" w:lineRule="auto"/>
        <w:rPr>
          <w:lang w:val="en-GB"/>
        </w:rPr>
      </w:pPr>
    </w:p>
    <w:p w14:paraId="7B943E41" w14:textId="77777777" w:rsidR="00B37BB0" w:rsidRDefault="00B37BB0" w:rsidP="00B37BB0">
      <w:pPr>
        <w:pStyle w:val="ListParagraph"/>
        <w:spacing w:line="276" w:lineRule="auto"/>
        <w:rPr>
          <w:lang w:val="en-GB"/>
        </w:rPr>
      </w:pPr>
    </w:p>
    <w:p w14:paraId="0A37E240" w14:textId="77777777" w:rsidR="00B37BB0" w:rsidRDefault="00B37BB0" w:rsidP="00B37BB0">
      <w:pPr>
        <w:pStyle w:val="ListParagraph"/>
        <w:spacing w:line="276" w:lineRule="auto"/>
        <w:rPr>
          <w:lang w:val="en-GB"/>
        </w:rPr>
      </w:pPr>
    </w:p>
    <w:p w14:paraId="27346E08" w14:textId="77777777" w:rsidR="00B37BB0" w:rsidRDefault="00B37BB0" w:rsidP="00B37BB0">
      <w:pPr>
        <w:pStyle w:val="ListParagraph"/>
        <w:spacing w:line="276" w:lineRule="auto"/>
        <w:rPr>
          <w:lang w:val="en-GB"/>
        </w:rPr>
      </w:pPr>
    </w:p>
    <w:p w14:paraId="0F5495B6" w14:textId="77777777" w:rsidR="00B37BB0" w:rsidRDefault="00B37BB0" w:rsidP="00B37BB0">
      <w:pPr>
        <w:pStyle w:val="ListParagraph"/>
        <w:spacing w:line="276" w:lineRule="auto"/>
        <w:rPr>
          <w:lang w:val="en-GB"/>
        </w:rPr>
      </w:pPr>
    </w:p>
    <w:p w14:paraId="0F356D61" w14:textId="77777777" w:rsidR="00B37BB0" w:rsidRDefault="00B37BB0" w:rsidP="00B37BB0">
      <w:pPr>
        <w:pStyle w:val="ListParagraph"/>
        <w:spacing w:line="276" w:lineRule="auto"/>
        <w:rPr>
          <w:lang w:val="en-GB"/>
        </w:rPr>
      </w:pPr>
    </w:p>
    <w:p w14:paraId="5293613C" w14:textId="77777777" w:rsidR="00B37BB0" w:rsidRPr="00B37BB0" w:rsidRDefault="00B37BB0" w:rsidP="00B37BB0">
      <w:pPr>
        <w:pStyle w:val="ListParagraph"/>
        <w:spacing w:line="276" w:lineRule="auto"/>
        <w:ind w:left="0"/>
        <w:rPr>
          <w:lang w:val="en-GB"/>
        </w:rPr>
      </w:pPr>
    </w:p>
    <w:p w14:paraId="2E979DF7" w14:textId="77777777" w:rsidR="00B37BB0" w:rsidRPr="00B37BB0" w:rsidRDefault="00B37BB0" w:rsidP="00B37BB0">
      <w:pPr>
        <w:pStyle w:val="ListParagraph"/>
        <w:spacing w:line="276" w:lineRule="auto"/>
        <w:rPr>
          <w:b/>
          <w:bCs/>
          <w:lang w:val="en-GB"/>
        </w:rPr>
      </w:pPr>
      <w:r w:rsidRPr="00B37BB0">
        <w:rPr>
          <w:b/>
          <w:bCs/>
          <w:lang w:val="en-GB"/>
        </w:rPr>
        <w:lastRenderedPageBreak/>
        <w:t>Consolidated References</w:t>
      </w:r>
    </w:p>
    <w:p w14:paraId="0993D03F" w14:textId="77777777" w:rsidR="00B37BB0" w:rsidRPr="00B37BB0" w:rsidRDefault="00B37BB0" w:rsidP="00B37BB0">
      <w:pPr>
        <w:pStyle w:val="ListParagraph"/>
        <w:spacing w:line="276" w:lineRule="auto"/>
        <w:rPr>
          <w:lang w:val="en-GB"/>
        </w:rPr>
      </w:pPr>
      <w:r w:rsidRPr="00B37BB0">
        <w:rPr>
          <w:lang w:val="en-GB"/>
        </w:rPr>
        <w:t xml:space="preserve">Babić, D. (2026). Heritage Literacy: A Different Understanding of Heritage Management. </w:t>
      </w:r>
      <w:r w:rsidRPr="00B37BB0">
        <w:rPr>
          <w:i/>
          <w:iCs/>
          <w:lang w:val="en-GB"/>
        </w:rPr>
        <w:t>Preprints</w:t>
      </w:r>
      <w:r w:rsidRPr="00B37BB0">
        <w:rPr>
          <w:lang w:val="en-GB"/>
        </w:rPr>
        <w:t xml:space="preserve">. </w:t>
      </w:r>
      <w:hyperlink r:id="rId6" w:tgtFrame="_blank" w:history="1">
        <w:r w:rsidRPr="00B37BB0">
          <w:rPr>
            <w:rStyle w:val="Hyperlink"/>
            <w:lang w:val="en-GB"/>
          </w:rPr>
          <w:t>https://www.preprints.org/manuscript/202604.1001</w:t>
        </w:r>
      </w:hyperlink>
    </w:p>
    <w:p w14:paraId="06A8A741" w14:textId="77777777" w:rsidR="00B37BB0" w:rsidRPr="00B37BB0" w:rsidRDefault="00B37BB0" w:rsidP="00B37BB0">
      <w:pPr>
        <w:pStyle w:val="ListParagraph"/>
        <w:spacing w:line="276" w:lineRule="auto"/>
        <w:rPr>
          <w:lang w:val="en-GB"/>
        </w:rPr>
      </w:pPr>
      <w:r w:rsidRPr="00B37BB0">
        <w:rPr>
          <w:lang w:val="en-GB"/>
        </w:rPr>
        <w:t xml:space="preserve">Miklošević, Ž. (2023). Cause-Based Participative Relationships in Heritage Management. </w:t>
      </w:r>
      <w:r w:rsidRPr="00B37BB0">
        <w:rPr>
          <w:i/>
          <w:iCs/>
          <w:lang w:val="en-GB"/>
        </w:rPr>
        <w:t>Heritage</w:t>
      </w:r>
      <w:r w:rsidRPr="00B37BB0">
        <w:rPr>
          <w:lang w:val="en-GB"/>
        </w:rPr>
        <w:t xml:space="preserve">, </w:t>
      </w:r>
      <w:r w:rsidRPr="00B37BB0">
        <w:rPr>
          <w:i/>
          <w:iCs/>
          <w:lang w:val="en-GB"/>
        </w:rPr>
        <w:t>6</w:t>
      </w:r>
      <w:r w:rsidRPr="00B37BB0">
        <w:rPr>
          <w:lang w:val="en-GB"/>
        </w:rPr>
        <w:t xml:space="preserve">(2), 1824-1838. </w:t>
      </w:r>
      <w:hyperlink r:id="rId7" w:tgtFrame="_blank" w:history="1">
        <w:r w:rsidRPr="00B37BB0">
          <w:rPr>
            <w:rStyle w:val="Hyperlink"/>
            <w:lang w:val="en-GB"/>
          </w:rPr>
          <w:t>https://doi.org/10.3390/heritage6020097</w:t>
        </w:r>
      </w:hyperlink>
    </w:p>
    <w:p w14:paraId="0F251C18" w14:textId="77777777" w:rsidR="00B37BB0" w:rsidRPr="00B37BB0" w:rsidRDefault="00B37BB0" w:rsidP="00B37BB0">
      <w:pPr>
        <w:pStyle w:val="ListParagraph"/>
        <w:spacing w:line="276" w:lineRule="auto"/>
        <w:rPr>
          <w:lang w:val="en-GB"/>
        </w:rPr>
      </w:pPr>
      <w:r w:rsidRPr="00B37BB0">
        <w:rPr>
          <w:lang w:val="en-GB"/>
        </w:rPr>
        <w:t xml:space="preserve">Tenzer, M. (2023). Social Landscape Characterisation: a people-centred, place-based approach to inclusive and transparent heritage and landscape management. </w:t>
      </w:r>
      <w:r w:rsidRPr="00B37BB0">
        <w:rPr>
          <w:i/>
          <w:iCs/>
          <w:lang w:val="en-GB"/>
        </w:rPr>
        <w:t>International Journal of Heritage Studies</w:t>
      </w:r>
      <w:r w:rsidRPr="00B37BB0">
        <w:rPr>
          <w:lang w:val="en-GB"/>
        </w:rPr>
        <w:t xml:space="preserve">, </w:t>
      </w:r>
      <w:r w:rsidRPr="00B37BB0">
        <w:rPr>
          <w:i/>
          <w:iCs/>
          <w:lang w:val="en-GB"/>
        </w:rPr>
        <w:t>30</w:t>
      </w:r>
      <w:r w:rsidRPr="00B37BB0">
        <w:rPr>
          <w:lang w:val="en-GB"/>
        </w:rPr>
        <w:t xml:space="preserve">(3), 269-284. </w:t>
      </w:r>
      <w:hyperlink r:id="rId8" w:tgtFrame="_blank" w:history="1">
        <w:r w:rsidRPr="00B37BB0">
          <w:rPr>
            <w:rStyle w:val="Hyperlink"/>
            <w:lang w:val="en-GB"/>
          </w:rPr>
          <w:t>https://doi.org/10.1080/13527258.2023.2289424</w:t>
        </w:r>
      </w:hyperlink>
    </w:p>
    <w:p w14:paraId="1E1E8C55" w14:textId="77777777" w:rsidR="00B37BB0" w:rsidRPr="00232559" w:rsidRDefault="00B37BB0" w:rsidP="00F61E85">
      <w:pPr>
        <w:pStyle w:val="ListParagraph"/>
        <w:spacing w:line="276" w:lineRule="auto"/>
        <w:ind w:left="0"/>
        <w:rPr>
          <w:lang w:val="en-US"/>
        </w:rPr>
      </w:pPr>
    </w:p>
    <w:sectPr w:rsidR="00B37BB0" w:rsidRPr="0023255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F92DB06F-95BF-4FD8-B05A-0E903830810A}"/>
    <w:embedBold r:id="rId2" w:fontKey="{20C7D719-5E06-4CB5-8E93-9766BB0539C4}"/>
    <w:embedItalic r:id="rId3" w:fontKey="{D1F2E61D-154A-42BC-9002-EA2C03A1D262}"/>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4907ED64-4483-4A07-B74B-DA8160E33811}"/>
  </w:font>
  <w:font w:name="Calibri Light">
    <w:panose1 w:val="020F0302020204030204"/>
    <w:charset w:val="00"/>
    <w:family w:val="swiss"/>
    <w:pitch w:val="variable"/>
    <w:sig w:usb0="E4002EFF" w:usb1="C000247B" w:usb2="00000009" w:usb3="00000000" w:csb0="000001FF" w:csb1="00000000"/>
    <w:embedRegular r:id="rId5" w:fontKey="{4E55E2A6-0904-48FA-A7F6-1D2F35C86E49}"/>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33D8C"/>
    <w:multiLevelType w:val="hybridMultilevel"/>
    <w:tmpl w:val="BB52ED82"/>
    <w:lvl w:ilvl="0" w:tplc="04090001">
      <w:start w:val="1"/>
      <w:numFmt w:val="bullet"/>
      <w:lvlText w:val=""/>
      <w:lvlJc w:val="left"/>
      <w:pPr>
        <w:ind w:left="772" w:hanging="360"/>
      </w:pPr>
      <w:rPr>
        <w:rFonts w:ascii="Symbol" w:hAnsi="Symbol" w:hint="default"/>
      </w:rPr>
    </w:lvl>
    <w:lvl w:ilvl="1" w:tplc="04090003" w:tentative="1">
      <w:start w:val="1"/>
      <w:numFmt w:val="bullet"/>
      <w:lvlText w:val="o"/>
      <w:lvlJc w:val="left"/>
      <w:pPr>
        <w:ind w:left="1492" w:hanging="360"/>
      </w:pPr>
      <w:rPr>
        <w:rFonts w:ascii="Courier New" w:hAnsi="Courier New" w:cs="Courier New" w:hint="default"/>
      </w:rPr>
    </w:lvl>
    <w:lvl w:ilvl="2" w:tplc="04090005" w:tentative="1">
      <w:start w:val="1"/>
      <w:numFmt w:val="bullet"/>
      <w:lvlText w:val=""/>
      <w:lvlJc w:val="left"/>
      <w:pPr>
        <w:ind w:left="2212" w:hanging="360"/>
      </w:pPr>
      <w:rPr>
        <w:rFonts w:ascii="Wingdings" w:hAnsi="Wingdings" w:hint="default"/>
      </w:rPr>
    </w:lvl>
    <w:lvl w:ilvl="3" w:tplc="04090001" w:tentative="1">
      <w:start w:val="1"/>
      <w:numFmt w:val="bullet"/>
      <w:lvlText w:val=""/>
      <w:lvlJc w:val="left"/>
      <w:pPr>
        <w:ind w:left="2932" w:hanging="360"/>
      </w:pPr>
      <w:rPr>
        <w:rFonts w:ascii="Symbol" w:hAnsi="Symbol" w:hint="default"/>
      </w:rPr>
    </w:lvl>
    <w:lvl w:ilvl="4" w:tplc="04090003" w:tentative="1">
      <w:start w:val="1"/>
      <w:numFmt w:val="bullet"/>
      <w:lvlText w:val="o"/>
      <w:lvlJc w:val="left"/>
      <w:pPr>
        <w:ind w:left="3652" w:hanging="360"/>
      </w:pPr>
      <w:rPr>
        <w:rFonts w:ascii="Courier New" w:hAnsi="Courier New" w:cs="Courier New" w:hint="default"/>
      </w:rPr>
    </w:lvl>
    <w:lvl w:ilvl="5" w:tplc="04090005" w:tentative="1">
      <w:start w:val="1"/>
      <w:numFmt w:val="bullet"/>
      <w:lvlText w:val=""/>
      <w:lvlJc w:val="left"/>
      <w:pPr>
        <w:ind w:left="4372" w:hanging="360"/>
      </w:pPr>
      <w:rPr>
        <w:rFonts w:ascii="Wingdings" w:hAnsi="Wingdings" w:hint="default"/>
      </w:rPr>
    </w:lvl>
    <w:lvl w:ilvl="6" w:tplc="04090001" w:tentative="1">
      <w:start w:val="1"/>
      <w:numFmt w:val="bullet"/>
      <w:lvlText w:val=""/>
      <w:lvlJc w:val="left"/>
      <w:pPr>
        <w:ind w:left="5092" w:hanging="360"/>
      </w:pPr>
      <w:rPr>
        <w:rFonts w:ascii="Symbol" w:hAnsi="Symbol" w:hint="default"/>
      </w:rPr>
    </w:lvl>
    <w:lvl w:ilvl="7" w:tplc="04090003" w:tentative="1">
      <w:start w:val="1"/>
      <w:numFmt w:val="bullet"/>
      <w:lvlText w:val="o"/>
      <w:lvlJc w:val="left"/>
      <w:pPr>
        <w:ind w:left="5812" w:hanging="360"/>
      </w:pPr>
      <w:rPr>
        <w:rFonts w:ascii="Courier New" w:hAnsi="Courier New" w:cs="Courier New" w:hint="default"/>
      </w:rPr>
    </w:lvl>
    <w:lvl w:ilvl="8" w:tplc="04090005" w:tentative="1">
      <w:start w:val="1"/>
      <w:numFmt w:val="bullet"/>
      <w:lvlText w:val=""/>
      <w:lvlJc w:val="left"/>
      <w:pPr>
        <w:ind w:left="6532" w:hanging="360"/>
      </w:pPr>
      <w:rPr>
        <w:rFonts w:ascii="Wingdings" w:hAnsi="Wingdings" w:hint="default"/>
      </w:rPr>
    </w:lvl>
  </w:abstractNum>
  <w:abstractNum w:abstractNumId="1" w15:restartNumberingAfterBreak="0">
    <w:nsid w:val="07A32492"/>
    <w:multiLevelType w:val="hybridMultilevel"/>
    <w:tmpl w:val="399EEF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F3345"/>
    <w:multiLevelType w:val="hybridMultilevel"/>
    <w:tmpl w:val="516CF8DC"/>
    <w:lvl w:ilvl="0" w:tplc="816C7C8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52F6658"/>
    <w:multiLevelType w:val="multilevel"/>
    <w:tmpl w:val="2494BB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A7A7426"/>
    <w:multiLevelType w:val="hybridMultilevel"/>
    <w:tmpl w:val="5C602C58"/>
    <w:lvl w:ilvl="0" w:tplc="E9BC699E">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2635803"/>
    <w:multiLevelType w:val="multilevel"/>
    <w:tmpl w:val="41548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4F61B36"/>
    <w:multiLevelType w:val="multilevel"/>
    <w:tmpl w:val="49D4A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F66079D"/>
    <w:multiLevelType w:val="hybridMultilevel"/>
    <w:tmpl w:val="9A5660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9BB07AF"/>
    <w:multiLevelType w:val="hybridMultilevel"/>
    <w:tmpl w:val="DF3A61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ACD1428"/>
    <w:multiLevelType w:val="multilevel"/>
    <w:tmpl w:val="0B869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7930BAC"/>
    <w:multiLevelType w:val="multilevel"/>
    <w:tmpl w:val="D160C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8482321"/>
    <w:multiLevelType w:val="hybridMultilevel"/>
    <w:tmpl w:val="B6685F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E1B2512"/>
    <w:multiLevelType w:val="hybridMultilevel"/>
    <w:tmpl w:val="9A2E54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D9E4A76"/>
    <w:multiLevelType w:val="multilevel"/>
    <w:tmpl w:val="91667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DBF239E"/>
    <w:multiLevelType w:val="hybridMultilevel"/>
    <w:tmpl w:val="2E6AEE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3F459CA"/>
    <w:multiLevelType w:val="hybridMultilevel"/>
    <w:tmpl w:val="AD0C1FCA"/>
    <w:lvl w:ilvl="0" w:tplc="74101CAE">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4A97444"/>
    <w:multiLevelType w:val="hybridMultilevel"/>
    <w:tmpl w:val="2A021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54F387D"/>
    <w:multiLevelType w:val="multilevel"/>
    <w:tmpl w:val="A1443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55222506">
    <w:abstractNumId w:val="2"/>
  </w:num>
  <w:num w:numId="2" w16cid:durableId="1882092387">
    <w:abstractNumId w:val="16"/>
  </w:num>
  <w:num w:numId="3" w16cid:durableId="1544052912">
    <w:abstractNumId w:val="0"/>
  </w:num>
  <w:num w:numId="4" w16cid:durableId="746540664">
    <w:abstractNumId w:val="1"/>
  </w:num>
  <w:num w:numId="5" w16cid:durableId="1108088842">
    <w:abstractNumId w:val="4"/>
  </w:num>
  <w:num w:numId="6" w16cid:durableId="1713579031">
    <w:abstractNumId w:val="15"/>
  </w:num>
  <w:num w:numId="7" w16cid:durableId="612253008">
    <w:abstractNumId w:val="14"/>
  </w:num>
  <w:num w:numId="8" w16cid:durableId="314267375">
    <w:abstractNumId w:val="11"/>
  </w:num>
  <w:num w:numId="9" w16cid:durableId="327443921">
    <w:abstractNumId w:val="12"/>
  </w:num>
  <w:num w:numId="10" w16cid:durableId="1481845840">
    <w:abstractNumId w:val="8"/>
  </w:num>
  <w:num w:numId="11" w16cid:durableId="1209099905">
    <w:abstractNumId w:val="7"/>
  </w:num>
  <w:num w:numId="12" w16cid:durableId="350495173">
    <w:abstractNumId w:val="6"/>
  </w:num>
  <w:num w:numId="13" w16cid:durableId="133064909">
    <w:abstractNumId w:val="10"/>
  </w:num>
  <w:num w:numId="14" w16cid:durableId="121389507">
    <w:abstractNumId w:val="9"/>
  </w:num>
  <w:num w:numId="15" w16cid:durableId="544491566">
    <w:abstractNumId w:val="5"/>
  </w:num>
  <w:num w:numId="16" w16cid:durableId="1903364063">
    <w:abstractNumId w:val="13"/>
  </w:num>
  <w:num w:numId="17" w16cid:durableId="1279871215">
    <w:abstractNumId w:val="3"/>
  </w:num>
  <w:num w:numId="18" w16cid:durableId="36845972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345"/>
    <w:rsid w:val="00001C93"/>
    <w:rsid w:val="00016EE8"/>
    <w:rsid w:val="0003533E"/>
    <w:rsid w:val="001700EC"/>
    <w:rsid w:val="00174BB1"/>
    <w:rsid w:val="00224657"/>
    <w:rsid w:val="00224FD9"/>
    <w:rsid w:val="00232559"/>
    <w:rsid w:val="002F4AE0"/>
    <w:rsid w:val="00384E8A"/>
    <w:rsid w:val="003D1074"/>
    <w:rsid w:val="00426865"/>
    <w:rsid w:val="00477CAA"/>
    <w:rsid w:val="00502E29"/>
    <w:rsid w:val="005E1FD5"/>
    <w:rsid w:val="005E458B"/>
    <w:rsid w:val="00672345"/>
    <w:rsid w:val="00705037"/>
    <w:rsid w:val="00786BC0"/>
    <w:rsid w:val="007A44D2"/>
    <w:rsid w:val="007C7917"/>
    <w:rsid w:val="00844EC2"/>
    <w:rsid w:val="008516FE"/>
    <w:rsid w:val="00942251"/>
    <w:rsid w:val="009C1D0A"/>
    <w:rsid w:val="00A044F7"/>
    <w:rsid w:val="00A057BE"/>
    <w:rsid w:val="00A8150E"/>
    <w:rsid w:val="00B20343"/>
    <w:rsid w:val="00B37BB0"/>
    <w:rsid w:val="00B85EA7"/>
    <w:rsid w:val="00BE65DD"/>
    <w:rsid w:val="00C612A4"/>
    <w:rsid w:val="00C80777"/>
    <w:rsid w:val="00CC6AD1"/>
    <w:rsid w:val="00CF34F8"/>
    <w:rsid w:val="00E6778A"/>
    <w:rsid w:val="00F25F5B"/>
    <w:rsid w:val="00F61E85"/>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9C04AB"/>
  <w15:chartTrackingRefBased/>
  <w15:docId w15:val="{D44C529A-C2A9-5541-B3D1-9897CC08A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345"/>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CF34F8"/>
    <w:pPr>
      <w:ind w:left="720"/>
      <w:contextualSpacing/>
    </w:pPr>
  </w:style>
  <w:style w:type="character" w:styleId="Hyperlink">
    <w:name w:val="Hyperlink"/>
    <w:basedOn w:val="DefaultParagraphFont"/>
    <w:uiPriority w:val="99"/>
    <w:unhideWhenUsed/>
    <w:rsid w:val="00F61E85"/>
    <w:rPr>
      <w:color w:val="0563C1" w:themeColor="hyperlink"/>
      <w:u w:val="single"/>
    </w:rPr>
  </w:style>
  <w:style w:type="character" w:styleId="UnresolvedMention">
    <w:name w:val="Unresolved Mention"/>
    <w:basedOn w:val="DefaultParagraphFont"/>
    <w:uiPriority w:val="99"/>
    <w:semiHidden/>
    <w:unhideWhenUsed/>
    <w:rsid w:val="00F61E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search?q=https%3A%2F%2Fdoi.org%2F10.1080%2F13527258.2023.2289424" TargetMode="External"/><Relationship Id="rId3" Type="http://schemas.openxmlformats.org/officeDocument/2006/relationships/settings" Target="settings.xml"/><Relationship Id="rId7" Type="http://schemas.openxmlformats.org/officeDocument/2006/relationships/hyperlink" Target="https://www.google.com/search?q=https%3A%2F%2Fdoi.org%2F10.3390%2Fheritage602009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preprints.org/manuscript/202604.1001"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877</Words>
  <Characters>4999</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33496</cp:lastModifiedBy>
  <cp:revision>2</cp:revision>
  <dcterms:created xsi:type="dcterms:W3CDTF">2026-06-23T07:30:00Z</dcterms:created>
  <dcterms:modified xsi:type="dcterms:W3CDTF">2026-06-23T07:30:00Z</dcterms:modified>
</cp:coreProperties>
</file>