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E0831" w14:textId="77777777" w:rsidR="00B55503" w:rsidRPr="00796E84" w:rsidRDefault="00B55503" w:rsidP="00B55503">
      <w:pPr>
        <w:spacing w:line="480" w:lineRule="auto"/>
        <w:jc w:val="center"/>
        <w:rPr>
          <w:rFonts w:ascii="Times New Roman" w:hAnsi="Times New Roman" w:cs="Times New Roman"/>
          <w:color w:val="000000" w:themeColor="text1"/>
          <w:szCs w:val="24"/>
        </w:rPr>
      </w:pPr>
      <w:r w:rsidRPr="00796E84">
        <w:rPr>
          <w:rFonts w:ascii="Times New Roman" w:hAnsi="Times New Roman" w:cs="Times New Roman"/>
          <w:noProof/>
          <w:color w:val="000000" w:themeColor="text1"/>
          <w:szCs w:val="24"/>
        </w:rPr>
        <w:drawing>
          <wp:inline distT="0" distB="0" distL="0" distR="0" wp14:anchorId="2ACBFF48" wp14:editId="6F0D2892">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3150FAE9" w14:textId="77777777" w:rsidR="00B55503" w:rsidRPr="00B55503" w:rsidRDefault="00B55503" w:rsidP="00B55503">
      <w:pPr>
        <w:spacing w:line="480" w:lineRule="auto"/>
        <w:jc w:val="center"/>
        <w:rPr>
          <w:rFonts w:ascii="Times New Roman" w:hAnsi="Times New Roman" w:cs="Times New Roman"/>
          <w:b/>
          <w:bCs/>
          <w:color w:val="000000" w:themeColor="text1"/>
          <w:szCs w:val="24"/>
        </w:rPr>
      </w:pPr>
      <w:r w:rsidRPr="00B55503">
        <w:rPr>
          <w:rFonts w:ascii="Times New Roman" w:hAnsi="Times New Roman" w:cs="Times New Roman"/>
          <w:b/>
          <w:bCs/>
          <w:color w:val="000000" w:themeColor="text1"/>
          <w:szCs w:val="24"/>
        </w:rPr>
        <w:t>Assignment 2: Talent Management, Employee Engagement, and Organizational</w:t>
      </w:r>
    </w:p>
    <w:p w14:paraId="0AB69224" w14:textId="77777777" w:rsidR="00B55503" w:rsidRPr="00B55503" w:rsidRDefault="00B55503" w:rsidP="00B55503">
      <w:pPr>
        <w:spacing w:line="480" w:lineRule="auto"/>
        <w:jc w:val="center"/>
        <w:rPr>
          <w:rFonts w:ascii="Times New Roman" w:hAnsi="Times New Roman" w:cs="Times New Roman"/>
          <w:b/>
          <w:bCs/>
          <w:color w:val="000000" w:themeColor="text1"/>
          <w:szCs w:val="24"/>
        </w:rPr>
      </w:pPr>
      <w:r w:rsidRPr="00B55503">
        <w:rPr>
          <w:rFonts w:ascii="Times New Roman" w:hAnsi="Times New Roman" w:cs="Times New Roman"/>
          <w:b/>
          <w:bCs/>
          <w:color w:val="000000" w:themeColor="text1"/>
          <w:szCs w:val="24"/>
        </w:rPr>
        <w:t>Performance</w:t>
      </w:r>
    </w:p>
    <w:p w14:paraId="19112C39" w14:textId="77777777" w:rsidR="00B55503" w:rsidRPr="00B55503" w:rsidRDefault="00B55503" w:rsidP="00B55503">
      <w:pPr>
        <w:spacing w:line="480" w:lineRule="auto"/>
        <w:jc w:val="center"/>
        <w:rPr>
          <w:rFonts w:ascii="Times New Roman" w:hAnsi="Times New Roman" w:cs="Times New Roman"/>
          <w:b/>
          <w:bCs/>
          <w:color w:val="000000" w:themeColor="text1"/>
          <w:szCs w:val="24"/>
        </w:rPr>
      </w:pPr>
      <w:r w:rsidRPr="00B55503">
        <w:rPr>
          <w:rFonts w:ascii="Times New Roman" w:hAnsi="Times New Roman" w:cs="Times New Roman"/>
          <w:b/>
          <w:bCs/>
          <w:color w:val="000000" w:themeColor="text1"/>
          <w:szCs w:val="24"/>
        </w:rPr>
        <w:t>Case Study:</w:t>
      </w:r>
    </w:p>
    <w:p w14:paraId="42DA4293" w14:textId="77777777" w:rsidR="00B55503" w:rsidRPr="00B55503" w:rsidRDefault="00B55503" w:rsidP="00B55503">
      <w:pPr>
        <w:spacing w:line="480" w:lineRule="auto"/>
        <w:jc w:val="center"/>
        <w:rPr>
          <w:rFonts w:ascii="Times New Roman" w:hAnsi="Times New Roman" w:cs="Times New Roman"/>
          <w:b/>
          <w:bCs/>
          <w:color w:val="000000" w:themeColor="text1"/>
          <w:szCs w:val="24"/>
        </w:rPr>
      </w:pPr>
      <w:proofErr w:type="spellStart"/>
      <w:r w:rsidRPr="00B55503">
        <w:rPr>
          <w:rFonts w:ascii="Times New Roman" w:hAnsi="Times New Roman" w:cs="Times New Roman"/>
          <w:b/>
          <w:bCs/>
          <w:color w:val="000000" w:themeColor="text1"/>
          <w:szCs w:val="24"/>
        </w:rPr>
        <w:t>Analyze</w:t>
      </w:r>
      <w:proofErr w:type="spellEnd"/>
      <w:r w:rsidRPr="00B55503">
        <w:rPr>
          <w:rFonts w:ascii="Times New Roman" w:hAnsi="Times New Roman" w:cs="Times New Roman"/>
          <w:b/>
          <w:bCs/>
          <w:color w:val="000000" w:themeColor="text1"/>
          <w:szCs w:val="24"/>
        </w:rPr>
        <w:t xml:space="preserve"> the talent management and employee engagement strategies implemented</w:t>
      </w:r>
    </w:p>
    <w:p w14:paraId="4A38E043" w14:textId="77777777" w:rsidR="00B55503" w:rsidRPr="00B55503" w:rsidRDefault="00B55503" w:rsidP="00B55503">
      <w:pPr>
        <w:spacing w:line="480" w:lineRule="auto"/>
        <w:jc w:val="center"/>
        <w:rPr>
          <w:rFonts w:ascii="Times New Roman" w:hAnsi="Times New Roman" w:cs="Times New Roman"/>
          <w:b/>
          <w:bCs/>
          <w:color w:val="000000" w:themeColor="text1"/>
          <w:szCs w:val="24"/>
        </w:rPr>
      </w:pPr>
      <w:r w:rsidRPr="00B55503">
        <w:rPr>
          <w:rFonts w:ascii="Times New Roman" w:hAnsi="Times New Roman" w:cs="Times New Roman"/>
          <w:b/>
          <w:bCs/>
          <w:color w:val="000000" w:themeColor="text1"/>
          <w:szCs w:val="24"/>
        </w:rPr>
        <w:t>by Google. How has the company’s approach to attracting, developing, and</w:t>
      </w:r>
    </w:p>
    <w:p w14:paraId="03004289" w14:textId="77777777" w:rsidR="00B55503" w:rsidRPr="00B55503" w:rsidRDefault="00B55503" w:rsidP="00B55503">
      <w:pPr>
        <w:spacing w:line="480" w:lineRule="auto"/>
        <w:jc w:val="center"/>
        <w:rPr>
          <w:rFonts w:ascii="Times New Roman" w:hAnsi="Times New Roman" w:cs="Times New Roman"/>
          <w:b/>
          <w:bCs/>
          <w:color w:val="000000" w:themeColor="text1"/>
          <w:szCs w:val="24"/>
        </w:rPr>
      </w:pPr>
      <w:r w:rsidRPr="00B55503">
        <w:rPr>
          <w:rFonts w:ascii="Times New Roman" w:hAnsi="Times New Roman" w:cs="Times New Roman"/>
          <w:b/>
          <w:bCs/>
          <w:color w:val="000000" w:themeColor="text1"/>
          <w:szCs w:val="24"/>
        </w:rPr>
        <w:t>retaining talent contributed to its market leadership and innovation culture? Discuss</w:t>
      </w:r>
    </w:p>
    <w:p w14:paraId="3C052D3A" w14:textId="77777777" w:rsidR="00B55503" w:rsidRPr="00B55503" w:rsidRDefault="00B55503" w:rsidP="00B55503">
      <w:pPr>
        <w:spacing w:line="480" w:lineRule="auto"/>
        <w:jc w:val="center"/>
        <w:rPr>
          <w:rFonts w:ascii="Times New Roman" w:hAnsi="Times New Roman" w:cs="Times New Roman"/>
          <w:b/>
          <w:bCs/>
          <w:color w:val="000000" w:themeColor="text1"/>
          <w:szCs w:val="24"/>
        </w:rPr>
      </w:pPr>
      <w:r w:rsidRPr="00B55503">
        <w:rPr>
          <w:rFonts w:ascii="Times New Roman" w:hAnsi="Times New Roman" w:cs="Times New Roman"/>
          <w:b/>
          <w:bCs/>
          <w:color w:val="000000" w:themeColor="text1"/>
          <w:szCs w:val="24"/>
        </w:rPr>
        <w:t>the impact of these strategies on employee satisfaction and organizational</w:t>
      </w:r>
    </w:p>
    <w:p w14:paraId="6344F692" w14:textId="2DA4F166" w:rsidR="00B55503" w:rsidRPr="00796E84" w:rsidRDefault="00B55503" w:rsidP="00B55503">
      <w:pPr>
        <w:spacing w:line="480" w:lineRule="auto"/>
        <w:jc w:val="center"/>
        <w:rPr>
          <w:rFonts w:ascii="Times New Roman" w:hAnsi="Times New Roman" w:cs="Times New Roman"/>
          <w:b/>
          <w:bCs/>
          <w:color w:val="000000" w:themeColor="text1"/>
          <w:szCs w:val="24"/>
        </w:rPr>
      </w:pPr>
      <w:r w:rsidRPr="00B55503">
        <w:rPr>
          <w:rFonts w:ascii="Times New Roman" w:hAnsi="Times New Roman" w:cs="Times New Roman"/>
          <w:b/>
          <w:bCs/>
          <w:color w:val="000000" w:themeColor="text1"/>
          <w:szCs w:val="24"/>
        </w:rPr>
        <w:t>performance.</w:t>
      </w:r>
    </w:p>
    <w:p w14:paraId="67B42829" w14:textId="77777777" w:rsidR="00B55503" w:rsidRPr="00796E84" w:rsidRDefault="00B55503" w:rsidP="00B55503">
      <w:pPr>
        <w:spacing w:line="480" w:lineRule="auto"/>
        <w:jc w:val="center"/>
        <w:rPr>
          <w:rFonts w:ascii="Times New Roman" w:hAnsi="Times New Roman" w:cs="Times New Roman"/>
          <w:b/>
          <w:bCs/>
          <w:color w:val="000000" w:themeColor="text1"/>
          <w:szCs w:val="24"/>
        </w:rPr>
      </w:pPr>
    </w:p>
    <w:p w14:paraId="0575A708" w14:textId="77777777" w:rsidR="00B55503" w:rsidRPr="00796E84" w:rsidRDefault="00B55503" w:rsidP="00B55503">
      <w:pPr>
        <w:spacing w:line="480" w:lineRule="auto"/>
        <w:jc w:val="center"/>
        <w:rPr>
          <w:rFonts w:ascii="Times New Roman" w:hAnsi="Times New Roman" w:cs="Times New Roman"/>
          <w:b/>
          <w:bCs/>
          <w:color w:val="000000" w:themeColor="text1"/>
          <w:szCs w:val="24"/>
        </w:rPr>
      </w:pPr>
    </w:p>
    <w:p w14:paraId="0D95943C" w14:textId="77777777" w:rsidR="00B55503" w:rsidRPr="00796E84" w:rsidRDefault="00B55503" w:rsidP="00B55503">
      <w:pPr>
        <w:spacing w:line="480" w:lineRule="auto"/>
        <w:jc w:val="center"/>
        <w:rPr>
          <w:rFonts w:ascii="Times New Roman" w:hAnsi="Times New Roman" w:cs="Times New Roman"/>
          <w:b/>
          <w:bCs/>
          <w:color w:val="000000" w:themeColor="text1"/>
          <w:szCs w:val="24"/>
        </w:rPr>
      </w:pPr>
    </w:p>
    <w:p w14:paraId="3E64695C" w14:textId="77777777" w:rsidR="00B55503" w:rsidRDefault="00B55503" w:rsidP="00B55503">
      <w:pPr>
        <w:spacing w:line="480" w:lineRule="auto"/>
        <w:jc w:val="center"/>
        <w:rPr>
          <w:rFonts w:ascii="Times New Roman" w:hAnsi="Times New Roman" w:cs="Times New Roman"/>
          <w:b/>
          <w:bCs/>
          <w:color w:val="000000" w:themeColor="text1"/>
          <w:szCs w:val="24"/>
        </w:rPr>
      </w:pPr>
    </w:p>
    <w:p w14:paraId="2D2AC4AA" w14:textId="77777777" w:rsidR="00B55503" w:rsidRPr="00796E84" w:rsidRDefault="00B55503" w:rsidP="00B55503">
      <w:pPr>
        <w:spacing w:line="480" w:lineRule="auto"/>
        <w:jc w:val="center"/>
        <w:rPr>
          <w:rFonts w:ascii="Times New Roman" w:hAnsi="Times New Roman" w:cs="Times New Roman"/>
          <w:b/>
          <w:bCs/>
          <w:color w:val="000000" w:themeColor="text1"/>
          <w:szCs w:val="24"/>
        </w:rPr>
      </w:pPr>
    </w:p>
    <w:p w14:paraId="5CC78A38" w14:textId="77777777" w:rsidR="00B55503" w:rsidRPr="00796E84" w:rsidRDefault="00B55503" w:rsidP="00B55503">
      <w:pPr>
        <w:spacing w:line="480" w:lineRule="auto"/>
        <w:jc w:val="center"/>
        <w:rPr>
          <w:rFonts w:ascii="Times New Roman" w:hAnsi="Times New Roman" w:cs="Times New Roman"/>
          <w:b/>
          <w:bCs/>
          <w:color w:val="000000" w:themeColor="text1"/>
          <w:szCs w:val="24"/>
        </w:rPr>
      </w:pPr>
    </w:p>
    <w:p w14:paraId="6E0E65BA" w14:textId="77777777" w:rsidR="00B55503" w:rsidRPr="00796E84" w:rsidRDefault="00B55503" w:rsidP="00B55503">
      <w:pPr>
        <w:spacing w:line="480" w:lineRule="auto"/>
        <w:rPr>
          <w:rFonts w:ascii="Times New Roman" w:hAnsi="Times New Roman" w:cs="Times New Roman"/>
          <w:b/>
          <w:bCs/>
          <w:color w:val="000000" w:themeColor="text1"/>
          <w:szCs w:val="24"/>
        </w:rPr>
      </w:pPr>
    </w:p>
    <w:p w14:paraId="3961732D" w14:textId="77777777" w:rsidR="00B55503" w:rsidRPr="00796E84" w:rsidRDefault="00B55503" w:rsidP="00B55503">
      <w:pPr>
        <w:pStyle w:val="Heading2"/>
        <w:rPr>
          <w:rFonts w:ascii="Times New Roman" w:hAnsi="Times New Roman" w:cs="Times New Roman"/>
          <w:b/>
          <w:bCs/>
          <w:color w:val="000000" w:themeColor="text1"/>
          <w:sz w:val="24"/>
          <w:szCs w:val="24"/>
        </w:rPr>
      </w:pPr>
      <w:bookmarkStart w:id="0" w:name="_Toc224846299"/>
      <w:r w:rsidRPr="00796E84">
        <w:rPr>
          <w:rFonts w:ascii="Times New Roman" w:hAnsi="Times New Roman" w:cs="Times New Roman"/>
          <w:b/>
          <w:bCs/>
          <w:color w:val="000000" w:themeColor="text1"/>
          <w:sz w:val="24"/>
          <w:szCs w:val="24"/>
        </w:rPr>
        <w:lastRenderedPageBreak/>
        <w:t>Abstract</w:t>
      </w:r>
      <w:bookmarkEnd w:id="0"/>
    </w:p>
    <w:p w14:paraId="22ACF441" w14:textId="77777777" w:rsidR="0096763F" w:rsidRPr="0096763F" w:rsidRDefault="0096763F" w:rsidP="0096763F">
      <w:pPr>
        <w:spacing w:line="480" w:lineRule="auto"/>
        <w:rPr>
          <w:rFonts w:ascii="Times New Roman" w:hAnsi="Times New Roman" w:cs="Times New Roman"/>
          <w:szCs w:val="24"/>
        </w:rPr>
      </w:pPr>
      <w:r w:rsidRPr="0096763F">
        <w:rPr>
          <w:rFonts w:ascii="Times New Roman" w:hAnsi="Times New Roman" w:cs="Times New Roman"/>
          <w:szCs w:val="24"/>
        </w:rPr>
        <w:t>Talent management and employee engagement have emerged as critical drivers of organizational performance, particularly within knowledge-intensive firms such as Google. This report examines Google’s talent management and employee engagement strategies and evaluates how these practices contribute to innovation, employee satisfaction, and sustained competitive advantage. Drawing on contemporary human resource management theories and empirical research, the study explores Google’s approach to attracting, developing, and retaining top talent through data-driven HR practices, psychological empowerment, and a strong organizational culture.</w:t>
      </w:r>
    </w:p>
    <w:p w14:paraId="602319CF" w14:textId="77777777" w:rsidR="0096763F" w:rsidRPr="0096763F" w:rsidRDefault="0096763F" w:rsidP="0096763F">
      <w:pPr>
        <w:spacing w:line="480" w:lineRule="auto"/>
        <w:rPr>
          <w:rFonts w:ascii="Times New Roman" w:hAnsi="Times New Roman" w:cs="Times New Roman"/>
          <w:szCs w:val="24"/>
        </w:rPr>
      </w:pPr>
      <w:r w:rsidRPr="0096763F">
        <w:rPr>
          <w:rFonts w:ascii="Times New Roman" w:hAnsi="Times New Roman" w:cs="Times New Roman"/>
          <w:szCs w:val="24"/>
        </w:rPr>
        <w:t>The analysis highlights the role of initiatives such as People Analytics, continuous feedback systems, and employee-</w:t>
      </w:r>
      <w:proofErr w:type="spellStart"/>
      <w:r w:rsidRPr="0096763F">
        <w:rPr>
          <w:rFonts w:ascii="Times New Roman" w:hAnsi="Times New Roman" w:cs="Times New Roman"/>
          <w:szCs w:val="24"/>
        </w:rPr>
        <w:t>centered</w:t>
      </w:r>
      <w:proofErr w:type="spellEnd"/>
      <w:r w:rsidRPr="0096763F">
        <w:rPr>
          <w:rFonts w:ascii="Times New Roman" w:hAnsi="Times New Roman" w:cs="Times New Roman"/>
          <w:szCs w:val="24"/>
        </w:rPr>
        <w:t xml:space="preserve"> workplace design in fostering high levels of engagement and productivity. Furthermore, the report assesses how Google’s emphasis on autonomy, learning, and inclusivity enhances employee motivation and organizational commitment. Evidence suggests that these practices significantly contribute to improved performance outcomes, including innovation capability, employee well-being, and market leadership.</w:t>
      </w:r>
    </w:p>
    <w:p w14:paraId="3DA1FCE1" w14:textId="77777777" w:rsidR="0096763F" w:rsidRPr="0096763F" w:rsidRDefault="0096763F" w:rsidP="0096763F">
      <w:pPr>
        <w:spacing w:line="480" w:lineRule="auto"/>
        <w:rPr>
          <w:rFonts w:ascii="Times New Roman" w:hAnsi="Times New Roman" w:cs="Times New Roman"/>
          <w:szCs w:val="24"/>
        </w:rPr>
      </w:pPr>
      <w:r w:rsidRPr="0096763F">
        <w:rPr>
          <w:rFonts w:ascii="Times New Roman" w:hAnsi="Times New Roman" w:cs="Times New Roman"/>
          <w:szCs w:val="24"/>
        </w:rPr>
        <w:t>The findings underscore the importance of aligning talent management strategies with organizational goals and demonstrate that employee engagement serves as a mediating factor between HR practices and organizational performance. This report concludes that Google’s integrated approach provides a benchmark for organizations seeking to leverage human capital for sustainable success in dynamic business</w:t>
      </w:r>
    </w:p>
    <w:p w14:paraId="726E5705" w14:textId="77777777" w:rsidR="00B55503" w:rsidRDefault="00B55503" w:rsidP="00B55503">
      <w:pPr>
        <w:spacing w:line="480" w:lineRule="auto"/>
        <w:rPr>
          <w:rFonts w:ascii="Times New Roman" w:hAnsi="Times New Roman" w:cs="Times New Roman"/>
          <w:szCs w:val="24"/>
        </w:rPr>
      </w:pPr>
    </w:p>
    <w:p w14:paraId="2121F25D" w14:textId="77777777" w:rsidR="00B55503" w:rsidRPr="00796E84" w:rsidRDefault="00B55503" w:rsidP="00B55503">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2E5B8EFC" w14:textId="77777777" w:rsidR="00B55503" w:rsidRPr="00796E84" w:rsidRDefault="00B55503" w:rsidP="00B55503">
          <w:pPr>
            <w:pStyle w:val="TOCHeading"/>
            <w:rPr>
              <w:rFonts w:ascii="Times New Roman" w:hAnsi="Times New Roman" w:cs="Times New Roman"/>
              <w:b/>
              <w:bCs/>
              <w:color w:val="000000" w:themeColor="text1"/>
              <w:sz w:val="24"/>
              <w:szCs w:val="24"/>
            </w:rPr>
          </w:pPr>
          <w:r w:rsidRPr="00796E84">
            <w:rPr>
              <w:rFonts w:ascii="Times New Roman" w:hAnsi="Times New Roman" w:cs="Times New Roman"/>
              <w:b/>
              <w:bCs/>
              <w:color w:val="000000" w:themeColor="text1"/>
              <w:sz w:val="24"/>
              <w:szCs w:val="24"/>
            </w:rPr>
            <w:t>Contents</w:t>
          </w:r>
        </w:p>
        <w:p w14:paraId="0989320A" w14:textId="77777777" w:rsidR="00B55503" w:rsidRPr="00796E84" w:rsidRDefault="00B55503" w:rsidP="00B55503">
          <w:pPr>
            <w:pStyle w:val="TOC2"/>
            <w:tabs>
              <w:tab w:val="right" w:leader="dot" w:pos="9350"/>
            </w:tabs>
            <w:rPr>
              <w:rFonts w:ascii="Times New Roman" w:hAnsi="Times New Roman" w:cs="Times New Roman"/>
              <w:noProof/>
              <w:color w:val="000000" w:themeColor="text1"/>
              <w:szCs w:val="24"/>
            </w:rPr>
          </w:pPr>
          <w:r w:rsidRPr="00796E84">
            <w:rPr>
              <w:rFonts w:ascii="Times New Roman" w:hAnsi="Times New Roman" w:cs="Times New Roman"/>
              <w:color w:val="000000" w:themeColor="text1"/>
              <w:szCs w:val="24"/>
            </w:rPr>
            <w:fldChar w:fldCharType="begin"/>
          </w:r>
          <w:r w:rsidRPr="00796E84">
            <w:rPr>
              <w:rFonts w:ascii="Times New Roman" w:hAnsi="Times New Roman" w:cs="Times New Roman"/>
              <w:color w:val="000000" w:themeColor="text1"/>
              <w:szCs w:val="24"/>
            </w:rPr>
            <w:instrText xml:space="preserve"> TOC \o "1-3" \h \z \u </w:instrText>
          </w:r>
          <w:r w:rsidRPr="00796E84">
            <w:rPr>
              <w:rFonts w:ascii="Times New Roman" w:hAnsi="Times New Roman" w:cs="Times New Roman"/>
              <w:color w:val="000000" w:themeColor="text1"/>
              <w:szCs w:val="24"/>
            </w:rPr>
            <w:fldChar w:fldCharType="separate"/>
          </w:r>
          <w:hyperlink w:anchor="_Toc224846299" w:history="1">
            <w:r w:rsidRPr="00796E84">
              <w:rPr>
                <w:rStyle w:val="Hyperlink"/>
                <w:rFonts w:ascii="Times New Roman" w:hAnsi="Times New Roman" w:cs="Times New Roman"/>
                <w:noProof/>
                <w:color w:val="000000" w:themeColor="text1"/>
                <w:szCs w:val="24"/>
              </w:rPr>
              <w:t>Abstract</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_Toc224846299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w:t>
            </w:r>
            <w:r w:rsidRPr="00796E84">
              <w:rPr>
                <w:rFonts w:ascii="Times New Roman" w:hAnsi="Times New Roman" w:cs="Times New Roman"/>
                <w:noProof/>
                <w:webHidden/>
                <w:color w:val="000000" w:themeColor="text1"/>
                <w:szCs w:val="24"/>
              </w:rPr>
              <w:fldChar w:fldCharType="end"/>
            </w:r>
          </w:hyperlink>
        </w:p>
        <w:p w14:paraId="6F5170F6" w14:textId="77777777" w:rsidR="00B55503" w:rsidRPr="00796E84" w:rsidRDefault="00B55503" w:rsidP="00B55503">
          <w:pPr>
            <w:pStyle w:val="TOC2"/>
            <w:tabs>
              <w:tab w:val="right" w:leader="dot" w:pos="9350"/>
            </w:tabs>
            <w:rPr>
              <w:rFonts w:ascii="Times New Roman" w:hAnsi="Times New Roman" w:cs="Times New Roman"/>
              <w:noProof/>
              <w:color w:val="000000" w:themeColor="text1"/>
              <w:szCs w:val="24"/>
            </w:rPr>
          </w:pPr>
          <w:hyperlink w:anchor="_Toc224846300" w:history="1">
            <w:r w:rsidRPr="00796E84">
              <w:rPr>
                <w:rStyle w:val="Hyperlink"/>
                <w:rFonts w:ascii="Times New Roman" w:hAnsi="Times New Roman" w:cs="Times New Roman"/>
                <w:noProof/>
                <w:color w:val="000000" w:themeColor="text1"/>
                <w:szCs w:val="24"/>
              </w:rPr>
              <w:t>Introduction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_Toc224846300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4</w:t>
            </w:r>
            <w:r w:rsidRPr="00796E84">
              <w:rPr>
                <w:rFonts w:ascii="Times New Roman" w:hAnsi="Times New Roman" w:cs="Times New Roman"/>
                <w:noProof/>
                <w:webHidden/>
                <w:color w:val="000000" w:themeColor="text1"/>
                <w:szCs w:val="24"/>
              </w:rPr>
              <w:fldChar w:fldCharType="end"/>
            </w:r>
          </w:hyperlink>
        </w:p>
        <w:p w14:paraId="22678A93" w14:textId="77777777" w:rsidR="00B55503" w:rsidRPr="00796E84" w:rsidRDefault="00B55503" w:rsidP="00B55503">
          <w:pPr>
            <w:pStyle w:val="TOC2"/>
            <w:tabs>
              <w:tab w:val="right" w:leader="dot" w:pos="9350"/>
            </w:tabs>
            <w:rPr>
              <w:rFonts w:ascii="Times New Roman" w:hAnsi="Times New Roman" w:cs="Times New Roman"/>
              <w:noProof/>
              <w:color w:val="000000" w:themeColor="text1"/>
              <w:szCs w:val="24"/>
            </w:rPr>
          </w:pPr>
          <w:hyperlink w:anchor="_Toc224846301" w:history="1">
            <w:r w:rsidRPr="00796E84">
              <w:rPr>
                <w:rStyle w:val="Hyperlink"/>
                <w:rFonts w:ascii="Times New Roman" w:hAnsi="Times New Roman" w:cs="Times New Roman"/>
                <w:noProof/>
                <w:color w:val="000000" w:themeColor="text1"/>
                <w:szCs w:val="24"/>
              </w:rPr>
              <w:t>Literature Review</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_Toc224846301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6</w:t>
            </w:r>
            <w:r w:rsidRPr="00796E84">
              <w:rPr>
                <w:rFonts w:ascii="Times New Roman" w:hAnsi="Times New Roman" w:cs="Times New Roman"/>
                <w:noProof/>
                <w:webHidden/>
                <w:color w:val="000000" w:themeColor="text1"/>
                <w:szCs w:val="24"/>
              </w:rPr>
              <w:fldChar w:fldCharType="end"/>
            </w:r>
          </w:hyperlink>
        </w:p>
        <w:p w14:paraId="793BF0F5" w14:textId="77777777" w:rsidR="00B55503" w:rsidRPr="00796E84" w:rsidRDefault="00B55503" w:rsidP="00B55503">
          <w:pPr>
            <w:pStyle w:val="TOC2"/>
            <w:tabs>
              <w:tab w:val="right" w:leader="dot" w:pos="9350"/>
            </w:tabs>
            <w:rPr>
              <w:rFonts w:ascii="Times New Roman" w:hAnsi="Times New Roman" w:cs="Times New Roman"/>
              <w:noProof/>
              <w:color w:val="000000" w:themeColor="text1"/>
              <w:szCs w:val="24"/>
            </w:rPr>
          </w:pPr>
          <w:hyperlink w:anchor="_Toc224846302"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_Toc224846302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9</w:t>
            </w:r>
            <w:r w:rsidRPr="00796E84">
              <w:rPr>
                <w:rFonts w:ascii="Times New Roman" w:hAnsi="Times New Roman" w:cs="Times New Roman"/>
                <w:noProof/>
                <w:webHidden/>
                <w:color w:val="000000" w:themeColor="text1"/>
                <w:szCs w:val="24"/>
              </w:rPr>
              <w:fldChar w:fldCharType="end"/>
            </w:r>
          </w:hyperlink>
        </w:p>
        <w:p w14:paraId="0B97D2C1" w14:textId="77777777" w:rsidR="00B55503" w:rsidRPr="00796E84" w:rsidRDefault="00B55503" w:rsidP="00B55503">
          <w:pPr>
            <w:pStyle w:val="TOC2"/>
            <w:tabs>
              <w:tab w:val="right" w:leader="dot" w:pos="9350"/>
            </w:tabs>
            <w:rPr>
              <w:rFonts w:ascii="Times New Roman" w:hAnsi="Times New Roman" w:cs="Times New Roman"/>
              <w:noProof/>
              <w:color w:val="000000" w:themeColor="text1"/>
              <w:szCs w:val="24"/>
            </w:rPr>
          </w:pPr>
          <w:hyperlink w:anchor="_Toc224846303"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_Toc224846303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11</w:t>
            </w:r>
            <w:r w:rsidRPr="00796E84">
              <w:rPr>
                <w:rFonts w:ascii="Times New Roman" w:hAnsi="Times New Roman" w:cs="Times New Roman"/>
                <w:noProof/>
                <w:webHidden/>
                <w:color w:val="000000" w:themeColor="text1"/>
                <w:szCs w:val="24"/>
              </w:rPr>
              <w:fldChar w:fldCharType="end"/>
            </w:r>
          </w:hyperlink>
        </w:p>
        <w:p w14:paraId="5A7CF161" w14:textId="77777777" w:rsidR="00B55503" w:rsidRPr="00796E84" w:rsidRDefault="00B55503" w:rsidP="00B55503">
          <w:pPr>
            <w:pStyle w:val="TOC2"/>
            <w:tabs>
              <w:tab w:val="right" w:leader="dot" w:pos="9350"/>
            </w:tabs>
            <w:rPr>
              <w:rFonts w:ascii="Times New Roman" w:hAnsi="Times New Roman" w:cs="Times New Roman"/>
              <w:noProof/>
              <w:color w:val="000000" w:themeColor="text1"/>
              <w:szCs w:val="24"/>
            </w:rPr>
          </w:pPr>
          <w:hyperlink w:anchor="_Toc224846304" w:history="1">
            <w:r w:rsidRPr="00796E84">
              <w:rPr>
                <w:rStyle w:val="Hyperlink"/>
                <w:rFonts w:ascii="Times New Roman" w:hAnsi="Times New Roman" w:cs="Times New Roman"/>
                <w:noProof/>
                <w:color w:val="000000" w:themeColor="text1"/>
                <w:szCs w:val="24"/>
              </w:rPr>
              <w:t>Findings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_Toc224846304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13</w:t>
            </w:r>
            <w:r w:rsidRPr="00796E84">
              <w:rPr>
                <w:rFonts w:ascii="Times New Roman" w:hAnsi="Times New Roman" w:cs="Times New Roman"/>
                <w:noProof/>
                <w:webHidden/>
                <w:color w:val="000000" w:themeColor="text1"/>
                <w:szCs w:val="24"/>
              </w:rPr>
              <w:fldChar w:fldCharType="end"/>
            </w:r>
          </w:hyperlink>
        </w:p>
        <w:p w14:paraId="06450A15" w14:textId="77777777" w:rsidR="00B55503" w:rsidRPr="00796E84" w:rsidRDefault="00B55503" w:rsidP="00B55503">
          <w:pPr>
            <w:pStyle w:val="TOC2"/>
            <w:tabs>
              <w:tab w:val="right" w:leader="dot" w:pos="9350"/>
            </w:tabs>
            <w:rPr>
              <w:rFonts w:ascii="Times New Roman" w:hAnsi="Times New Roman" w:cs="Times New Roman"/>
              <w:noProof/>
              <w:color w:val="000000" w:themeColor="text1"/>
              <w:szCs w:val="24"/>
            </w:rPr>
          </w:pPr>
          <w:hyperlink w:anchor="_Toc224846305" w:history="1">
            <w:r w:rsidRPr="00796E84">
              <w:rPr>
                <w:rStyle w:val="Hyperlink"/>
                <w:rFonts w:ascii="Times New Roman" w:hAnsi="Times New Roman" w:cs="Times New Roman"/>
                <w:noProof/>
                <w:color w:val="000000" w:themeColor="text1"/>
                <w:szCs w:val="24"/>
              </w:rPr>
              <w:t>Discussion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_Toc224846305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16</w:t>
            </w:r>
            <w:r w:rsidRPr="00796E84">
              <w:rPr>
                <w:rFonts w:ascii="Times New Roman" w:hAnsi="Times New Roman" w:cs="Times New Roman"/>
                <w:noProof/>
                <w:webHidden/>
                <w:color w:val="000000" w:themeColor="text1"/>
                <w:szCs w:val="24"/>
              </w:rPr>
              <w:fldChar w:fldCharType="end"/>
            </w:r>
          </w:hyperlink>
        </w:p>
        <w:p w14:paraId="21A07410" w14:textId="77777777" w:rsidR="00B55503" w:rsidRPr="00796E84" w:rsidRDefault="00B55503" w:rsidP="00B55503">
          <w:pPr>
            <w:pStyle w:val="TOC2"/>
            <w:tabs>
              <w:tab w:val="right" w:leader="dot" w:pos="9350"/>
            </w:tabs>
            <w:rPr>
              <w:rFonts w:ascii="Times New Roman" w:hAnsi="Times New Roman" w:cs="Times New Roman"/>
              <w:noProof/>
              <w:color w:val="000000" w:themeColor="text1"/>
              <w:szCs w:val="24"/>
            </w:rPr>
          </w:pPr>
          <w:hyperlink w:anchor="_Toc224846306" w:history="1">
            <w:r w:rsidRPr="00796E84">
              <w:rPr>
                <w:rStyle w:val="Hyperlink"/>
                <w:rFonts w:ascii="Times New Roman" w:hAnsi="Times New Roman" w:cs="Times New Roman"/>
                <w:noProof/>
                <w:color w:val="000000" w:themeColor="text1"/>
                <w:szCs w:val="24"/>
              </w:rPr>
              <w:t>Conclusion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_Toc224846306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20</w:t>
            </w:r>
            <w:r w:rsidRPr="00796E84">
              <w:rPr>
                <w:rFonts w:ascii="Times New Roman" w:hAnsi="Times New Roman" w:cs="Times New Roman"/>
                <w:noProof/>
                <w:webHidden/>
                <w:color w:val="000000" w:themeColor="text1"/>
                <w:szCs w:val="24"/>
              </w:rPr>
              <w:fldChar w:fldCharType="end"/>
            </w:r>
          </w:hyperlink>
        </w:p>
        <w:p w14:paraId="239158A4" w14:textId="77777777" w:rsidR="00B55503" w:rsidRPr="00796E84" w:rsidRDefault="00B55503" w:rsidP="00B55503">
          <w:pPr>
            <w:pStyle w:val="TOC2"/>
            <w:tabs>
              <w:tab w:val="right" w:leader="dot" w:pos="9350"/>
            </w:tabs>
            <w:rPr>
              <w:rFonts w:ascii="Times New Roman" w:hAnsi="Times New Roman" w:cs="Times New Roman"/>
              <w:noProof/>
              <w:color w:val="000000" w:themeColor="text1"/>
              <w:szCs w:val="24"/>
            </w:rPr>
          </w:pPr>
          <w:hyperlink w:anchor="_Toc224846307" w:history="1">
            <w:r w:rsidRPr="00796E84">
              <w:rPr>
                <w:rStyle w:val="Hyperlink"/>
                <w:rFonts w:ascii="Times New Roman" w:hAnsi="Times New Roman" w:cs="Times New Roman"/>
                <w:noProof/>
                <w:color w:val="000000" w:themeColor="text1"/>
                <w:szCs w:val="24"/>
              </w:rPr>
              <w:t>References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_Toc224846307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22</w:t>
            </w:r>
            <w:r w:rsidRPr="00796E84">
              <w:rPr>
                <w:rFonts w:ascii="Times New Roman" w:hAnsi="Times New Roman" w:cs="Times New Roman"/>
                <w:noProof/>
                <w:webHidden/>
                <w:color w:val="000000" w:themeColor="text1"/>
                <w:szCs w:val="24"/>
              </w:rPr>
              <w:fldChar w:fldCharType="end"/>
            </w:r>
          </w:hyperlink>
        </w:p>
        <w:p w14:paraId="1A02425A" w14:textId="77777777" w:rsidR="00B55503" w:rsidRPr="00796E84" w:rsidRDefault="00B55503" w:rsidP="00B55503">
          <w:pPr>
            <w:rPr>
              <w:rFonts w:ascii="Times New Roman" w:hAnsi="Times New Roman" w:cs="Times New Roman"/>
              <w:color w:val="000000" w:themeColor="text1"/>
              <w:szCs w:val="24"/>
            </w:rPr>
          </w:pPr>
          <w:r w:rsidRPr="00796E84">
            <w:rPr>
              <w:rFonts w:ascii="Times New Roman" w:hAnsi="Times New Roman" w:cs="Times New Roman"/>
              <w:b/>
              <w:bCs/>
              <w:noProof/>
              <w:color w:val="000000" w:themeColor="text1"/>
              <w:szCs w:val="24"/>
            </w:rPr>
            <w:fldChar w:fldCharType="end"/>
          </w:r>
        </w:p>
      </w:sdtContent>
    </w:sdt>
    <w:p w14:paraId="63B84811" w14:textId="77777777" w:rsidR="00B55503" w:rsidRPr="00796E84" w:rsidRDefault="00B55503" w:rsidP="00B55503">
      <w:pPr>
        <w:spacing w:line="480" w:lineRule="auto"/>
        <w:rPr>
          <w:rFonts w:ascii="Times New Roman" w:hAnsi="Times New Roman" w:cs="Times New Roman"/>
          <w:b/>
          <w:bCs/>
          <w:color w:val="000000" w:themeColor="text1"/>
          <w:szCs w:val="24"/>
        </w:rPr>
      </w:pPr>
    </w:p>
    <w:p w14:paraId="2FB1980E" w14:textId="77777777" w:rsidR="00B55503" w:rsidRPr="00796E84" w:rsidRDefault="00B55503" w:rsidP="00B55503">
      <w:pPr>
        <w:spacing w:line="480" w:lineRule="auto"/>
        <w:rPr>
          <w:rFonts w:ascii="Times New Roman" w:hAnsi="Times New Roman" w:cs="Times New Roman"/>
          <w:b/>
          <w:bCs/>
          <w:color w:val="000000" w:themeColor="text1"/>
          <w:szCs w:val="24"/>
        </w:rPr>
      </w:pPr>
    </w:p>
    <w:p w14:paraId="4B232FCC" w14:textId="77777777" w:rsidR="00B55503" w:rsidRPr="00796E84" w:rsidRDefault="00B55503" w:rsidP="00B55503">
      <w:pPr>
        <w:spacing w:line="480" w:lineRule="auto"/>
        <w:rPr>
          <w:rFonts w:ascii="Times New Roman" w:hAnsi="Times New Roman" w:cs="Times New Roman"/>
          <w:b/>
          <w:bCs/>
          <w:color w:val="000000" w:themeColor="text1"/>
          <w:szCs w:val="24"/>
        </w:rPr>
      </w:pPr>
    </w:p>
    <w:p w14:paraId="1FED6F5E" w14:textId="77777777" w:rsidR="00B55503" w:rsidRPr="00796E84" w:rsidRDefault="00B55503" w:rsidP="00B55503">
      <w:pPr>
        <w:spacing w:line="480" w:lineRule="auto"/>
        <w:rPr>
          <w:rFonts w:ascii="Times New Roman" w:hAnsi="Times New Roman" w:cs="Times New Roman"/>
          <w:b/>
          <w:bCs/>
          <w:color w:val="000000" w:themeColor="text1"/>
          <w:szCs w:val="24"/>
        </w:rPr>
      </w:pPr>
    </w:p>
    <w:p w14:paraId="72D61CD9" w14:textId="77777777" w:rsidR="00B55503" w:rsidRPr="00796E84" w:rsidRDefault="00B55503" w:rsidP="00B55503">
      <w:pPr>
        <w:spacing w:line="480" w:lineRule="auto"/>
        <w:rPr>
          <w:rFonts w:ascii="Times New Roman" w:hAnsi="Times New Roman" w:cs="Times New Roman"/>
          <w:b/>
          <w:bCs/>
          <w:color w:val="000000" w:themeColor="text1"/>
          <w:szCs w:val="24"/>
        </w:rPr>
      </w:pPr>
    </w:p>
    <w:p w14:paraId="1B1D9769" w14:textId="77777777" w:rsidR="00B55503" w:rsidRPr="00796E84" w:rsidRDefault="00B55503" w:rsidP="00B55503">
      <w:pPr>
        <w:spacing w:line="480" w:lineRule="auto"/>
        <w:rPr>
          <w:rFonts w:ascii="Times New Roman" w:hAnsi="Times New Roman" w:cs="Times New Roman"/>
          <w:b/>
          <w:bCs/>
          <w:color w:val="000000" w:themeColor="text1"/>
          <w:szCs w:val="24"/>
        </w:rPr>
      </w:pPr>
    </w:p>
    <w:p w14:paraId="5946643F" w14:textId="77777777" w:rsidR="00B55503" w:rsidRPr="00796E84" w:rsidRDefault="00B55503" w:rsidP="00B55503">
      <w:pPr>
        <w:spacing w:line="480" w:lineRule="auto"/>
        <w:rPr>
          <w:rFonts w:ascii="Times New Roman" w:hAnsi="Times New Roman" w:cs="Times New Roman"/>
          <w:b/>
          <w:bCs/>
          <w:color w:val="000000" w:themeColor="text1"/>
          <w:szCs w:val="24"/>
        </w:rPr>
      </w:pPr>
    </w:p>
    <w:p w14:paraId="7C809B33" w14:textId="77777777" w:rsidR="00B55503" w:rsidRPr="00796E84" w:rsidRDefault="00B55503" w:rsidP="00B55503">
      <w:pPr>
        <w:spacing w:line="480" w:lineRule="auto"/>
        <w:rPr>
          <w:rFonts w:ascii="Times New Roman" w:hAnsi="Times New Roman" w:cs="Times New Roman"/>
          <w:b/>
          <w:bCs/>
          <w:color w:val="000000" w:themeColor="text1"/>
          <w:szCs w:val="24"/>
        </w:rPr>
      </w:pPr>
    </w:p>
    <w:p w14:paraId="6CCEFD51" w14:textId="77777777" w:rsidR="00B55503" w:rsidRDefault="00B55503" w:rsidP="00B55503">
      <w:pPr>
        <w:spacing w:line="480" w:lineRule="auto"/>
        <w:rPr>
          <w:rFonts w:ascii="Times New Roman" w:hAnsi="Times New Roman" w:cs="Times New Roman"/>
          <w:b/>
          <w:bCs/>
          <w:color w:val="000000" w:themeColor="text1"/>
          <w:szCs w:val="24"/>
        </w:rPr>
      </w:pPr>
    </w:p>
    <w:p w14:paraId="5BD90E20" w14:textId="77777777" w:rsidR="00B55503" w:rsidRPr="00796E84" w:rsidRDefault="00B55503" w:rsidP="00B55503">
      <w:pPr>
        <w:spacing w:line="480" w:lineRule="auto"/>
        <w:rPr>
          <w:rFonts w:ascii="Times New Roman" w:hAnsi="Times New Roman" w:cs="Times New Roman"/>
          <w:b/>
          <w:bCs/>
          <w:color w:val="000000" w:themeColor="text1"/>
          <w:szCs w:val="24"/>
        </w:rPr>
      </w:pPr>
    </w:p>
    <w:p w14:paraId="30FFCBA6" w14:textId="77777777" w:rsidR="00B55503" w:rsidRPr="00796E84" w:rsidRDefault="00B55503" w:rsidP="00B55503">
      <w:pPr>
        <w:spacing w:line="480" w:lineRule="auto"/>
        <w:rPr>
          <w:rFonts w:ascii="Times New Roman" w:hAnsi="Times New Roman" w:cs="Times New Roman"/>
          <w:b/>
          <w:bCs/>
          <w:color w:val="000000" w:themeColor="text1"/>
          <w:szCs w:val="24"/>
        </w:rPr>
      </w:pPr>
    </w:p>
    <w:p w14:paraId="603479F7" w14:textId="77777777" w:rsidR="00B55503" w:rsidRPr="00796E84" w:rsidRDefault="00B55503" w:rsidP="00B55503">
      <w:pPr>
        <w:spacing w:line="480" w:lineRule="auto"/>
        <w:rPr>
          <w:rFonts w:ascii="Times New Roman" w:hAnsi="Times New Roman" w:cs="Times New Roman"/>
          <w:b/>
          <w:bCs/>
          <w:color w:val="000000" w:themeColor="text1"/>
          <w:szCs w:val="24"/>
        </w:rPr>
      </w:pPr>
    </w:p>
    <w:p w14:paraId="5837F0B1" w14:textId="77777777" w:rsidR="00B55503" w:rsidRPr="00796E84" w:rsidRDefault="00B55503" w:rsidP="00B55503">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Introduction</w:t>
      </w:r>
    </w:p>
    <w:p w14:paraId="42B89C6C"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In today’s highly competitive and rapidly evolving business environment, organizations increasingly recognize that human capital is a key source of sustainable competitive advantage (Barney, 1991; Becker &amp; </w:t>
      </w:r>
      <w:proofErr w:type="spellStart"/>
      <w:r w:rsidRPr="0096763F">
        <w:rPr>
          <w:rFonts w:ascii="Times New Roman" w:eastAsiaTheme="majorEastAsia" w:hAnsi="Times New Roman" w:cs="Times New Roman"/>
          <w:color w:val="000000" w:themeColor="text1"/>
          <w:szCs w:val="24"/>
        </w:rPr>
        <w:t>Huselid</w:t>
      </w:r>
      <w:proofErr w:type="spellEnd"/>
      <w:r w:rsidRPr="0096763F">
        <w:rPr>
          <w:rFonts w:ascii="Times New Roman" w:eastAsiaTheme="majorEastAsia" w:hAnsi="Times New Roman" w:cs="Times New Roman"/>
          <w:color w:val="000000" w:themeColor="text1"/>
          <w:szCs w:val="24"/>
        </w:rPr>
        <w:t xml:space="preserve">, 1998). Talent management and employee engagement have thus become central to strategic human resource management, particularly in innovation-driven industries where creativity and knowledge are essential assets (Collings &amp; </w:t>
      </w:r>
      <w:proofErr w:type="spellStart"/>
      <w:r w:rsidRPr="0096763F">
        <w:rPr>
          <w:rFonts w:ascii="Times New Roman" w:eastAsiaTheme="majorEastAsia" w:hAnsi="Times New Roman" w:cs="Times New Roman"/>
          <w:color w:val="000000" w:themeColor="text1"/>
          <w:szCs w:val="24"/>
        </w:rPr>
        <w:t>Mellahi</w:t>
      </w:r>
      <w:proofErr w:type="spellEnd"/>
      <w:r w:rsidRPr="0096763F">
        <w:rPr>
          <w:rFonts w:ascii="Times New Roman" w:eastAsiaTheme="majorEastAsia" w:hAnsi="Times New Roman" w:cs="Times New Roman"/>
          <w:color w:val="000000" w:themeColor="text1"/>
          <w:szCs w:val="24"/>
        </w:rPr>
        <w:t>, 2009; Tarique &amp; Schuler, 2010). Companies such as Google exemplify how effective management of talent can translate into superior organizational performance and long-term success.</w:t>
      </w:r>
    </w:p>
    <w:p w14:paraId="3F55A51D"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Talent management refers to the systematic attraction, identification, development, engagement, and retention of individuals who are of </w:t>
      </w:r>
      <w:proofErr w:type="gramStart"/>
      <w:r w:rsidRPr="0096763F">
        <w:rPr>
          <w:rFonts w:ascii="Times New Roman" w:eastAsiaTheme="majorEastAsia" w:hAnsi="Times New Roman" w:cs="Times New Roman"/>
          <w:color w:val="000000" w:themeColor="text1"/>
          <w:szCs w:val="24"/>
        </w:rPr>
        <w:t>particular value</w:t>
      </w:r>
      <w:proofErr w:type="gramEnd"/>
      <w:r w:rsidRPr="0096763F">
        <w:rPr>
          <w:rFonts w:ascii="Times New Roman" w:eastAsiaTheme="majorEastAsia" w:hAnsi="Times New Roman" w:cs="Times New Roman"/>
          <w:color w:val="000000" w:themeColor="text1"/>
          <w:szCs w:val="24"/>
        </w:rPr>
        <w:t xml:space="preserve"> to an organization (Lewis &amp; Heckman, 2006; Cappelli, 2008). Meanwhile, employee engagement is defined as a positive, fulfilling work-related state characterized by </w:t>
      </w:r>
      <w:proofErr w:type="spellStart"/>
      <w:r w:rsidRPr="0096763F">
        <w:rPr>
          <w:rFonts w:ascii="Times New Roman" w:eastAsiaTheme="majorEastAsia" w:hAnsi="Times New Roman" w:cs="Times New Roman"/>
          <w:color w:val="000000" w:themeColor="text1"/>
          <w:szCs w:val="24"/>
        </w:rPr>
        <w:t>vigor</w:t>
      </w:r>
      <w:proofErr w:type="spellEnd"/>
      <w:r w:rsidRPr="0096763F">
        <w:rPr>
          <w:rFonts w:ascii="Times New Roman" w:eastAsiaTheme="majorEastAsia" w:hAnsi="Times New Roman" w:cs="Times New Roman"/>
          <w:color w:val="000000" w:themeColor="text1"/>
          <w:szCs w:val="24"/>
        </w:rPr>
        <w:t>, dedication, and absorption (Schaufeli et al., 2002; Saks, 2006). Research consistently demonstrates that organizations with highly engaged employees experience better productivity, innovation, and financial performance (Harter et al., 2002; Rich et al., 2010). Consequently, the integration of talent management and engagement strategies has become a strategic imperative for modern organizations.</w:t>
      </w:r>
    </w:p>
    <w:p w14:paraId="53AC271F"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Google, a global leader in technology and innovation, provides a compelling case study for examining these concepts in practice. The company has gained widespread recognition for its unique organizational culture, data-driven human resource practices, and employee-centric policies (Bock, 2015; Garvin, 2013). Google’s approach to talent management emphasizes rigorous recruitment processes, continuous learning opportunities, and the use of People Analytics to inform decision-making (Bryant, 2011; Davenport et al., 2010). These practices are </w:t>
      </w:r>
      <w:r w:rsidRPr="0096763F">
        <w:rPr>
          <w:rFonts w:ascii="Times New Roman" w:eastAsiaTheme="majorEastAsia" w:hAnsi="Times New Roman" w:cs="Times New Roman"/>
          <w:color w:val="000000" w:themeColor="text1"/>
          <w:szCs w:val="24"/>
        </w:rPr>
        <w:lastRenderedPageBreak/>
        <w:t>designed not only to attract top talent but also to foster an environment where employees can thrive and contribute meaningfully to organizational goals.</w:t>
      </w:r>
    </w:p>
    <w:p w14:paraId="0E65A515"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Moreover, Google’s employee engagement strategies focus on autonomy, collaboration, and psychological safety—factors that are critical for innovation and knowledge sharing (Edmondson, 1999; Deci &amp; Ryan, 2000). Initiatives such as flexible work arrangements, open communication channels, and recognition programs enhance employee satisfaction and commitment (Kahn, 1990; Bakker &amp; Demerouti, 2008). Empirical studies suggest that such practices lead to higher levels of creativity and problem-solving, which are essential for maintaining competitive advantage in the technology sector (Amabile, 1996; West &amp; Farr, 1990).</w:t>
      </w:r>
    </w:p>
    <w:p w14:paraId="6C7AE1C8"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This report aims to </w:t>
      </w:r>
      <w:proofErr w:type="spellStart"/>
      <w:r w:rsidRPr="0096763F">
        <w:rPr>
          <w:rFonts w:ascii="Times New Roman" w:eastAsiaTheme="majorEastAsia" w:hAnsi="Times New Roman" w:cs="Times New Roman"/>
          <w:color w:val="000000" w:themeColor="text1"/>
          <w:szCs w:val="24"/>
        </w:rPr>
        <w:t>analyze</w:t>
      </w:r>
      <w:proofErr w:type="spellEnd"/>
      <w:r w:rsidRPr="0096763F">
        <w:rPr>
          <w:rFonts w:ascii="Times New Roman" w:eastAsiaTheme="majorEastAsia" w:hAnsi="Times New Roman" w:cs="Times New Roman"/>
          <w:color w:val="000000" w:themeColor="text1"/>
          <w:szCs w:val="24"/>
        </w:rPr>
        <w:t xml:space="preserve"> Google’s talent management and employee engagement strategies and evaluate their impact on organizational performance. Specifically, it seeks to address how Google’s approach to attracting, developing, and retaining talent contributes to its innovation culture and market leadership. Additionally, the report examines the relationship between employee engagement and organizational outcomes, including productivity, satisfaction, and retention.</w:t>
      </w:r>
    </w:p>
    <w:p w14:paraId="4134969D"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By integrating theoretical perspectives with real-world practices, this study provides insights into how organizations can design effective talent management systems that enhance employee engagement and drive performance. The findings are expected to contribute to both academic literature and managerial practice by highlighting the critical role of human resource strategies in achieving organizational excellence (Guest, 2011; Boxall &amp; Purcell, 2016).</w:t>
      </w:r>
    </w:p>
    <w:p w14:paraId="74CEF023" w14:textId="77777777" w:rsidR="00B55503" w:rsidRDefault="00B55503" w:rsidP="00B55503">
      <w:pPr>
        <w:spacing w:line="480" w:lineRule="auto"/>
        <w:rPr>
          <w:rFonts w:ascii="Times New Roman" w:eastAsiaTheme="majorEastAsia" w:hAnsi="Times New Roman" w:cs="Times New Roman"/>
          <w:b/>
          <w:bCs/>
          <w:color w:val="000000" w:themeColor="text1"/>
          <w:szCs w:val="24"/>
        </w:rPr>
      </w:pPr>
    </w:p>
    <w:p w14:paraId="54B165FC"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41DF706A" w14:textId="77777777" w:rsidR="00B55503" w:rsidRPr="00796E84" w:rsidRDefault="00B55503" w:rsidP="00B55503">
      <w:pPr>
        <w:spacing w:line="480" w:lineRule="auto"/>
        <w:rPr>
          <w:rFonts w:ascii="Times New Roman" w:eastAsiaTheme="majorEastAsia" w:hAnsi="Times New Roman" w:cs="Times New Roman"/>
          <w:b/>
          <w:bCs/>
          <w:color w:val="000000" w:themeColor="text1"/>
          <w:szCs w:val="24"/>
        </w:rPr>
      </w:pPr>
      <w:r>
        <w:rPr>
          <w:rFonts w:ascii="Times New Roman" w:eastAsiaTheme="majorEastAsia" w:hAnsi="Times New Roman" w:cs="Times New Roman"/>
          <w:b/>
          <w:bCs/>
          <w:color w:val="000000" w:themeColor="text1"/>
          <w:szCs w:val="24"/>
        </w:rPr>
        <w:lastRenderedPageBreak/>
        <w:t xml:space="preserve">Literature review </w:t>
      </w:r>
    </w:p>
    <w:p w14:paraId="726C4080"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Talent management and employee engagement have been extensively studied within the field of strategic human resource management due to their significant impact on organizational performance. Talent management is broadly conceptualized as a set of integrated organizational processes designed to attract, develop, motivate, and retain employees with high potential and critical skills (Collings &amp; </w:t>
      </w:r>
      <w:proofErr w:type="spellStart"/>
      <w:r w:rsidRPr="0096763F">
        <w:rPr>
          <w:rFonts w:ascii="Times New Roman" w:eastAsiaTheme="majorEastAsia" w:hAnsi="Times New Roman" w:cs="Times New Roman"/>
          <w:color w:val="000000" w:themeColor="text1"/>
          <w:szCs w:val="24"/>
        </w:rPr>
        <w:t>Mellahi</w:t>
      </w:r>
      <w:proofErr w:type="spellEnd"/>
      <w:r w:rsidRPr="0096763F">
        <w:rPr>
          <w:rFonts w:ascii="Times New Roman" w:eastAsiaTheme="majorEastAsia" w:hAnsi="Times New Roman" w:cs="Times New Roman"/>
          <w:color w:val="000000" w:themeColor="text1"/>
          <w:szCs w:val="24"/>
        </w:rPr>
        <w:t>, 2009; Lewis &amp; Heckman, 2006). Scholars argue that effective talent management systems are aligned with organizational strategy and contribute to sustained competitive advantage (Barney, 1991; Boxall &amp; Purcell, 2016).</w:t>
      </w:r>
    </w:p>
    <w:p w14:paraId="3DF35B85"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One of the key theoretical foundations underpinning talent management is the </w:t>
      </w:r>
      <w:r w:rsidRPr="0096763F">
        <w:rPr>
          <w:rFonts w:ascii="Times New Roman" w:eastAsiaTheme="majorEastAsia" w:hAnsi="Times New Roman" w:cs="Times New Roman"/>
          <w:b/>
          <w:bCs/>
          <w:color w:val="000000" w:themeColor="text1"/>
          <w:szCs w:val="24"/>
        </w:rPr>
        <w:t>Resource-Based View (RBV)</w:t>
      </w:r>
      <w:r w:rsidRPr="0096763F">
        <w:rPr>
          <w:rFonts w:ascii="Times New Roman" w:eastAsiaTheme="majorEastAsia" w:hAnsi="Times New Roman" w:cs="Times New Roman"/>
          <w:color w:val="000000" w:themeColor="text1"/>
          <w:szCs w:val="24"/>
        </w:rPr>
        <w:t xml:space="preserve">, which posits that unique, valuable, and inimitable human resources are central to firm success (Barney, 1991). In this context, organizations like Google invest heavily in human capital to foster innovation and maintain market leadership (Bock, 2015). Empirical studies support the notion that firms with strong talent management practices outperform competitors in terms of productivity and financial outcomes (Becker &amp; </w:t>
      </w:r>
      <w:proofErr w:type="spellStart"/>
      <w:r w:rsidRPr="0096763F">
        <w:rPr>
          <w:rFonts w:ascii="Times New Roman" w:eastAsiaTheme="majorEastAsia" w:hAnsi="Times New Roman" w:cs="Times New Roman"/>
          <w:color w:val="000000" w:themeColor="text1"/>
          <w:szCs w:val="24"/>
        </w:rPr>
        <w:t>Huselid</w:t>
      </w:r>
      <w:proofErr w:type="spellEnd"/>
      <w:r w:rsidRPr="0096763F">
        <w:rPr>
          <w:rFonts w:ascii="Times New Roman" w:eastAsiaTheme="majorEastAsia" w:hAnsi="Times New Roman" w:cs="Times New Roman"/>
          <w:color w:val="000000" w:themeColor="text1"/>
          <w:szCs w:val="24"/>
        </w:rPr>
        <w:t>, 1998; Cappelli, 2008).</w:t>
      </w:r>
    </w:p>
    <w:p w14:paraId="3C0AE23F"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Employee engagement, on the other hand, is grounded in psychological and motivational theories. Kahn (1990) introduced the concept of engagement as the harnessing of employees’ physical, cognitive, and emotional energies in their work roles. Later, Schaufeli et al. (2002) operationalized engagement as a positive work-related state characterized by </w:t>
      </w:r>
      <w:proofErr w:type="spellStart"/>
      <w:r w:rsidRPr="0096763F">
        <w:rPr>
          <w:rFonts w:ascii="Times New Roman" w:eastAsiaTheme="majorEastAsia" w:hAnsi="Times New Roman" w:cs="Times New Roman"/>
          <w:color w:val="000000" w:themeColor="text1"/>
          <w:szCs w:val="24"/>
        </w:rPr>
        <w:t>vigor</w:t>
      </w:r>
      <w:proofErr w:type="spellEnd"/>
      <w:r w:rsidRPr="0096763F">
        <w:rPr>
          <w:rFonts w:ascii="Times New Roman" w:eastAsiaTheme="majorEastAsia" w:hAnsi="Times New Roman" w:cs="Times New Roman"/>
          <w:color w:val="000000" w:themeColor="text1"/>
          <w:szCs w:val="24"/>
        </w:rPr>
        <w:t xml:space="preserve">, dedication, and absorption. The </w:t>
      </w:r>
      <w:r w:rsidRPr="0096763F">
        <w:rPr>
          <w:rFonts w:ascii="Times New Roman" w:eastAsiaTheme="majorEastAsia" w:hAnsi="Times New Roman" w:cs="Times New Roman"/>
          <w:b/>
          <w:bCs/>
          <w:color w:val="000000" w:themeColor="text1"/>
          <w:szCs w:val="24"/>
        </w:rPr>
        <w:t>Job Demands-Resources (JD-R) model</w:t>
      </w:r>
      <w:r w:rsidRPr="0096763F">
        <w:rPr>
          <w:rFonts w:ascii="Times New Roman" w:eastAsiaTheme="majorEastAsia" w:hAnsi="Times New Roman" w:cs="Times New Roman"/>
          <w:color w:val="000000" w:themeColor="text1"/>
          <w:szCs w:val="24"/>
        </w:rPr>
        <w:t xml:space="preserve"> further explains that engagement arises when employees have access to sufficient job resources such as autonomy, feedback, and social support (Bakker &amp; Demerouti, 2008; Bakker et al., 2014).</w:t>
      </w:r>
    </w:p>
    <w:p w14:paraId="08965811"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lastRenderedPageBreak/>
        <w:t>Research indicates a strong relationship between employee engagement and organizational outcomes. Engaged employees are more productive, demonstrate higher levels of creativity, and exhibit lower turnover intentions (Harter et al., 2002; Rich et al., 2010). Additionally, Saks (2006) found that engagement mediates the relationship between HR practices and organizational performance, suggesting that effective talent management enhances outcomes through increased employee involvement and commitment.</w:t>
      </w:r>
    </w:p>
    <w:p w14:paraId="0ABD3B1A"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Google’s approach to talent management has been widely cited as a benchmark in both academic and practitioner literature. The company employs rigorous recruitment processes that prioritize cognitive ability, problem-solving skills, and cultural fit (Bryant, 2011; Garvin, 2013). Furthermore, Google leverages </w:t>
      </w:r>
      <w:r w:rsidRPr="0096763F">
        <w:rPr>
          <w:rFonts w:ascii="Times New Roman" w:eastAsiaTheme="majorEastAsia" w:hAnsi="Times New Roman" w:cs="Times New Roman"/>
          <w:b/>
          <w:bCs/>
          <w:color w:val="000000" w:themeColor="text1"/>
          <w:szCs w:val="24"/>
        </w:rPr>
        <w:t>People Analytics</w:t>
      </w:r>
      <w:r w:rsidRPr="0096763F">
        <w:rPr>
          <w:rFonts w:ascii="Times New Roman" w:eastAsiaTheme="majorEastAsia" w:hAnsi="Times New Roman" w:cs="Times New Roman"/>
          <w:color w:val="000000" w:themeColor="text1"/>
          <w:szCs w:val="24"/>
        </w:rPr>
        <w:t xml:space="preserve"> to make evidence-based HR decisions, a practice that has been shown to improve hiring accuracy and employee retention (Davenport et al., 2010; Bock, 2015). These analytics-driven practices align with broader trends in HR toward data-driven decision-making (Marler &amp; Boudreau, 2017).</w:t>
      </w:r>
    </w:p>
    <w:p w14:paraId="18910D65"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In terms of employee engagement, Google emphasizes autonomy, innovation, and psychological safety. The concept of psychological safety, introduced by Edmondson (1999), refers to a shared belief that the work environment is safe for interpersonal risk-taking. Google’s internal research, such as Project Aristotle, identified psychological safety as a key determinant of team effectiveness (Rozovsky, 2015). This finding is consistent with broader research linking supportive work environments to enhanced learning and innovation (Edmondson &amp; Lei, 2014).</w:t>
      </w:r>
    </w:p>
    <w:p w14:paraId="0FBB90F8"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Additionally, self-determination theory suggests that fulfilling employees’ needs for autonomy, competence, and relatedness enhances intrinsic motivation and engagement (Deci &amp; Ryan, 2000; </w:t>
      </w:r>
      <w:proofErr w:type="spellStart"/>
      <w:r w:rsidRPr="0096763F">
        <w:rPr>
          <w:rFonts w:ascii="Times New Roman" w:eastAsiaTheme="majorEastAsia" w:hAnsi="Times New Roman" w:cs="Times New Roman"/>
          <w:color w:val="000000" w:themeColor="text1"/>
          <w:szCs w:val="24"/>
        </w:rPr>
        <w:t>Gagné</w:t>
      </w:r>
      <w:proofErr w:type="spellEnd"/>
      <w:r w:rsidRPr="0096763F">
        <w:rPr>
          <w:rFonts w:ascii="Times New Roman" w:eastAsiaTheme="majorEastAsia" w:hAnsi="Times New Roman" w:cs="Times New Roman"/>
          <w:color w:val="000000" w:themeColor="text1"/>
          <w:szCs w:val="24"/>
        </w:rPr>
        <w:t xml:space="preserve"> &amp; Deci, 2005). Google’s practices—such as flexible work arrangements, opportunities for </w:t>
      </w:r>
      <w:r w:rsidRPr="0096763F">
        <w:rPr>
          <w:rFonts w:ascii="Times New Roman" w:eastAsiaTheme="majorEastAsia" w:hAnsi="Times New Roman" w:cs="Times New Roman"/>
          <w:color w:val="000000" w:themeColor="text1"/>
          <w:szCs w:val="24"/>
        </w:rPr>
        <w:lastRenderedPageBreak/>
        <w:t>continuous learning, and collaborative workspaces—reflect these principles and contribute to high levels of employee satisfaction (Bock, 2015; Garvin, 2013).</w:t>
      </w:r>
    </w:p>
    <w:p w14:paraId="29B53331"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Despite the positive outcomes associated with Google’s strategies, some scholars highlight potential challenges. For instance, maintaining high levels of engagement in large, rapidly growing organizations can be difficult due to increased complexity and coordination issues (Collings et al., 2015). Moreover, the effectiveness of talent management practices may vary across cultural and organizational contexts (Tarique &amp; Schuler, 2010).</w:t>
      </w:r>
    </w:p>
    <w:p w14:paraId="2779A203"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Overall, the literature suggests that integrating talent management and employee engagement strategies is essential for enhancing organizational performance. Google’s practices exemplify how aligning HR strategies with organizational goals can create a high-performance work environment that fosters innovation, employee well-being, and sustained competitive advantage.</w:t>
      </w:r>
    </w:p>
    <w:p w14:paraId="405E3B44"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7F1754B3"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0E00DD88"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654C09E6"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6750A855"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4283E579"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02264D1B"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56C036B3"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2EDBCACD"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2FA62375" w14:textId="26FF653E" w:rsidR="00B55503" w:rsidRDefault="00B55503" w:rsidP="00B55503">
      <w:pPr>
        <w:spacing w:line="480" w:lineRule="auto"/>
        <w:rPr>
          <w:rFonts w:ascii="Times New Roman" w:eastAsiaTheme="majorEastAsia" w:hAnsi="Times New Roman" w:cs="Times New Roman"/>
          <w:b/>
          <w:bCs/>
          <w:color w:val="000000" w:themeColor="text1"/>
          <w:szCs w:val="24"/>
        </w:rPr>
      </w:pPr>
      <w:r w:rsidRPr="007F1CBB">
        <w:rPr>
          <w:rFonts w:ascii="Times New Roman" w:eastAsiaTheme="majorEastAsia" w:hAnsi="Times New Roman" w:cs="Times New Roman"/>
          <w:b/>
          <w:bCs/>
          <w:color w:val="000000" w:themeColor="text1"/>
          <w:szCs w:val="24"/>
        </w:rPr>
        <w:lastRenderedPageBreak/>
        <w:t xml:space="preserve">Methodology </w:t>
      </w:r>
    </w:p>
    <w:p w14:paraId="182D3373"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This report adopts a </w:t>
      </w:r>
      <w:r w:rsidRPr="0096763F">
        <w:rPr>
          <w:rFonts w:ascii="Times New Roman" w:eastAsiaTheme="majorEastAsia" w:hAnsi="Times New Roman" w:cs="Times New Roman"/>
          <w:b/>
          <w:bCs/>
          <w:color w:val="000000" w:themeColor="text1"/>
          <w:szCs w:val="24"/>
        </w:rPr>
        <w:t>qualitative case study approach</w:t>
      </w:r>
      <w:r w:rsidRPr="0096763F">
        <w:rPr>
          <w:rFonts w:ascii="Times New Roman" w:eastAsiaTheme="majorEastAsia" w:hAnsi="Times New Roman" w:cs="Times New Roman"/>
          <w:color w:val="000000" w:themeColor="text1"/>
          <w:szCs w:val="24"/>
        </w:rPr>
        <w:t xml:space="preserve"> to </w:t>
      </w:r>
      <w:proofErr w:type="spellStart"/>
      <w:r w:rsidRPr="0096763F">
        <w:rPr>
          <w:rFonts w:ascii="Times New Roman" w:eastAsiaTheme="majorEastAsia" w:hAnsi="Times New Roman" w:cs="Times New Roman"/>
          <w:color w:val="000000" w:themeColor="text1"/>
          <w:szCs w:val="24"/>
        </w:rPr>
        <w:t>analyze</w:t>
      </w:r>
      <w:proofErr w:type="spellEnd"/>
      <w:r w:rsidRPr="0096763F">
        <w:rPr>
          <w:rFonts w:ascii="Times New Roman" w:eastAsiaTheme="majorEastAsia" w:hAnsi="Times New Roman" w:cs="Times New Roman"/>
          <w:color w:val="000000" w:themeColor="text1"/>
          <w:szCs w:val="24"/>
        </w:rPr>
        <w:t xml:space="preserve"> Google’s talent management and employee engagement strategies. The case study method is particularly appropriate for exploring complex organizational phenomena within real-life contexts (Yin, 2018). It allows for an in-depth understanding of how HR practices are implemented and how they influence organizational outcomes.</w:t>
      </w:r>
    </w:p>
    <w:p w14:paraId="191B80BF" w14:textId="77777777" w:rsidR="0096763F" w:rsidRPr="0096763F" w:rsidRDefault="0096763F" w:rsidP="0096763F">
      <w:pPr>
        <w:spacing w:line="480" w:lineRule="auto"/>
        <w:rPr>
          <w:rFonts w:ascii="Times New Roman" w:eastAsiaTheme="majorEastAsia" w:hAnsi="Times New Roman" w:cs="Times New Roman"/>
          <w:b/>
          <w:bCs/>
          <w:color w:val="000000" w:themeColor="text1"/>
          <w:szCs w:val="24"/>
        </w:rPr>
      </w:pPr>
      <w:r w:rsidRPr="0096763F">
        <w:rPr>
          <w:rFonts w:ascii="Times New Roman" w:eastAsiaTheme="majorEastAsia" w:hAnsi="Times New Roman" w:cs="Times New Roman"/>
          <w:b/>
          <w:bCs/>
          <w:color w:val="000000" w:themeColor="text1"/>
          <w:szCs w:val="24"/>
        </w:rPr>
        <w:t>Research Design</w:t>
      </w:r>
    </w:p>
    <w:p w14:paraId="4F26DB2E"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The study is based on a </w:t>
      </w:r>
      <w:r w:rsidRPr="0096763F">
        <w:rPr>
          <w:rFonts w:ascii="Times New Roman" w:eastAsiaTheme="majorEastAsia" w:hAnsi="Times New Roman" w:cs="Times New Roman"/>
          <w:b/>
          <w:bCs/>
          <w:color w:val="000000" w:themeColor="text1"/>
          <w:szCs w:val="24"/>
        </w:rPr>
        <w:t>descriptive and analytical research design</w:t>
      </w:r>
      <w:r w:rsidRPr="0096763F">
        <w:rPr>
          <w:rFonts w:ascii="Times New Roman" w:eastAsiaTheme="majorEastAsia" w:hAnsi="Times New Roman" w:cs="Times New Roman"/>
          <w:color w:val="000000" w:themeColor="text1"/>
          <w:szCs w:val="24"/>
        </w:rPr>
        <w:t>, combining theoretical insights from existing literature with empirical evidence from secondary sources. The objective is to critically evaluate Google’s HR strategies and their impact on employee engagement and organizational performance. This approach enables the integration of multiple perspectives and provides a comprehensive understanding of the subject matter (Saunders et al., 2019).</w:t>
      </w:r>
    </w:p>
    <w:p w14:paraId="20B34B9B" w14:textId="77777777" w:rsidR="0096763F" w:rsidRPr="0096763F" w:rsidRDefault="0096763F" w:rsidP="0096763F">
      <w:pPr>
        <w:spacing w:line="480" w:lineRule="auto"/>
        <w:rPr>
          <w:rFonts w:ascii="Times New Roman" w:eastAsiaTheme="majorEastAsia" w:hAnsi="Times New Roman" w:cs="Times New Roman"/>
          <w:b/>
          <w:bCs/>
          <w:color w:val="000000" w:themeColor="text1"/>
          <w:szCs w:val="24"/>
        </w:rPr>
      </w:pPr>
      <w:r w:rsidRPr="0096763F">
        <w:rPr>
          <w:rFonts w:ascii="Times New Roman" w:eastAsiaTheme="majorEastAsia" w:hAnsi="Times New Roman" w:cs="Times New Roman"/>
          <w:b/>
          <w:bCs/>
          <w:color w:val="000000" w:themeColor="text1"/>
          <w:szCs w:val="24"/>
        </w:rPr>
        <w:t>Data Collection</w:t>
      </w:r>
    </w:p>
    <w:p w14:paraId="19682F42"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The analysis relies on </w:t>
      </w:r>
      <w:r w:rsidRPr="0096763F">
        <w:rPr>
          <w:rFonts w:ascii="Times New Roman" w:eastAsiaTheme="majorEastAsia" w:hAnsi="Times New Roman" w:cs="Times New Roman"/>
          <w:b/>
          <w:bCs/>
          <w:color w:val="000000" w:themeColor="text1"/>
          <w:szCs w:val="24"/>
        </w:rPr>
        <w:t>secondary data sources</w:t>
      </w:r>
      <w:r w:rsidRPr="0096763F">
        <w:rPr>
          <w:rFonts w:ascii="Times New Roman" w:eastAsiaTheme="majorEastAsia" w:hAnsi="Times New Roman" w:cs="Times New Roman"/>
          <w:color w:val="000000" w:themeColor="text1"/>
          <w:szCs w:val="24"/>
        </w:rPr>
        <w:t>, including:</w:t>
      </w:r>
    </w:p>
    <w:p w14:paraId="4CE9C86C" w14:textId="77777777" w:rsidR="0096763F" w:rsidRPr="0096763F" w:rsidRDefault="0096763F" w:rsidP="0096763F">
      <w:pPr>
        <w:numPr>
          <w:ilvl w:val="0"/>
          <w:numId w:val="11"/>
        </w:num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Peer-reviewed journal articles from Google Scholar </w:t>
      </w:r>
    </w:p>
    <w:p w14:paraId="3FBAC215" w14:textId="77777777" w:rsidR="0096763F" w:rsidRPr="0096763F" w:rsidRDefault="0096763F" w:rsidP="0096763F">
      <w:pPr>
        <w:numPr>
          <w:ilvl w:val="0"/>
          <w:numId w:val="11"/>
        </w:num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Books and academic publications on talent management and employee engagement </w:t>
      </w:r>
    </w:p>
    <w:p w14:paraId="7AB47A37" w14:textId="77777777" w:rsidR="0096763F" w:rsidRPr="0096763F" w:rsidRDefault="0096763F" w:rsidP="0096763F">
      <w:pPr>
        <w:numPr>
          <w:ilvl w:val="0"/>
          <w:numId w:val="11"/>
        </w:num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Industry reports and case studies on Google’s HR practices </w:t>
      </w:r>
    </w:p>
    <w:p w14:paraId="78C180F8" w14:textId="77777777" w:rsidR="0096763F" w:rsidRPr="0096763F" w:rsidRDefault="0096763F" w:rsidP="0096763F">
      <w:pPr>
        <w:numPr>
          <w:ilvl w:val="0"/>
          <w:numId w:val="11"/>
        </w:num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Reputable business publications such as Harvard Business Review </w:t>
      </w:r>
    </w:p>
    <w:p w14:paraId="327DA700"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Secondary data is widely used in organizational research due to its accessibility and ability to provide rich insights into established practices (Johnston, 2017). The use of scholarly sources ensures the reliability and validity of the findings.</w:t>
      </w:r>
    </w:p>
    <w:p w14:paraId="197C7D0D" w14:textId="77777777" w:rsidR="0096763F" w:rsidRPr="0096763F" w:rsidRDefault="0096763F" w:rsidP="0096763F">
      <w:pPr>
        <w:spacing w:line="480" w:lineRule="auto"/>
        <w:rPr>
          <w:rFonts w:ascii="Times New Roman" w:eastAsiaTheme="majorEastAsia" w:hAnsi="Times New Roman" w:cs="Times New Roman"/>
          <w:b/>
          <w:bCs/>
          <w:color w:val="000000" w:themeColor="text1"/>
          <w:szCs w:val="24"/>
        </w:rPr>
      </w:pPr>
      <w:r w:rsidRPr="0096763F">
        <w:rPr>
          <w:rFonts w:ascii="Times New Roman" w:eastAsiaTheme="majorEastAsia" w:hAnsi="Times New Roman" w:cs="Times New Roman"/>
          <w:b/>
          <w:bCs/>
          <w:color w:val="000000" w:themeColor="text1"/>
          <w:szCs w:val="24"/>
        </w:rPr>
        <w:lastRenderedPageBreak/>
        <w:t>Data Analysis</w:t>
      </w:r>
    </w:p>
    <w:p w14:paraId="57D60B3A"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The data is </w:t>
      </w:r>
      <w:proofErr w:type="spellStart"/>
      <w:r w:rsidRPr="0096763F">
        <w:rPr>
          <w:rFonts w:ascii="Times New Roman" w:eastAsiaTheme="majorEastAsia" w:hAnsi="Times New Roman" w:cs="Times New Roman"/>
          <w:color w:val="000000" w:themeColor="text1"/>
          <w:szCs w:val="24"/>
        </w:rPr>
        <w:t>analyzed</w:t>
      </w:r>
      <w:proofErr w:type="spellEnd"/>
      <w:r w:rsidRPr="0096763F">
        <w:rPr>
          <w:rFonts w:ascii="Times New Roman" w:eastAsiaTheme="majorEastAsia" w:hAnsi="Times New Roman" w:cs="Times New Roman"/>
          <w:color w:val="000000" w:themeColor="text1"/>
          <w:szCs w:val="24"/>
        </w:rPr>
        <w:t xml:space="preserve"> using a </w:t>
      </w:r>
      <w:r w:rsidRPr="0096763F">
        <w:rPr>
          <w:rFonts w:ascii="Times New Roman" w:eastAsiaTheme="majorEastAsia" w:hAnsi="Times New Roman" w:cs="Times New Roman"/>
          <w:b/>
          <w:bCs/>
          <w:color w:val="000000" w:themeColor="text1"/>
          <w:szCs w:val="24"/>
        </w:rPr>
        <w:t>thematic analysis approach</w:t>
      </w:r>
      <w:r w:rsidRPr="0096763F">
        <w:rPr>
          <w:rFonts w:ascii="Times New Roman" w:eastAsiaTheme="majorEastAsia" w:hAnsi="Times New Roman" w:cs="Times New Roman"/>
          <w:color w:val="000000" w:themeColor="text1"/>
          <w:szCs w:val="24"/>
        </w:rPr>
        <w:t xml:space="preserve">, which involves identifying, </w:t>
      </w:r>
      <w:proofErr w:type="spellStart"/>
      <w:r w:rsidRPr="0096763F">
        <w:rPr>
          <w:rFonts w:ascii="Times New Roman" w:eastAsiaTheme="majorEastAsia" w:hAnsi="Times New Roman" w:cs="Times New Roman"/>
          <w:color w:val="000000" w:themeColor="text1"/>
          <w:szCs w:val="24"/>
        </w:rPr>
        <w:t>analyzing</w:t>
      </w:r>
      <w:proofErr w:type="spellEnd"/>
      <w:r w:rsidRPr="0096763F">
        <w:rPr>
          <w:rFonts w:ascii="Times New Roman" w:eastAsiaTheme="majorEastAsia" w:hAnsi="Times New Roman" w:cs="Times New Roman"/>
          <w:color w:val="000000" w:themeColor="text1"/>
          <w:szCs w:val="24"/>
        </w:rPr>
        <w:t>, and interpreting patterns within the literature (Braun &amp; Clarke, 2006). Key themes explored in this report include:</w:t>
      </w:r>
    </w:p>
    <w:p w14:paraId="4979900E" w14:textId="77777777" w:rsidR="0096763F" w:rsidRPr="0096763F" w:rsidRDefault="0096763F" w:rsidP="0096763F">
      <w:pPr>
        <w:numPr>
          <w:ilvl w:val="0"/>
          <w:numId w:val="12"/>
        </w:num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Talent acquisition and retention strategies </w:t>
      </w:r>
    </w:p>
    <w:p w14:paraId="579836B6" w14:textId="77777777" w:rsidR="0096763F" w:rsidRPr="0096763F" w:rsidRDefault="0096763F" w:rsidP="0096763F">
      <w:pPr>
        <w:numPr>
          <w:ilvl w:val="0"/>
          <w:numId w:val="12"/>
        </w:num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Employee engagement practices </w:t>
      </w:r>
    </w:p>
    <w:p w14:paraId="0577C4DA" w14:textId="77777777" w:rsidR="0096763F" w:rsidRPr="0096763F" w:rsidRDefault="0096763F" w:rsidP="0096763F">
      <w:pPr>
        <w:numPr>
          <w:ilvl w:val="0"/>
          <w:numId w:val="12"/>
        </w:num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The role of organizational culture </w:t>
      </w:r>
    </w:p>
    <w:p w14:paraId="5EC7A5C7" w14:textId="77777777" w:rsidR="0096763F" w:rsidRPr="0096763F" w:rsidRDefault="0096763F" w:rsidP="0096763F">
      <w:pPr>
        <w:numPr>
          <w:ilvl w:val="0"/>
          <w:numId w:val="12"/>
        </w:num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The impact of HR strategies on performance outcomes </w:t>
      </w:r>
    </w:p>
    <w:p w14:paraId="2C2FA12E"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This method allows for the systematic organization of information and facilitates the identification of relationships between variables such as engagement, satisfaction, and performance.</w:t>
      </w:r>
    </w:p>
    <w:p w14:paraId="3A472C0A" w14:textId="77777777" w:rsidR="0096763F" w:rsidRPr="0096763F" w:rsidRDefault="0096763F" w:rsidP="0096763F">
      <w:pPr>
        <w:spacing w:line="480" w:lineRule="auto"/>
        <w:rPr>
          <w:rFonts w:ascii="Times New Roman" w:eastAsiaTheme="majorEastAsia" w:hAnsi="Times New Roman" w:cs="Times New Roman"/>
          <w:b/>
          <w:bCs/>
          <w:color w:val="000000" w:themeColor="text1"/>
          <w:szCs w:val="24"/>
        </w:rPr>
      </w:pPr>
      <w:r w:rsidRPr="0096763F">
        <w:rPr>
          <w:rFonts w:ascii="Times New Roman" w:eastAsiaTheme="majorEastAsia" w:hAnsi="Times New Roman" w:cs="Times New Roman"/>
          <w:b/>
          <w:bCs/>
          <w:color w:val="000000" w:themeColor="text1"/>
          <w:szCs w:val="24"/>
        </w:rPr>
        <w:t>Limitations</w:t>
      </w:r>
    </w:p>
    <w:p w14:paraId="57715CAA"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While the case study approach provides in-depth insights, it has certain limitations. The reliance on secondary data may restrict the ability to capture real-time organizational dynamics and employee perspectives. Additionally, findings based on a single organization may not be fully generalizable to other contexts (Yin, 2018). However, Google’s global prominence and well-documented practices enhance the relevance and applicability of the study.</w:t>
      </w:r>
    </w:p>
    <w:p w14:paraId="5FB9C588"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33BDCA71"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531B926A"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5EEFF10E" w14:textId="63CCDABA" w:rsidR="00B55503" w:rsidRPr="00796E84" w:rsidRDefault="00B55503" w:rsidP="00B55503">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Findings</w:t>
      </w:r>
    </w:p>
    <w:p w14:paraId="30DBB16F"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The analysis of Google’s talent management and employee engagement strategies reveals several key findings that demonstrate how these practices contribute to organizational performance, innovation, and employee satisfaction.</w:t>
      </w:r>
    </w:p>
    <w:p w14:paraId="7732BAEC" w14:textId="77777777" w:rsidR="0096763F" w:rsidRPr="0096763F" w:rsidRDefault="0096763F" w:rsidP="0096763F">
      <w:pPr>
        <w:spacing w:line="480" w:lineRule="auto"/>
        <w:rPr>
          <w:rFonts w:ascii="Times New Roman" w:eastAsiaTheme="majorEastAsia" w:hAnsi="Times New Roman" w:cs="Times New Roman"/>
          <w:b/>
          <w:bCs/>
          <w:color w:val="000000" w:themeColor="text1"/>
          <w:szCs w:val="24"/>
        </w:rPr>
      </w:pPr>
      <w:r w:rsidRPr="0096763F">
        <w:rPr>
          <w:rFonts w:ascii="Times New Roman" w:eastAsiaTheme="majorEastAsia" w:hAnsi="Times New Roman" w:cs="Times New Roman"/>
          <w:b/>
          <w:bCs/>
          <w:color w:val="000000" w:themeColor="text1"/>
          <w:szCs w:val="24"/>
        </w:rPr>
        <w:t>1. Strategic Talent Acquisition and Selection</w:t>
      </w:r>
    </w:p>
    <w:p w14:paraId="7039FA80"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Google employs a highly structured and data-driven recruitment process focused on cognitive ability, problem-solving skills, and cultural fit (Bock, 2015; Bryant, 2011). The company utilizes structured interviews, algorithmic assessments, and multiple evaluators to reduce bias and improve hiring accuracy. Research indicates that structured hiring processes significantly enhance employee performance and retention (Campion et al., 1997; Schmidt &amp; Hunter, 1998).</w:t>
      </w:r>
    </w:p>
    <w:p w14:paraId="7B4BE99F"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Moreover, Google’s emphasis on hiring “learning individuals” rather than just experienced professionals aligns with the concept of </w:t>
      </w:r>
      <w:r w:rsidRPr="0096763F">
        <w:rPr>
          <w:rFonts w:ascii="Times New Roman" w:eastAsiaTheme="majorEastAsia" w:hAnsi="Times New Roman" w:cs="Times New Roman"/>
          <w:b/>
          <w:bCs/>
          <w:color w:val="000000" w:themeColor="text1"/>
          <w:szCs w:val="24"/>
        </w:rPr>
        <w:t>potential-based hiring</w:t>
      </w:r>
      <w:r w:rsidRPr="0096763F">
        <w:rPr>
          <w:rFonts w:ascii="Times New Roman" w:eastAsiaTheme="majorEastAsia" w:hAnsi="Times New Roman" w:cs="Times New Roman"/>
          <w:color w:val="000000" w:themeColor="text1"/>
          <w:szCs w:val="24"/>
        </w:rPr>
        <w:t xml:space="preserve">, which is associated with long-term organizational adaptability (Cappelli, 2008; Collings &amp; </w:t>
      </w:r>
      <w:proofErr w:type="spellStart"/>
      <w:r w:rsidRPr="0096763F">
        <w:rPr>
          <w:rFonts w:ascii="Times New Roman" w:eastAsiaTheme="majorEastAsia" w:hAnsi="Times New Roman" w:cs="Times New Roman"/>
          <w:color w:val="000000" w:themeColor="text1"/>
          <w:szCs w:val="24"/>
        </w:rPr>
        <w:t>Mellahi</w:t>
      </w:r>
      <w:proofErr w:type="spellEnd"/>
      <w:r w:rsidRPr="0096763F">
        <w:rPr>
          <w:rFonts w:ascii="Times New Roman" w:eastAsiaTheme="majorEastAsia" w:hAnsi="Times New Roman" w:cs="Times New Roman"/>
          <w:color w:val="000000" w:themeColor="text1"/>
          <w:szCs w:val="24"/>
        </w:rPr>
        <w:t>, 2009). This approach allows the organization to build a workforce capable of continuous innovation.</w:t>
      </w:r>
    </w:p>
    <w:p w14:paraId="2A4E72F9" w14:textId="77777777" w:rsidR="0096763F" w:rsidRPr="0096763F" w:rsidRDefault="0096763F" w:rsidP="0096763F">
      <w:pPr>
        <w:spacing w:line="480" w:lineRule="auto"/>
        <w:rPr>
          <w:rFonts w:ascii="Times New Roman" w:eastAsiaTheme="majorEastAsia" w:hAnsi="Times New Roman" w:cs="Times New Roman"/>
          <w:b/>
          <w:bCs/>
          <w:color w:val="000000" w:themeColor="text1"/>
          <w:szCs w:val="24"/>
        </w:rPr>
      </w:pPr>
      <w:r w:rsidRPr="0096763F">
        <w:rPr>
          <w:rFonts w:ascii="Times New Roman" w:eastAsiaTheme="majorEastAsia" w:hAnsi="Times New Roman" w:cs="Times New Roman"/>
          <w:b/>
          <w:bCs/>
          <w:color w:val="000000" w:themeColor="text1"/>
          <w:szCs w:val="24"/>
        </w:rPr>
        <w:t>2. Continuous Learning and Development</w:t>
      </w:r>
    </w:p>
    <w:p w14:paraId="1E9D77D3"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Google invests heavily in employee development through programs such as “</w:t>
      </w:r>
      <w:proofErr w:type="spellStart"/>
      <w:r w:rsidRPr="0096763F">
        <w:rPr>
          <w:rFonts w:ascii="Times New Roman" w:eastAsiaTheme="majorEastAsia" w:hAnsi="Times New Roman" w:cs="Times New Roman"/>
          <w:color w:val="000000" w:themeColor="text1"/>
          <w:szCs w:val="24"/>
        </w:rPr>
        <w:t>GoogleEDU</w:t>
      </w:r>
      <w:proofErr w:type="spellEnd"/>
      <w:r w:rsidRPr="0096763F">
        <w:rPr>
          <w:rFonts w:ascii="Times New Roman" w:eastAsiaTheme="majorEastAsia" w:hAnsi="Times New Roman" w:cs="Times New Roman"/>
          <w:color w:val="000000" w:themeColor="text1"/>
          <w:szCs w:val="24"/>
        </w:rPr>
        <w:t>,” mentoring systems, and peer-to-peer learning initiatives (Garvin, 2013; Bock, 2015). These initiatives align with human capital theory, which suggests that investment in employee skills enhances productivity and organizational performance (Becker, 1964; Boxall &amp; Purcell, 2016).</w:t>
      </w:r>
    </w:p>
    <w:p w14:paraId="1A0AAA6D"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Additionally, opportunities for continuous learning increase employee engagement by fulfilling the need for competence, as proposed by self-determination theory (Deci &amp; Ryan, 2000; </w:t>
      </w:r>
      <w:proofErr w:type="spellStart"/>
      <w:r w:rsidRPr="0096763F">
        <w:rPr>
          <w:rFonts w:ascii="Times New Roman" w:eastAsiaTheme="majorEastAsia" w:hAnsi="Times New Roman" w:cs="Times New Roman"/>
          <w:color w:val="000000" w:themeColor="text1"/>
          <w:szCs w:val="24"/>
        </w:rPr>
        <w:t>Gagné</w:t>
      </w:r>
      <w:proofErr w:type="spellEnd"/>
      <w:r w:rsidRPr="0096763F">
        <w:rPr>
          <w:rFonts w:ascii="Times New Roman" w:eastAsiaTheme="majorEastAsia" w:hAnsi="Times New Roman" w:cs="Times New Roman"/>
          <w:color w:val="000000" w:themeColor="text1"/>
          <w:szCs w:val="24"/>
        </w:rPr>
        <w:t xml:space="preserve"> </w:t>
      </w:r>
      <w:r w:rsidRPr="0096763F">
        <w:rPr>
          <w:rFonts w:ascii="Times New Roman" w:eastAsiaTheme="majorEastAsia" w:hAnsi="Times New Roman" w:cs="Times New Roman"/>
          <w:color w:val="000000" w:themeColor="text1"/>
          <w:szCs w:val="24"/>
        </w:rPr>
        <w:lastRenderedPageBreak/>
        <w:t>&amp; Deci, 2005). Empirical studies confirm that training and development are positively associated with job satisfaction and organizational commitment (Saks, 2006; Harter et al., 2002).</w:t>
      </w:r>
    </w:p>
    <w:p w14:paraId="2638EA18" w14:textId="77777777" w:rsidR="0096763F" w:rsidRPr="0096763F" w:rsidRDefault="0096763F" w:rsidP="0096763F">
      <w:pPr>
        <w:spacing w:line="480" w:lineRule="auto"/>
        <w:rPr>
          <w:rFonts w:ascii="Times New Roman" w:eastAsiaTheme="majorEastAsia" w:hAnsi="Times New Roman" w:cs="Times New Roman"/>
          <w:b/>
          <w:bCs/>
          <w:color w:val="000000" w:themeColor="text1"/>
          <w:szCs w:val="24"/>
        </w:rPr>
      </w:pPr>
      <w:r w:rsidRPr="0096763F">
        <w:rPr>
          <w:rFonts w:ascii="Times New Roman" w:eastAsiaTheme="majorEastAsia" w:hAnsi="Times New Roman" w:cs="Times New Roman"/>
          <w:b/>
          <w:bCs/>
          <w:color w:val="000000" w:themeColor="text1"/>
          <w:szCs w:val="24"/>
        </w:rPr>
        <w:t>3. Data-Driven HR and People Analytics</w:t>
      </w:r>
    </w:p>
    <w:p w14:paraId="70797408"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One of Google’s most distinctive practices is its use of </w:t>
      </w:r>
      <w:r w:rsidRPr="0096763F">
        <w:rPr>
          <w:rFonts w:ascii="Times New Roman" w:eastAsiaTheme="majorEastAsia" w:hAnsi="Times New Roman" w:cs="Times New Roman"/>
          <w:b/>
          <w:bCs/>
          <w:color w:val="000000" w:themeColor="text1"/>
          <w:szCs w:val="24"/>
        </w:rPr>
        <w:t>People Analytics</w:t>
      </w:r>
      <w:r w:rsidRPr="0096763F">
        <w:rPr>
          <w:rFonts w:ascii="Times New Roman" w:eastAsiaTheme="majorEastAsia" w:hAnsi="Times New Roman" w:cs="Times New Roman"/>
          <w:color w:val="000000" w:themeColor="text1"/>
          <w:szCs w:val="24"/>
        </w:rPr>
        <w:t xml:space="preserve"> to inform HR decisions. By </w:t>
      </w:r>
      <w:proofErr w:type="spellStart"/>
      <w:r w:rsidRPr="0096763F">
        <w:rPr>
          <w:rFonts w:ascii="Times New Roman" w:eastAsiaTheme="majorEastAsia" w:hAnsi="Times New Roman" w:cs="Times New Roman"/>
          <w:color w:val="000000" w:themeColor="text1"/>
          <w:szCs w:val="24"/>
        </w:rPr>
        <w:t>analyzing</w:t>
      </w:r>
      <w:proofErr w:type="spellEnd"/>
      <w:r w:rsidRPr="0096763F">
        <w:rPr>
          <w:rFonts w:ascii="Times New Roman" w:eastAsiaTheme="majorEastAsia" w:hAnsi="Times New Roman" w:cs="Times New Roman"/>
          <w:color w:val="000000" w:themeColor="text1"/>
          <w:szCs w:val="24"/>
        </w:rPr>
        <w:t xml:space="preserve"> employee data, Google identifies patterns related to performance, retention, and engagement (Davenport et al., 2010; Marler &amp; Boudreau, 2017). For example, Project Oxygen identified key </w:t>
      </w:r>
      <w:proofErr w:type="spellStart"/>
      <w:r w:rsidRPr="0096763F">
        <w:rPr>
          <w:rFonts w:ascii="Times New Roman" w:eastAsiaTheme="majorEastAsia" w:hAnsi="Times New Roman" w:cs="Times New Roman"/>
          <w:color w:val="000000" w:themeColor="text1"/>
          <w:szCs w:val="24"/>
        </w:rPr>
        <w:t>behaviors</w:t>
      </w:r>
      <w:proofErr w:type="spellEnd"/>
      <w:r w:rsidRPr="0096763F">
        <w:rPr>
          <w:rFonts w:ascii="Times New Roman" w:eastAsiaTheme="majorEastAsia" w:hAnsi="Times New Roman" w:cs="Times New Roman"/>
          <w:color w:val="000000" w:themeColor="text1"/>
          <w:szCs w:val="24"/>
        </w:rPr>
        <w:t xml:space="preserve"> of effective managers, leading to improved leadership development programs (Garvin, 2013).</w:t>
      </w:r>
    </w:p>
    <w:p w14:paraId="7E654486"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Research supports the effectiveness of HR analytics in enhancing decision-making and organizational outcomes (</w:t>
      </w:r>
      <w:proofErr w:type="spellStart"/>
      <w:r w:rsidRPr="0096763F">
        <w:rPr>
          <w:rFonts w:ascii="Times New Roman" w:eastAsiaTheme="majorEastAsia" w:hAnsi="Times New Roman" w:cs="Times New Roman"/>
          <w:color w:val="000000" w:themeColor="text1"/>
          <w:szCs w:val="24"/>
        </w:rPr>
        <w:t>Angrave</w:t>
      </w:r>
      <w:proofErr w:type="spellEnd"/>
      <w:r w:rsidRPr="0096763F">
        <w:rPr>
          <w:rFonts w:ascii="Times New Roman" w:eastAsiaTheme="majorEastAsia" w:hAnsi="Times New Roman" w:cs="Times New Roman"/>
          <w:color w:val="000000" w:themeColor="text1"/>
          <w:szCs w:val="24"/>
        </w:rPr>
        <w:t xml:space="preserve"> et al., 2016). Data-driven HR practices reduce subjectivity and enable organizations to implement evidence-based interventions that improve employee engagement and productivity.</w:t>
      </w:r>
    </w:p>
    <w:p w14:paraId="0E02BEFF" w14:textId="77777777" w:rsidR="0096763F" w:rsidRPr="0096763F" w:rsidRDefault="0096763F" w:rsidP="0096763F">
      <w:pPr>
        <w:spacing w:line="480" w:lineRule="auto"/>
        <w:rPr>
          <w:rFonts w:ascii="Times New Roman" w:eastAsiaTheme="majorEastAsia" w:hAnsi="Times New Roman" w:cs="Times New Roman"/>
          <w:b/>
          <w:bCs/>
          <w:color w:val="000000" w:themeColor="text1"/>
          <w:szCs w:val="24"/>
        </w:rPr>
      </w:pPr>
      <w:r w:rsidRPr="0096763F">
        <w:rPr>
          <w:rFonts w:ascii="Times New Roman" w:eastAsiaTheme="majorEastAsia" w:hAnsi="Times New Roman" w:cs="Times New Roman"/>
          <w:b/>
          <w:bCs/>
          <w:color w:val="000000" w:themeColor="text1"/>
          <w:szCs w:val="24"/>
        </w:rPr>
        <w:t>4. Employee Engagement through Autonomy and Innovation</w:t>
      </w:r>
    </w:p>
    <w:p w14:paraId="1A65E8EC"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Google fosters high levels of employee engagement by promoting autonomy, creativity, and innovation. Initiatives such as the “20% time” policy encourage employees to work on projects of personal interest, leading to innovative products like Gmail and Google News (Bock, 2015; Amabile, 1996).</w:t>
      </w:r>
    </w:p>
    <w:p w14:paraId="52A5669F"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This approach aligns with the Job Demands-Resources model, which highlights autonomy as a critical job resource that enhances engagement (Bakker &amp; Demerouti, 2008; Bakker et al., 2014). Furthermore, autonomy has been shown to increase intrinsic motivation and creative performance (Deci &amp; Ryan, 2000; Amabile, 1996).</w:t>
      </w:r>
    </w:p>
    <w:p w14:paraId="2E5EC724" w14:textId="77777777" w:rsidR="0096763F" w:rsidRPr="0096763F" w:rsidRDefault="0096763F" w:rsidP="0096763F">
      <w:pPr>
        <w:spacing w:line="480" w:lineRule="auto"/>
        <w:rPr>
          <w:rFonts w:ascii="Times New Roman" w:eastAsiaTheme="majorEastAsia" w:hAnsi="Times New Roman" w:cs="Times New Roman"/>
          <w:b/>
          <w:bCs/>
          <w:color w:val="000000" w:themeColor="text1"/>
          <w:szCs w:val="24"/>
        </w:rPr>
      </w:pPr>
      <w:r w:rsidRPr="0096763F">
        <w:rPr>
          <w:rFonts w:ascii="Times New Roman" w:eastAsiaTheme="majorEastAsia" w:hAnsi="Times New Roman" w:cs="Times New Roman"/>
          <w:b/>
          <w:bCs/>
          <w:color w:val="000000" w:themeColor="text1"/>
          <w:szCs w:val="24"/>
        </w:rPr>
        <w:lastRenderedPageBreak/>
        <w:t>5. Psychological Safety and Team Effectiveness</w:t>
      </w:r>
    </w:p>
    <w:p w14:paraId="050A80B4"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Google’s emphasis on psychological safety, particularly through Project Aristotle, highlights the importance of a supportive work environment for team performance (Rozovsky, 2015; Edmondson, 1999). Employees are encouraged to share ideas, take risks, and learn from failures without fear of negative consequences.</w:t>
      </w:r>
    </w:p>
    <w:p w14:paraId="7EF83DF2"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Empirical research demonstrates that psychological safety enhances learning </w:t>
      </w:r>
      <w:proofErr w:type="spellStart"/>
      <w:r w:rsidRPr="0096763F">
        <w:rPr>
          <w:rFonts w:ascii="Times New Roman" w:eastAsiaTheme="majorEastAsia" w:hAnsi="Times New Roman" w:cs="Times New Roman"/>
          <w:color w:val="000000" w:themeColor="text1"/>
          <w:szCs w:val="24"/>
        </w:rPr>
        <w:t>behavior</w:t>
      </w:r>
      <w:proofErr w:type="spellEnd"/>
      <w:r w:rsidRPr="0096763F">
        <w:rPr>
          <w:rFonts w:ascii="Times New Roman" w:eastAsiaTheme="majorEastAsia" w:hAnsi="Times New Roman" w:cs="Times New Roman"/>
          <w:color w:val="000000" w:themeColor="text1"/>
          <w:szCs w:val="24"/>
        </w:rPr>
        <w:t>, collaboration, and innovation (Edmondson &amp; Lei, 2014). This environment fosters trust and openness, which are essential for knowledge sharing and organizational learning.</w:t>
      </w:r>
    </w:p>
    <w:p w14:paraId="146D74D6" w14:textId="77777777" w:rsidR="0096763F" w:rsidRPr="0096763F" w:rsidRDefault="0096763F" w:rsidP="0096763F">
      <w:pPr>
        <w:spacing w:line="480" w:lineRule="auto"/>
        <w:rPr>
          <w:rFonts w:ascii="Times New Roman" w:eastAsiaTheme="majorEastAsia" w:hAnsi="Times New Roman" w:cs="Times New Roman"/>
          <w:b/>
          <w:bCs/>
          <w:color w:val="000000" w:themeColor="text1"/>
          <w:szCs w:val="24"/>
        </w:rPr>
      </w:pPr>
      <w:r w:rsidRPr="0096763F">
        <w:rPr>
          <w:rFonts w:ascii="Times New Roman" w:eastAsiaTheme="majorEastAsia" w:hAnsi="Times New Roman" w:cs="Times New Roman"/>
          <w:b/>
          <w:bCs/>
          <w:color w:val="000000" w:themeColor="text1"/>
          <w:szCs w:val="24"/>
        </w:rPr>
        <w:t>6. Organizational Culture and Employee Well-being</w:t>
      </w:r>
    </w:p>
    <w:p w14:paraId="4627FC66"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Google’s organizational culture prioritizes employee well-being, inclusivity, and work-life balance. Benefits such as flexible work arrangements, wellness programs, and open communication channels contribute to high levels of job satisfaction (Bock, 2015; Garvin, 2013).</w:t>
      </w:r>
    </w:p>
    <w:p w14:paraId="070AB9E9"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Studies indicate that supportive organizational cultures are strongly associated with employee engagement and retention (Kahn, 1990; Rich et al., 2010). Additionally, well-being initiatives reduce burnout and improve overall performance (Bakker et al., 2014).</w:t>
      </w:r>
    </w:p>
    <w:p w14:paraId="6E0E3EDC"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7CD6FFF4"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5477FBA1"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233DC9A0"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2B9ED201"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3562433B" w14:textId="146CC3C3" w:rsidR="00B55503" w:rsidRPr="00796E84" w:rsidRDefault="00B55503" w:rsidP="00B55503">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Discussion</w:t>
      </w:r>
    </w:p>
    <w:p w14:paraId="20400480"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The findings demonstrate that Google’s integrated approach to talent management and employee engagement plays a critical role in driving organizational performance and innovation. However, a deeper analysis reveals both strengths and potential limitations of these strategies.</w:t>
      </w:r>
    </w:p>
    <w:p w14:paraId="52F95813" w14:textId="77777777" w:rsidR="0096763F" w:rsidRPr="0096763F" w:rsidRDefault="0096763F" w:rsidP="0096763F">
      <w:pPr>
        <w:spacing w:line="480" w:lineRule="auto"/>
        <w:rPr>
          <w:rFonts w:ascii="Times New Roman" w:eastAsiaTheme="majorEastAsia" w:hAnsi="Times New Roman" w:cs="Times New Roman"/>
          <w:b/>
          <w:bCs/>
          <w:color w:val="000000" w:themeColor="text1"/>
          <w:szCs w:val="24"/>
        </w:rPr>
      </w:pPr>
      <w:r w:rsidRPr="0096763F">
        <w:rPr>
          <w:rFonts w:ascii="Times New Roman" w:eastAsiaTheme="majorEastAsia" w:hAnsi="Times New Roman" w:cs="Times New Roman"/>
          <w:b/>
          <w:bCs/>
          <w:color w:val="000000" w:themeColor="text1"/>
          <w:szCs w:val="24"/>
        </w:rPr>
        <w:t>1. Integration of Talent Management and Organizational Strategy</w:t>
      </w:r>
    </w:p>
    <w:p w14:paraId="42B4A5DF"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Google’s success can be attributed to the alignment between its talent management practices and organizational objectives. By focusing on innovation and knowledge creation, the company ensures that its HR strategies support its core business goals (Barney, 1991; Guest, 2011). This alignment reflects best practices in strategic human resource management, where HR functions act as strategic partners rather than administrative units (Boxall &amp; Purcell, 2016).</w:t>
      </w:r>
    </w:p>
    <w:p w14:paraId="274C351A" w14:textId="77777777" w:rsidR="0096763F" w:rsidRPr="0096763F" w:rsidRDefault="0096763F" w:rsidP="0096763F">
      <w:pPr>
        <w:spacing w:line="480" w:lineRule="auto"/>
        <w:rPr>
          <w:rFonts w:ascii="Times New Roman" w:eastAsiaTheme="majorEastAsia" w:hAnsi="Times New Roman" w:cs="Times New Roman"/>
          <w:b/>
          <w:bCs/>
          <w:color w:val="000000" w:themeColor="text1"/>
          <w:szCs w:val="24"/>
        </w:rPr>
      </w:pPr>
      <w:r w:rsidRPr="0096763F">
        <w:rPr>
          <w:rFonts w:ascii="Times New Roman" w:eastAsiaTheme="majorEastAsia" w:hAnsi="Times New Roman" w:cs="Times New Roman"/>
          <w:b/>
          <w:bCs/>
          <w:color w:val="000000" w:themeColor="text1"/>
          <w:szCs w:val="24"/>
        </w:rPr>
        <w:t>2. Employee Engagement as a Mediating Factor</w:t>
      </w:r>
    </w:p>
    <w:p w14:paraId="319DFF29"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The analysis supports the argument that employee engagement acts as a mediating variable between HR practices and organizational performance (Saks, 2006). Google’s emphasis on autonomy, learning, and psychological safety enhances engagement, which in turn leads to higher productivity and innovation (Harter et al., 2002; Rich et al., 2010).</w:t>
      </w:r>
    </w:p>
    <w:p w14:paraId="1552A422"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This finding is consistent with the Job Demands-Resources model, which suggests that job resources not only improve engagement but also buffer the negative effects of job demands (Bakker &amp; Demerouti, 2008). Google’s work environment provides ample resources, enabling employees to perform at their best.</w:t>
      </w:r>
    </w:p>
    <w:p w14:paraId="1E6F76D5" w14:textId="77777777" w:rsidR="0096763F" w:rsidRPr="0096763F" w:rsidRDefault="0096763F" w:rsidP="0096763F">
      <w:pPr>
        <w:spacing w:line="480" w:lineRule="auto"/>
        <w:rPr>
          <w:rFonts w:ascii="Times New Roman" w:eastAsiaTheme="majorEastAsia" w:hAnsi="Times New Roman" w:cs="Times New Roman"/>
          <w:b/>
          <w:bCs/>
          <w:color w:val="000000" w:themeColor="text1"/>
          <w:szCs w:val="24"/>
        </w:rPr>
      </w:pPr>
      <w:r w:rsidRPr="0096763F">
        <w:rPr>
          <w:rFonts w:ascii="Times New Roman" w:eastAsiaTheme="majorEastAsia" w:hAnsi="Times New Roman" w:cs="Times New Roman"/>
          <w:b/>
          <w:bCs/>
          <w:color w:val="000000" w:themeColor="text1"/>
          <w:szCs w:val="24"/>
        </w:rPr>
        <w:t>3. Innovation and Competitive Advantage</w:t>
      </w:r>
    </w:p>
    <w:p w14:paraId="352E91FC"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lastRenderedPageBreak/>
        <w:t>Google’s talent management strategies directly contribute to its innovation capabilities. By attracting highly skilled individuals and fostering a culture of experimentation, the company maintains its position as a market leader (Amabile, 1996; West &amp; Farr, 1990). The emphasis on creativity and collaboration enables the development of innovative products and services.</w:t>
      </w:r>
    </w:p>
    <w:p w14:paraId="56A34AC2"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From a Resource-Based View perspective, Google’s human capital represents a valuable and inimitable resource that competitors find difficult to replicate (Barney, 1991). This reinforces the idea that effective talent management is a key driver of sustainable competitive advantage.</w:t>
      </w:r>
    </w:p>
    <w:p w14:paraId="5177E8FD" w14:textId="77777777" w:rsidR="0096763F" w:rsidRPr="0096763F" w:rsidRDefault="0096763F" w:rsidP="0096763F">
      <w:pPr>
        <w:spacing w:line="480" w:lineRule="auto"/>
        <w:rPr>
          <w:rFonts w:ascii="Times New Roman" w:eastAsiaTheme="majorEastAsia" w:hAnsi="Times New Roman" w:cs="Times New Roman"/>
          <w:b/>
          <w:bCs/>
          <w:color w:val="000000" w:themeColor="text1"/>
          <w:szCs w:val="24"/>
        </w:rPr>
      </w:pPr>
      <w:r w:rsidRPr="0096763F">
        <w:rPr>
          <w:rFonts w:ascii="Times New Roman" w:eastAsiaTheme="majorEastAsia" w:hAnsi="Times New Roman" w:cs="Times New Roman"/>
          <w:b/>
          <w:bCs/>
          <w:color w:val="000000" w:themeColor="text1"/>
          <w:szCs w:val="24"/>
        </w:rPr>
        <w:t>4. Critical Evaluation of Google’s Model</w:t>
      </w:r>
    </w:p>
    <w:p w14:paraId="00321D10"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Despite its success, Google’s approach may not be universally applicable. The company operates in a highly resource-rich environment, allowing it to invest heavily in employee benefits and development programs (Collings et al., 2015). Smaller organizations may lack the financial and structural capacity to implement similar practices.</w:t>
      </w:r>
    </w:p>
    <w:p w14:paraId="1D91988D"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Additionally, maintaining high levels of engagement in a large and diverse workforce presents challenges. As organizations grow, issues such as communication barriers, cultural differences, and coordination complexity may reduce the effectiveness of engagement initiatives (Tarique &amp; Schuler, 2010).</w:t>
      </w:r>
    </w:p>
    <w:p w14:paraId="7596135E"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Furthermore, some critics argue that excessive focus on employee satisfaction may lead to reduced accountability or performance pressure if not balanced with clear performance management systems (Cappelli, 2008).</w:t>
      </w:r>
    </w:p>
    <w:p w14:paraId="1971E394" w14:textId="77777777" w:rsidR="0096763F" w:rsidRPr="0096763F" w:rsidRDefault="0096763F" w:rsidP="0096763F">
      <w:pPr>
        <w:spacing w:line="480" w:lineRule="auto"/>
        <w:rPr>
          <w:rFonts w:ascii="Times New Roman" w:eastAsiaTheme="majorEastAsia" w:hAnsi="Times New Roman" w:cs="Times New Roman"/>
          <w:b/>
          <w:bCs/>
          <w:color w:val="000000" w:themeColor="text1"/>
          <w:szCs w:val="24"/>
        </w:rPr>
      </w:pPr>
      <w:r w:rsidRPr="0096763F">
        <w:rPr>
          <w:rFonts w:ascii="Times New Roman" w:eastAsiaTheme="majorEastAsia" w:hAnsi="Times New Roman" w:cs="Times New Roman"/>
          <w:b/>
          <w:bCs/>
          <w:color w:val="000000" w:themeColor="text1"/>
          <w:szCs w:val="24"/>
        </w:rPr>
        <w:t>5. Real-World Implications</w:t>
      </w:r>
    </w:p>
    <w:p w14:paraId="413463EE"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lastRenderedPageBreak/>
        <w:t>The findings provide valuable insights for organizations seeking to improve their talent management and engagement strategies. Key takeaways include:</w:t>
      </w:r>
    </w:p>
    <w:p w14:paraId="11EA8006" w14:textId="77777777" w:rsidR="0096763F" w:rsidRPr="0096763F" w:rsidRDefault="0096763F" w:rsidP="0096763F">
      <w:pPr>
        <w:numPr>
          <w:ilvl w:val="0"/>
          <w:numId w:val="13"/>
        </w:num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The importance of aligning HR practices with organizational strategy </w:t>
      </w:r>
    </w:p>
    <w:p w14:paraId="6C3E227F" w14:textId="77777777" w:rsidR="0096763F" w:rsidRPr="0096763F" w:rsidRDefault="0096763F" w:rsidP="0096763F">
      <w:pPr>
        <w:numPr>
          <w:ilvl w:val="0"/>
          <w:numId w:val="13"/>
        </w:num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The role of data analytics in enhancing decision-making </w:t>
      </w:r>
    </w:p>
    <w:p w14:paraId="26BE4472" w14:textId="77777777" w:rsidR="0096763F" w:rsidRPr="0096763F" w:rsidRDefault="0096763F" w:rsidP="0096763F">
      <w:pPr>
        <w:numPr>
          <w:ilvl w:val="0"/>
          <w:numId w:val="13"/>
        </w:num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The need to create a supportive and inclusive work environment </w:t>
      </w:r>
    </w:p>
    <w:p w14:paraId="6C5488E0" w14:textId="77777777" w:rsidR="0096763F" w:rsidRPr="0096763F" w:rsidRDefault="0096763F" w:rsidP="0096763F">
      <w:pPr>
        <w:numPr>
          <w:ilvl w:val="0"/>
          <w:numId w:val="13"/>
        </w:num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 xml:space="preserve">The value of investing in employee development and well-being </w:t>
      </w:r>
    </w:p>
    <w:p w14:paraId="0213F3D0" w14:textId="77777777" w:rsidR="0096763F" w:rsidRPr="0096763F" w:rsidRDefault="0096763F" w:rsidP="0096763F">
      <w:pPr>
        <w:spacing w:line="480" w:lineRule="auto"/>
        <w:rPr>
          <w:rFonts w:ascii="Times New Roman" w:eastAsiaTheme="majorEastAsia" w:hAnsi="Times New Roman" w:cs="Times New Roman"/>
          <w:color w:val="000000" w:themeColor="text1"/>
          <w:szCs w:val="24"/>
        </w:rPr>
      </w:pPr>
      <w:r w:rsidRPr="0096763F">
        <w:rPr>
          <w:rFonts w:ascii="Times New Roman" w:eastAsiaTheme="majorEastAsia" w:hAnsi="Times New Roman" w:cs="Times New Roman"/>
          <w:color w:val="000000" w:themeColor="text1"/>
          <w:szCs w:val="24"/>
        </w:rPr>
        <w:t>Organizations can adapt these principles to their specific contexts, even if they cannot replicate Google’s exact practices. The emphasis should be on creating a culture that supports engagement, innovation, and continuous learning.</w:t>
      </w:r>
    </w:p>
    <w:p w14:paraId="5C3E0F0C" w14:textId="77777777" w:rsidR="00B55503" w:rsidRDefault="00B55503" w:rsidP="00B55503">
      <w:pPr>
        <w:spacing w:line="480" w:lineRule="auto"/>
        <w:rPr>
          <w:rFonts w:ascii="Times New Roman" w:eastAsiaTheme="majorEastAsia" w:hAnsi="Times New Roman" w:cs="Times New Roman"/>
          <w:b/>
          <w:bCs/>
          <w:color w:val="000000" w:themeColor="text1"/>
          <w:szCs w:val="24"/>
        </w:rPr>
      </w:pPr>
    </w:p>
    <w:p w14:paraId="786A761B"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2819F710"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1E66C84A"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75A287BC"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269C756D"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66BF97CF"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45EC98B3"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58235E6C" w14:textId="77777777" w:rsidR="0096763F" w:rsidRDefault="0096763F" w:rsidP="00B55503">
      <w:pPr>
        <w:spacing w:line="480" w:lineRule="auto"/>
        <w:rPr>
          <w:rFonts w:ascii="Times New Roman" w:eastAsiaTheme="majorEastAsia" w:hAnsi="Times New Roman" w:cs="Times New Roman"/>
          <w:b/>
          <w:bCs/>
          <w:color w:val="000000" w:themeColor="text1"/>
          <w:szCs w:val="24"/>
        </w:rPr>
      </w:pPr>
    </w:p>
    <w:p w14:paraId="53D42CE7" w14:textId="77777777" w:rsidR="00B55503" w:rsidRDefault="00B55503" w:rsidP="00B55503">
      <w:pPr>
        <w:spacing w:line="480" w:lineRule="auto"/>
        <w:rPr>
          <w:rFonts w:ascii="Times New Roman" w:eastAsiaTheme="majorEastAsia" w:hAnsi="Times New Roman" w:cs="Times New Roman"/>
          <w:b/>
          <w:bCs/>
          <w:color w:val="000000" w:themeColor="text1"/>
          <w:szCs w:val="24"/>
        </w:rPr>
      </w:pPr>
    </w:p>
    <w:p w14:paraId="0DCB8931" w14:textId="77777777" w:rsidR="00B55503" w:rsidRPr="003845EE" w:rsidRDefault="00B55503" w:rsidP="00B55503">
      <w:pPr>
        <w:spacing w:line="480" w:lineRule="auto"/>
        <w:rPr>
          <w:rFonts w:ascii="Times New Roman" w:eastAsiaTheme="majorEastAsia" w:hAnsi="Times New Roman" w:cs="Times New Roman"/>
          <w:b/>
          <w:bCs/>
          <w:color w:val="000000" w:themeColor="text1"/>
          <w:szCs w:val="24"/>
        </w:rPr>
      </w:pPr>
      <w:r w:rsidRPr="003845EE">
        <w:rPr>
          <w:rFonts w:ascii="Times New Roman" w:eastAsiaTheme="majorEastAsia" w:hAnsi="Times New Roman" w:cs="Times New Roman"/>
          <w:b/>
          <w:bCs/>
          <w:color w:val="000000" w:themeColor="text1"/>
          <w:szCs w:val="24"/>
        </w:rPr>
        <w:lastRenderedPageBreak/>
        <w:t>Recommendations</w:t>
      </w:r>
    </w:p>
    <w:p w14:paraId="178BDF60" w14:textId="77777777" w:rsidR="00DC21E0" w:rsidRPr="00DC21E0" w:rsidRDefault="00DC21E0" w:rsidP="00DC21E0">
      <w:pPr>
        <w:spacing w:line="480" w:lineRule="auto"/>
        <w:rPr>
          <w:rFonts w:ascii="Times New Roman" w:eastAsiaTheme="majorEastAsia" w:hAnsi="Times New Roman" w:cs="Times New Roman"/>
          <w:color w:val="000000" w:themeColor="text1"/>
          <w:szCs w:val="24"/>
        </w:rPr>
      </w:pPr>
      <w:r w:rsidRPr="00DC21E0">
        <w:rPr>
          <w:rFonts w:ascii="Times New Roman" w:eastAsiaTheme="majorEastAsia" w:hAnsi="Times New Roman" w:cs="Times New Roman"/>
          <w:color w:val="000000" w:themeColor="text1"/>
          <w:szCs w:val="24"/>
        </w:rPr>
        <w:t>Based on the analysis of Google’s talent management and employee engagement strategies, several key recommendations can be proposed for organizations aiming to enhance their human resource practices and overall performance.</w:t>
      </w:r>
    </w:p>
    <w:p w14:paraId="6C052E8E" w14:textId="77777777" w:rsidR="00DC21E0" w:rsidRPr="00DC21E0" w:rsidRDefault="00DC21E0" w:rsidP="00DC21E0">
      <w:pPr>
        <w:spacing w:line="480" w:lineRule="auto"/>
        <w:rPr>
          <w:rFonts w:ascii="Times New Roman" w:eastAsiaTheme="majorEastAsia" w:hAnsi="Times New Roman" w:cs="Times New Roman"/>
          <w:b/>
          <w:bCs/>
          <w:color w:val="000000" w:themeColor="text1"/>
          <w:szCs w:val="24"/>
        </w:rPr>
      </w:pPr>
      <w:r w:rsidRPr="00DC21E0">
        <w:rPr>
          <w:rFonts w:ascii="Times New Roman" w:eastAsiaTheme="majorEastAsia" w:hAnsi="Times New Roman" w:cs="Times New Roman"/>
          <w:b/>
          <w:bCs/>
          <w:color w:val="000000" w:themeColor="text1"/>
          <w:szCs w:val="24"/>
        </w:rPr>
        <w:t>1. Align Talent Management with Organizational Strategy</w:t>
      </w:r>
    </w:p>
    <w:p w14:paraId="1DD7DEC5" w14:textId="77777777" w:rsidR="00DC21E0" w:rsidRPr="00DC21E0" w:rsidRDefault="00DC21E0" w:rsidP="00DC21E0">
      <w:pPr>
        <w:spacing w:line="480" w:lineRule="auto"/>
        <w:rPr>
          <w:rFonts w:ascii="Times New Roman" w:eastAsiaTheme="majorEastAsia" w:hAnsi="Times New Roman" w:cs="Times New Roman"/>
          <w:color w:val="000000" w:themeColor="text1"/>
          <w:szCs w:val="24"/>
        </w:rPr>
      </w:pPr>
      <w:r w:rsidRPr="00DC21E0">
        <w:rPr>
          <w:rFonts w:ascii="Times New Roman" w:eastAsiaTheme="majorEastAsia" w:hAnsi="Times New Roman" w:cs="Times New Roman"/>
          <w:color w:val="000000" w:themeColor="text1"/>
          <w:szCs w:val="24"/>
        </w:rPr>
        <w:t xml:space="preserve">Organizations should ensure that talent management practices are closely aligned with their strategic objectives. As demonstrated by Google, integrating HR strategies with business goals enhances organizational effectiveness and competitive advantage (Barney, 1991; Boxall &amp; Purcell, 2016). Firms should identify critical roles and competencies required for long-term success and design targeted talent pipelines accordingly (Collings &amp; </w:t>
      </w:r>
      <w:proofErr w:type="spellStart"/>
      <w:r w:rsidRPr="00DC21E0">
        <w:rPr>
          <w:rFonts w:ascii="Times New Roman" w:eastAsiaTheme="majorEastAsia" w:hAnsi="Times New Roman" w:cs="Times New Roman"/>
          <w:color w:val="000000" w:themeColor="text1"/>
          <w:szCs w:val="24"/>
        </w:rPr>
        <w:t>Mellahi</w:t>
      </w:r>
      <w:proofErr w:type="spellEnd"/>
      <w:r w:rsidRPr="00DC21E0">
        <w:rPr>
          <w:rFonts w:ascii="Times New Roman" w:eastAsiaTheme="majorEastAsia" w:hAnsi="Times New Roman" w:cs="Times New Roman"/>
          <w:color w:val="000000" w:themeColor="text1"/>
          <w:szCs w:val="24"/>
        </w:rPr>
        <w:t>, 2009).</w:t>
      </w:r>
    </w:p>
    <w:p w14:paraId="7D89F5AB" w14:textId="77777777" w:rsidR="00DC21E0" w:rsidRPr="00DC21E0" w:rsidRDefault="00DC21E0" w:rsidP="00DC21E0">
      <w:pPr>
        <w:spacing w:line="480" w:lineRule="auto"/>
        <w:rPr>
          <w:rFonts w:ascii="Times New Roman" w:eastAsiaTheme="majorEastAsia" w:hAnsi="Times New Roman" w:cs="Times New Roman"/>
          <w:b/>
          <w:bCs/>
          <w:color w:val="000000" w:themeColor="text1"/>
          <w:szCs w:val="24"/>
        </w:rPr>
      </w:pPr>
      <w:r w:rsidRPr="00DC21E0">
        <w:rPr>
          <w:rFonts w:ascii="Times New Roman" w:eastAsiaTheme="majorEastAsia" w:hAnsi="Times New Roman" w:cs="Times New Roman"/>
          <w:b/>
          <w:bCs/>
          <w:color w:val="000000" w:themeColor="text1"/>
          <w:szCs w:val="24"/>
        </w:rPr>
        <w:t>2. Adopt Data-Driven HR Practices</w:t>
      </w:r>
    </w:p>
    <w:p w14:paraId="30A2939D" w14:textId="77777777" w:rsidR="00DC21E0" w:rsidRPr="00DC21E0" w:rsidRDefault="00DC21E0" w:rsidP="00DC21E0">
      <w:pPr>
        <w:spacing w:line="480" w:lineRule="auto"/>
        <w:rPr>
          <w:rFonts w:ascii="Times New Roman" w:eastAsiaTheme="majorEastAsia" w:hAnsi="Times New Roman" w:cs="Times New Roman"/>
          <w:color w:val="000000" w:themeColor="text1"/>
          <w:szCs w:val="24"/>
        </w:rPr>
      </w:pPr>
      <w:r w:rsidRPr="00DC21E0">
        <w:rPr>
          <w:rFonts w:ascii="Times New Roman" w:eastAsiaTheme="majorEastAsia" w:hAnsi="Times New Roman" w:cs="Times New Roman"/>
          <w:color w:val="000000" w:themeColor="text1"/>
          <w:szCs w:val="24"/>
        </w:rPr>
        <w:t xml:space="preserve">Companies are encouraged to invest in </w:t>
      </w:r>
      <w:r w:rsidRPr="00DC21E0">
        <w:rPr>
          <w:rFonts w:ascii="Times New Roman" w:eastAsiaTheme="majorEastAsia" w:hAnsi="Times New Roman" w:cs="Times New Roman"/>
          <w:b/>
          <w:bCs/>
          <w:color w:val="000000" w:themeColor="text1"/>
          <w:szCs w:val="24"/>
        </w:rPr>
        <w:t>HR analytics</w:t>
      </w:r>
      <w:r w:rsidRPr="00DC21E0">
        <w:rPr>
          <w:rFonts w:ascii="Times New Roman" w:eastAsiaTheme="majorEastAsia" w:hAnsi="Times New Roman" w:cs="Times New Roman"/>
          <w:color w:val="000000" w:themeColor="text1"/>
          <w:szCs w:val="24"/>
        </w:rPr>
        <w:t xml:space="preserve"> to support evidence-based decision-making. Google’s use of People Analytics highlights the importance of leveraging data to improve recruitment, performance management, and employee retention (Davenport et al., 2010; Marler &amp; Boudreau, 2017). Organizations can implement analytics tools to track employee engagement, predict turnover, and evaluate the effectiveness of HR interventions (</w:t>
      </w:r>
      <w:proofErr w:type="spellStart"/>
      <w:r w:rsidRPr="00DC21E0">
        <w:rPr>
          <w:rFonts w:ascii="Times New Roman" w:eastAsiaTheme="majorEastAsia" w:hAnsi="Times New Roman" w:cs="Times New Roman"/>
          <w:color w:val="000000" w:themeColor="text1"/>
          <w:szCs w:val="24"/>
        </w:rPr>
        <w:t>Angrave</w:t>
      </w:r>
      <w:proofErr w:type="spellEnd"/>
      <w:r w:rsidRPr="00DC21E0">
        <w:rPr>
          <w:rFonts w:ascii="Times New Roman" w:eastAsiaTheme="majorEastAsia" w:hAnsi="Times New Roman" w:cs="Times New Roman"/>
          <w:color w:val="000000" w:themeColor="text1"/>
          <w:szCs w:val="24"/>
        </w:rPr>
        <w:t xml:space="preserve"> et al., 2016).</w:t>
      </w:r>
    </w:p>
    <w:p w14:paraId="6805B67D" w14:textId="77777777" w:rsidR="00DC21E0" w:rsidRPr="00DC21E0" w:rsidRDefault="00DC21E0" w:rsidP="00DC21E0">
      <w:pPr>
        <w:spacing w:line="480" w:lineRule="auto"/>
        <w:rPr>
          <w:rFonts w:ascii="Times New Roman" w:eastAsiaTheme="majorEastAsia" w:hAnsi="Times New Roman" w:cs="Times New Roman"/>
          <w:b/>
          <w:bCs/>
          <w:color w:val="000000" w:themeColor="text1"/>
          <w:szCs w:val="24"/>
        </w:rPr>
      </w:pPr>
      <w:r w:rsidRPr="00DC21E0">
        <w:rPr>
          <w:rFonts w:ascii="Times New Roman" w:eastAsiaTheme="majorEastAsia" w:hAnsi="Times New Roman" w:cs="Times New Roman"/>
          <w:b/>
          <w:bCs/>
          <w:color w:val="000000" w:themeColor="text1"/>
          <w:szCs w:val="24"/>
        </w:rPr>
        <w:t>3. Foster Employee Engagement through Job Resources</w:t>
      </w:r>
    </w:p>
    <w:p w14:paraId="3E36CC0D" w14:textId="77777777" w:rsidR="00DC21E0" w:rsidRPr="00DC21E0" w:rsidRDefault="00DC21E0" w:rsidP="00DC21E0">
      <w:pPr>
        <w:spacing w:line="480" w:lineRule="auto"/>
        <w:rPr>
          <w:rFonts w:ascii="Times New Roman" w:eastAsiaTheme="majorEastAsia" w:hAnsi="Times New Roman" w:cs="Times New Roman"/>
          <w:color w:val="000000" w:themeColor="text1"/>
          <w:szCs w:val="24"/>
        </w:rPr>
      </w:pPr>
      <w:r w:rsidRPr="00DC21E0">
        <w:rPr>
          <w:rFonts w:ascii="Times New Roman" w:eastAsiaTheme="majorEastAsia" w:hAnsi="Times New Roman" w:cs="Times New Roman"/>
          <w:color w:val="000000" w:themeColor="text1"/>
          <w:szCs w:val="24"/>
        </w:rPr>
        <w:t xml:space="preserve">To enhance employee engagement, organizations should focus on providing key job resources such as autonomy, feedback, and opportunities for development. The Job Demands-Resources model suggests that these resources significantly improve motivation and performance (Bakker </w:t>
      </w:r>
      <w:r w:rsidRPr="00DC21E0">
        <w:rPr>
          <w:rFonts w:ascii="Times New Roman" w:eastAsiaTheme="majorEastAsia" w:hAnsi="Times New Roman" w:cs="Times New Roman"/>
          <w:color w:val="000000" w:themeColor="text1"/>
          <w:szCs w:val="24"/>
        </w:rPr>
        <w:lastRenderedPageBreak/>
        <w:t>&amp; Demerouti, 2008; Bakker et al., 2014). Practices such as flexible work arrangements, recognition programs, and participative decision-making can increase employee commitment and satisfaction (Kahn, 1990; Saks, 2006).</w:t>
      </w:r>
    </w:p>
    <w:p w14:paraId="573EE51D" w14:textId="77777777" w:rsidR="00DC21E0" w:rsidRPr="00DC21E0" w:rsidRDefault="00DC21E0" w:rsidP="00DC21E0">
      <w:pPr>
        <w:spacing w:line="480" w:lineRule="auto"/>
        <w:rPr>
          <w:rFonts w:ascii="Times New Roman" w:eastAsiaTheme="majorEastAsia" w:hAnsi="Times New Roman" w:cs="Times New Roman"/>
          <w:b/>
          <w:bCs/>
          <w:color w:val="000000" w:themeColor="text1"/>
          <w:szCs w:val="24"/>
        </w:rPr>
      </w:pPr>
      <w:r w:rsidRPr="00DC21E0">
        <w:rPr>
          <w:rFonts w:ascii="Times New Roman" w:eastAsiaTheme="majorEastAsia" w:hAnsi="Times New Roman" w:cs="Times New Roman"/>
          <w:b/>
          <w:bCs/>
          <w:color w:val="000000" w:themeColor="text1"/>
          <w:szCs w:val="24"/>
        </w:rPr>
        <w:t>4. Promote Continuous Learning and Development</w:t>
      </w:r>
    </w:p>
    <w:p w14:paraId="22E873EF" w14:textId="77777777" w:rsidR="00DC21E0" w:rsidRPr="00DC21E0" w:rsidRDefault="00DC21E0" w:rsidP="00DC21E0">
      <w:pPr>
        <w:spacing w:line="480" w:lineRule="auto"/>
        <w:rPr>
          <w:rFonts w:ascii="Times New Roman" w:eastAsiaTheme="majorEastAsia" w:hAnsi="Times New Roman" w:cs="Times New Roman"/>
          <w:color w:val="000000" w:themeColor="text1"/>
          <w:szCs w:val="24"/>
        </w:rPr>
      </w:pPr>
      <w:r w:rsidRPr="00DC21E0">
        <w:rPr>
          <w:rFonts w:ascii="Times New Roman" w:eastAsiaTheme="majorEastAsia" w:hAnsi="Times New Roman" w:cs="Times New Roman"/>
          <w:color w:val="000000" w:themeColor="text1"/>
          <w:szCs w:val="24"/>
        </w:rPr>
        <w:t>Organizations should invest in continuous learning initiatives to enhance employee skills and adaptability. Training programs, mentoring systems, and knowledge-sharing platforms can improve employee competence and engagement (</w:t>
      </w:r>
      <w:proofErr w:type="spellStart"/>
      <w:r w:rsidRPr="00DC21E0">
        <w:rPr>
          <w:rFonts w:ascii="Times New Roman" w:eastAsiaTheme="majorEastAsia" w:hAnsi="Times New Roman" w:cs="Times New Roman"/>
          <w:color w:val="000000" w:themeColor="text1"/>
          <w:szCs w:val="24"/>
        </w:rPr>
        <w:t>Gagné</w:t>
      </w:r>
      <w:proofErr w:type="spellEnd"/>
      <w:r w:rsidRPr="00DC21E0">
        <w:rPr>
          <w:rFonts w:ascii="Times New Roman" w:eastAsiaTheme="majorEastAsia" w:hAnsi="Times New Roman" w:cs="Times New Roman"/>
          <w:color w:val="000000" w:themeColor="text1"/>
          <w:szCs w:val="24"/>
        </w:rPr>
        <w:t xml:space="preserve"> &amp; Deci, 2005; Becker, 1964). As seen in Google, fostering a learning culture supports innovation and long-term organizational growth (Garvin, 2013; Bock, 2015).</w:t>
      </w:r>
    </w:p>
    <w:p w14:paraId="4AB46EF7" w14:textId="77777777" w:rsidR="00DC21E0" w:rsidRPr="00DC21E0" w:rsidRDefault="00DC21E0" w:rsidP="00DC21E0">
      <w:pPr>
        <w:spacing w:line="480" w:lineRule="auto"/>
        <w:rPr>
          <w:rFonts w:ascii="Times New Roman" w:eastAsiaTheme="majorEastAsia" w:hAnsi="Times New Roman" w:cs="Times New Roman"/>
          <w:b/>
          <w:bCs/>
          <w:color w:val="000000" w:themeColor="text1"/>
          <w:szCs w:val="24"/>
        </w:rPr>
      </w:pPr>
      <w:r w:rsidRPr="00DC21E0">
        <w:rPr>
          <w:rFonts w:ascii="Times New Roman" w:eastAsiaTheme="majorEastAsia" w:hAnsi="Times New Roman" w:cs="Times New Roman"/>
          <w:b/>
          <w:bCs/>
          <w:color w:val="000000" w:themeColor="text1"/>
          <w:szCs w:val="24"/>
        </w:rPr>
        <w:t>5. Build a Culture of Psychological Safety</w:t>
      </w:r>
    </w:p>
    <w:p w14:paraId="0711DD17" w14:textId="77777777" w:rsidR="00DC21E0" w:rsidRPr="00DC21E0" w:rsidRDefault="00DC21E0" w:rsidP="00DC21E0">
      <w:pPr>
        <w:spacing w:line="480" w:lineRule="auto"/>
        <w:rPr>
          <w:rFonts w:ascii="Times New Roman" w:eastAsiaTheme="majorEastAsia" w:hAnsi="Times New Roman" w:cs="Times New Roman"/>
          <w:color w:val="000000" w:themeColor="text1"/>
          <w:szCs w:val="24"/>
        </w:rPr>
      </w:pPr>
      <w:r w:rsidRPr="00DC21E0">
        <w:rPr>
          <w:rFonts w:ascii="Times New Roman" w:eastAsiaTheme="majorEastAsia" w:hAnsi="Times New Roman" w:cs="Times New Roman"/>
          <w:color w:val="000000" w:themeColor="text1"/>
          <w:szCs w:val="24"/>
        </w:rPr>
        <w:t xml:space="preserve">Creating a psychologically safe work environment is essential for encouraging innovation and collaboration. Organizations should promote open communication, trust, and inclusivity to enable employees to share ideas and take risks without fear of negative consequences (Edmondson, 1999; Edmondson &amp; Lei, 2014). Leadership plays a crucial role in establishing such an environment by </w:t>
      </w:r>
      <w:proofErr w:type="spellStart"/>
      <w:r w:rsidRPr="00DC21E0">
        <w:rPr>
          <w:rFonts w:ascii="Times New Roman" w:eastAsiaTheme="majorEastAsia" w:hAnsi="Times New Roman" w:cs="Times New Roman"/>
          <w:color w:val="000000" w:themeColor="text1"/>
          <w:szCs w:val="24"/>
        </w:rPr>
        <w:t>modeling</w:t>
      </w:r>
      <w:proofErr w:type="spellEnd"/>
      <w:r w:rsidRPr="00DC21E0">
        <w:rPr>
          <w:rFonts w:ascii="Times New Roman" w:eastAsiaTheme="majorEastAsia" w:hAnsi="Times New Roman" w:cs="Times New Roman"/>
          <w:color w:val="000000" w:themeColor="text1"/>
          <w:szCs w:val="24"/>
        </w:rPr>
        <w:t xml:space="preserve"> supportive </w:t>
      </w:r>
      <w:proofErr w:type="spellStart"/>
      <w:r w:rsidRPr="00DC21E0">
        <w:rPr>
          <w:rFonts w:ascii="Times New Roman" w:eastAsiaTheme="majorEastAsia" w:hAnsi="Times New Roman" w:cs="Times New Roman"/>
          <w:color w:val="000000" w:themeColor="text1"/>
          <w:szCs w:val="24"/>
        </w:rPr>
        <w:t>behaviors</w:t>
      </w:r>
      <w:proofErr w:type="spellEnd"/>
      <w:r w:rsidRPr="00DC21E0">
        <w:rPr>
          <w:rFonts w:ascii="Times New Roman" w:eastAsiaTheme="majorEastAsia" w:hAnsi="Times New Roman" w:cs="Times New Roman"/>
          <w:color w:val="000000" w:themeColor="text1"/>
          <w:szCs w:val="24"/>
        </w:rPr>
        <w:t xml:space="preserve"> and encouraging feedback.</w:t>
      </w:r>
    </w:p>
    <w:p w14:paraId="535B6949" w14:textId="77777777" w:rsidR="00DC21E0" w:rsidRPr="00DC21E0" w:rsidRDefault="00DC21E0" w:rsidP="00DC21E0">
      <w:pPr>
        <w:spacing w:line="480" w:lineRule="auto"/>
        <w:rPr>
          <w:rFonts w:ascii="Times New Roman" w:eastAsiaTheme="majorEastAsia" w:hAnsi="Times New Roman" w:cs="Times New Roman"/>
          <w:b/>
          <w:bCs/>
          <w:color w:val="000000" w:themeColor="text1"/>
          <w:szCs w:val="24"/>
        </w:rPr>
      </w:pPr>
      <w:r w:rsidRPr="00DC21E0">
        <w:rPr>
          <w:rFonts w:ascii="Times New Roman" w:eastAsiaTheme="majorEastAsia" w:hAnsi="Times New Roman" w:cs="Times New Roman"/>
          <w:b/>
          <w:bCs/>
          <w:color w:val="000000" w:themeColor="text1"/>
          <w:szCs w:val="24"/>
        </w:rPr>
        <w:t>6. Customize Talent Management Practices</w:t>
      </w:r>
    </w:p>
    <w:p w14:paraId="74E2FC9E" w14:textId="77777777" w:rsidR="00DC21E0" w:rsidRPr="00DC21E0" w:rsidRDefault="00DC21E0" w:rsidP="00DC21E0">
      <w:pPr>
        <w:spacing w:line="480" w:lineRule="auto"/>
        <w:rPr>
          <w:rFonts w:ascii="Times New Roman" w:eastAsiaTheme="majorEastAsia" w:hAnsi="Times New Roman" w:cs="Times New Roman"/>
          <w:color w:val="000000" w:themeColor="text1"/>
          <w:szCs w:val="24"/>
        </w:rPr>
      </w:pPr>
      <w:r w:rsidRPr="00DC21E0">
        <w:rPr>
          <w:rFonts w:ascii="Times New Roman" w:eastAsiaTheme="majorEastAsia" w:hAnsi="Times New Roman" w:cs="Times New Roman"/>
          <w:color w:val="000000" w:themeColor="text1"/>
          <w:szCs w:val="24"/>
        </w:rPr>
        <w:t>While Google’s strategies provide valuable insights, organizations should adapt these practices to their specific context, size, and industry. A “one-size-fits-all” approach may not be effective, particularly for smaller firms with limited resources (Tarique &amp; Schuler, 2010; Collings et al., 2015). Tailoring HR practices ensures better alignment with organizational capabilities and workforce needs.</w:t>
      </w:r>
    </w:p>
    <w:p w14:paraId="43023734" w14:textId="77777777" w:rsidR="00DC21E0" w:rsidRPr="00DC21E0" w:rsidRDefault="00DC21E0" w:rsidP="00DC21E0">
      <w:pPr>
        <w:spacing w:line="480" w:lineRule="auto"/>
        <w:rPr>
          <w:rFonts w:ascii="Times New Roman" w:eastAsiaTheme="majorEastAsia" w:hAnsi="Times New Roman" w:cs="Times New Roman"/>
          <w:b/>
          <w:bCs/>
          <w:color w:val="000000" w:themeColor="text1"/>
          <w:szCs w:val="24"/>
        </w:rPr>
      </w:pPr>
      <w:r w:rsidRPr="00DC21E0">
        <w:rPr>
          <w:rFonts w:ascii="Times New Roman" w:eastAsiaTheme="majorEastAsia" w:hAnsi="Times New Roman" w:cs="Times New Roman"/>
          <w:b/>
          <w:bCs/>
          <w:color w:val="000000" w:themeColor="text1"/>
          <w:szCs w:val="24"/>
        </w:rPr>
        <w:lastRenderedPageBreak/>
        <w:t>7. Balance Employee Well-being and Performance Management</w:t>
      </w:r>
    </w:p>
    <w:p w14:paraId="470C9ED5" w14:textId="77777777" w:rsidR="00DC21E0" w:rsidRPr="00DC21E0" w:rsidRDefault="00DC21E0" w:rsidP="00DC21E0">
      <w:pPr>
        <w:spacing w:line="480" w:lineRule="auto"/>
        <w:rPr>
          <w:rFonts w:ascii="Times New Roman" w:eastAsiaTheme="majorEastAsia" w:hAnsi="Times New Roman" w:cs="Times New Roman"/>
          <w:color w:val="000000" w:themeColor="text1"/>
          <w:szCs w:val="24"/>
        </w:rPr>
      </w:pPr>
      <w:r w:rsidRPr="00DC21E0">
        <w:rPr>
          <w:rFonts w:ascii="Times New Roman" w:eastAsiaTheme="majorEastAsia" w:hAnsi="Times New Roman" w:cs="Times New Roman"/>
          <w:color w:val="000000" w:themeColor="text1"/>
          <w:szCs w:val="24"/>
        </w:rPr>
        <w:t>Organizations should strike a balance between promoting employee well-being and maintaining high performance standards. While engagement initiatives improve satisfaction, they should be complemented by clear performance expectations and accountability systems (Cappelli, 2008). This balance ensures that employee-focused policies contribute to both individual and organizational success.</w:t>
      </w:r>
    </w:p>
    <w:p w14:paraId="4A361C28" w14:textId="77777777" w:rsidR="00DC21E0" w:rsidRPr="00DC21E0" w:rsidRDefault="00DC21E0" w:rsidP="00DC21E0">
      <w:pPr>
        <w:spacing w:line="480" w:lineRule="auto"/>
        <w:rPr>
          <w:rFonts w:ascii="Times New Roman" w:eastAsiaTheme="majorEastAsia" w:hAnsi="Times New Roman" w:cs="Times New Roman"/>
          <w:b/>
          <w:bCs/>
          <w:color w:val="000000" w:themeColor="text1"/>
          <w:szCs w:val="24"/>
        </w:rPr>
      </w:pPr>
      <w:r w:rsidRPr="00DC21E0">
        <w:rPr>
          <w:rFonts w:ascii="Times New Roman" w:eastAsiaTheme="majorEastAsia" w:hAnsi="Times New Roman" w:cs="Times New Roman"/>
          <w:b/>
          <w:bCs/>
          <w:color w:val="000000" w:themeColor="text1"/>
          <w:szCs w:val="24"/>
        </w:rPr>
        <w:t>8. Strengthen Leadership and Managerial Capabilities</w:t>
      </w:r>
    </w:p>
    <w:p w14:paraId="18E30F03" w14:textId="77777777" w:rsidR="00DC21E0" w:rsidRPr="00DC21E0" w:rsidRDefault="00DC21E0" w:rsidP="00DC21E0">
      <w:pPr>
        <w:spacing w:line="480" w:lineRule="auto"/>
        <w:rPr>
          <w:rFonts w:ascii="Times New Roman" w:eastAsiaTheme="majorEastAsia" w:hAnsi="Times New Roman" w:cs="Times New Roman"/>
          <w:color w:val="000000" w:themeColor="text1"/>
          <w:szCs w:val="24"/>
        </w:rPr>
      </w:pPr>
      <w:r w:rsidRPr="00DC21E0">
        <w:rPr>
          <w:rFonts w:ascii="Times New Roman" w:eastAsiaTheme="majorEastAsia" w:hAnsi="Times New Roman" w:cs="Times New Roman"/>
          <w:color w:val="000000" w:themeColor="text1"/>
          <w:szCs w:val="24"/>
        </w:rPr>
        <w:t>Effective leadership is critical for implementing talent management and engagement strategies. Organizations should invest in leadership development programs to enhance managerial effectiveness, communication, and team-building skills (Garvin, 2013; Harter et al., 2002). Strong leadership fosters trust, motivation, and alignment with organizational goals.</w:t>
      </w:r>
    </w:p>
    <w:p w14:paraId="397476F5" w14:textId="77777777" w:rsidR="00DC21E0" w:rsidRDefault="00DC21E0" w:rsidP="00B55503">
      <w:pPr>
        <w:spacing w:line="480" w:lineRule="auto"/>
        <w:rPr>
          <w:rFonts w:ascii="Times New Roman" w:eastAsiaTheme="majorEastAsia" w:hAnsi="Times New Roman" w:cs="Times New Roman"/>
          <w:b/>
          <w:bCs/>
          <w:color w:val="000000" w:themeColor="text1"/>
          <w:szCs w:val="24"/>
        </w:rPr>
      </w:pPr>
    </w:p>
    <w:p w14:paraId="7612292F" w14:textId="77777777" w:rsidR="00DC21E0" w:rsidRDefault="00DC21E0" w:rsidP="00B55503">
      <w:pPr>
        <w:spacing w:line="480" w:lineRule="auto"/>
        <w:rPr>
          <w:rFonts w:ascii="Times New Roman" w:eastAsiaTheme="majorEastAsia" w:hAnsi="Times New Roman" w:cs="Times New Roman"/>
          <w:b/>
          <w:bCs/>
          <w:color w:val="000000" w:themeColor="text1"/>
          <w:szCs w:val="24"/>
        </w:rPr>
      </w:pPr>
    </w:p>
    <w:p w14:paraId="1F1B3F05" w14:textId="77777777" w:rsidR="00DC21E0" w:rsidRDefault="00DC21E0" w:rsidP="00B55503">
      <w:pPr>
        <w:spacing w:line="480" w:lineRule="auto"/>
        <w:rPr>
          <w:rFonts w:ascii="Times New Roman" w:eastAsiaTheme="majorEastAsia" w:hAnsi="Times New Roman" w:cs="Times New Roman"/>
          <w:b/>
          <w:bCs/>
          <w:color w:val="000000" w:themeColor="text1"/>
          <w:szCs w:val="24"/>
        </w:rPr>
      </w:pPr>
    </w:p>
    <w:p w14:paraId="7DF9331B" w14:textId="77777777" w:rsidR="00DC21E0" w:rsidRDefault="00DC21E0" w:rsidP="00B55503">
      <w:pPr>
        <w:spacing w:line="480" w:lineRule="auto"/>
        <w:rPr>
          <w:rFonts w:ascii="Times New Roman" w:eastAsiaTheme="majorEastAsia" w:hAnsi="Times New Roman" w:cs="Times New Roman"/>
          <w:b/>
          <w:bCs/>
          <w:color w:val="000000" w:themeColor="text1"/>
          <w:szCs w:val="24"/>
        </w:rPr>
      </w:pPr>
    </w:p>
    <w:p w14:paraId="682E6DA5" w14:textId="77777777" w:rsidR="00DC21E0" w:rsidRDefault="00DC21E0" w:rsidP="00B55503">
      <w:pPr>
        <w:spacing w:line="480" w:lineRule="auto"/>
        <w:rPr>
          <w:rFonts w:ascii="Times New Roman" w:eastAsiaTheme="majorEastAsia" w:hAnsi="Times New Roman" w:cs="Times New Roman"/>
          <w:b/>
          <w:bCs/>
          <w:color w:val="000000" w:themeColor="text1"/>
          <w:szCs w:val="24"/>
        </w:rPr>
      </w:pPr>
    </w:p>
    <w:p w14:paraId="756F79B5" w14:textId="77777777" w:rsidR="00DC21E0" w:rsidRDefault="00DC21E0" w:rsidP="00B55503">
      <w:pPr>
        <w:spacing w:line="480" w:lineRule="auto"/>
        <w:rPr>
          <w:rFonts w:ascii="Times New Roman" w:eastAsiaTheme="majorEastAsia" w:hAnsi="Times New Roman" w:cs="Times New Roman"/>
          <w:b/>
          <w:bCs/>
          <w:color w:val="000000" w:themeColor="text1"/>
          <w:szCs w:val="24"/>
        </w:rPr>
      </w:pPr>
    </w:p>
    <w:p w14:paraId="34CF719D" w14:textId="77777777" w:rsidR="00DC21E0" w:rsidRDefault="00DC21E0" w:rsidP="00B55503">
      <w:pPr>
        <w:spacing w:line="480" w:lineRule="auto"/>
        <w:rPr>
          <w:rFonts w:ascii="Times New Roman" w:eastAsiaTheme="majorEastAsia" w:hAnsi="Times New Roman" w:cs="Times New Roman"/>
          <w:b/>
          <w:bCs/>
          <w:color w:val="000000" w:themeColor="text1"/>
          <w:szCs w:val="24"/>
        </w:rPr>
      </w:pPr>
    </w:p>
    <w:p w14:paraId="642C4B05" w14:textId="77777777" w:rsidR="00DC21E0" w:rsidRDefault="00DC21E0" w:rsidP="00B55503">
      <w:pPr>
        <w:spacing w:line="480" w:lineRule="auto"/>
        <w:rPr>
          <w:rFonts w:ascii="Times New Roman" w:eastAsiaTheme="majorEastAsia" w:hAnsi="Times New Roman" w:cs="Times New Roman"/>
          <w:b/>
          <w:bCs/>
          <w:color w:val="000000" w:themeColor="text1"/>
          <w:szCs w:val="24"/>
        </w:rPr>
      </w:pPr>
    </w:p>
    <w:p w14:paraId="12B44B4F" w14:textId="77777777" w:rsidR="00DC21E0" w:rsidRDefault="00DC21E0" w:rsidP="00B55503">
      <w:pPr>
        <w:spacing w:line="480" w:lineRule="auto"/>
        <w:rPr>
          <w:rFonts w:ascii="Times New Roman" w:eastAsiaTheme="majorEastAsia" w:hAnsi="Times New Roman" w:cs="Times New Roman"/>
          <w:b/>
          <w:bCs/>
          <w:color w:val="000000" w:themeColor="text1"/>
          <w:szCs w:val="24"/>
        </w:rPr>
      </w:pPr>
    </w:p>
    <w:p w14:paraId="5897B334" w14:textId="467A7D78" w:rsidR="00B55503" w:rsidRPr="00796E84" w:rsidRDefault="00B55503" w:rsidP="00B55503">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Conclusion</w:t>
      </w:r>
    </w:p>
    <w:p w14:paraId="6CD37FCE" w14:textId="77777777" w:rsidR="00DC21E0" w:rsidRPr="00DC21E0" w:rsidRDefault="00DC21E0" w:rsidP="00DC21E0">
      <w:pPr>
        <w:spacing w:line="480" w:lineRule="auto"/>
        <w:rPr>
          <w:rFonts w:ascii="Times New Roman" w:eastAsiaTheme="majorEastAsia" w:hAnsi="Times New Roman" w:cs="Times New Roman"/>
          <w:color w:val="000000" w:themeColor="text1"/>
          <w:szCs w:val="24"/>
        </w:rPr>
      </w:pPr>
      <w:r w:rsidRPr="00DC21E0">
        <w:rPr>
          <w:rFonts w:ascii="Times New Roman" w:eastAsiaTheme="majorEastAsia" w:hAnsi="Times New Roman" w:cs="Times New Roman"/>
          <w:color w:val="000000" w:themeColor="text1"/>
          <w:szCs w:val="24"/>
        </w:rPr>
        <w:t>This report has critically examined Google’s talent management and employee engagement strategies and their impact on organizational performance. The analysis demonstrates that Google’s success is not solely driven by technological capabilities, but also by its strategic approach to managing human capital. By integrating talent acquisition, development, and retention with employee engagement practices, Google has created a high-performance work environment that fosters innovation and sustained competitive advantage.</w:t>
      </w:r>
    </w:p>
    <w:p w14:paraId="08DAE844" w14:textId="77777777" w:rsidR="00DC21E0" w:rsidRPr="00DC21E0" w:rsidRDefault="00DC21E0" w:rsidP="00DC21E0">
      <w:pPr>
        <w:spacing w:line="480" w:lineRule="auto"/>
        <w:rPr>
          <w:rFonts w:ascii="Times New Roman" w:eastAsiaTheme="majorEastAsia" w:hAnsi="Times New Roman" w:cs="Times New Roman"/>
          <w:color w:val="000000" w:themeColor="text1"/>
          <w:szCs w:val="24"/>
        </w:rPr>
      </w:pPr>
      <w:r w:rsidRPr="00DC21E0">
        <w:rPr>
          <w:rFonts w:ascii="Times New Roman" w:eastAsiaTheme="majorEastAsia" w:hAnsi="Times New Roman" w:cs="Times New Roman"/>
          <w:color w:val="000000" w:themeColor="text1"/>
          <w:szCs w:val="24"/>
        </w:rPr>
        <w:t>The findings highlight that Google’s emphasis on data-driven HR practices, continuous learning, and psychological safety significantly enhances employee engagement and productivity. These practices align with key theoretical frameworks such as the Resource-Based View and the Job Demands-Resources model, reinforcing the idea that human capital is a critical driver of organizational success (Barney, 1991; Bakker &amp; Demerouti, 2008). Moreover, the company’s ability to create a culture of autonomy, collaboration, and inclusivity has contributed to high levels of employee satisfaction and innovation.</w:t>
      </w:r>
    </w:p>
    <w:p w14:paraId="510D37DE" w14:textId="77777777" w:rsidR="00DC21E0" w:rsidRPr="00DC21E0" w:rsidRDefault="00DC21E0" w:rsidP="00DC21E0">
      <w:pPr>
        <w:spacing w:line="480" w:lineRule="auto"/>
        <w:rPr>
          <w:rFonts w:ascii="Times New Roman" w:eastAsiaTheme="majorEastAsia" w:hAnsi="Times New Roman" w:cs="Times New Roman"/>
          <w:color w:val="000000" w:themeColor="text1"/>
          <w:szCs w:val="24"/>
        </w:rPr>
      </w:pPr>
      <w:r w:rsidRPr="00DC21E0">
        <w:rPr>
          <w:rFonts w:ascii="Times New Roman" w:eastAsiaTheme="majorEastAsia" w:hAnsi="Times New Roman" w:cs="Times New Roman"/>
          <w:color w:val="000000" w:themeColor="text1"/>
          <w:szCs w:val="24"/>
        </w:rPr>
        <w:t>However, the report also acknowledges that Google’s model may not be fully transferable to all organizations due to differences in resources, scale, and industry context. While the principles underlying its strategies are broadly applicable, organizations must adapt these practices to their unique environments. Additionally, maintaining a balance between employee well-being and performance accountability remains a key challenge for modern organizations.</w:t>
      </w:r>
    </w:p>
    <w:p w14:paraId="03251E36" w14:textId="77777777" w:rsidR="00DC21E0" w:rsidRPr="00DC21E0" w:rsidRDefault="00DC21E0" w:rsidP="00DC21E0">
      <w:pPr>
        <w:spacing w:line="480" w:lineRule="auto"/>
        <w:rPr>
          <w:rFonts w:ascii="Times New Roman" w:eastAsiaTheme="majorEastAsia" w:hAnsi="Times New Roman" w:cs="Times New Roman"/>
          <w:color w:val="000000" w:themeColor="text1"/>
          <w:szCs w:val="24"/>
        </w:rPr>
      </w:pPr>
      <w:r w:rsidRPr="00DC21E0">
        <w:rPr>
          <w:rFonts w:ascii="Times New Roman" w:eastAsiaTheme="majorEastAsia" w:hAnsi="Times New Roman" w:cs="Times New Roman"/>
          <w:color w:val="000000" w:themeColor="text1"/>
          <w:szCs w:val="24"/>
        </w:rPr>
        <w:t xml:space="preserve">Overall, the study concludes that effective talent management and employee engagement are essential for achieving organizational excellence. Google serves as a benchmark for how organizations can leverage human resource strategies to drive innovation, enhance employee </w:t>
      </w:r>
      <w:r w:rsidRPr="00DC21E0">
        <w:rPr>
          <w:rFonts w:ascii="Times New Roman" w:eastAsiaTheme="majorEastAsia" w:hAnsi="Times New Roman" w:cs="Times New Roman"/>
          <w:color w:val="000000" w:themeColor="text1"/>
          <w:szCs w:val="24"/>
        </w:rPr>
        <w:lastRenderedPageBreak/>
        <w:t>satisfaction, and sustain long-term performance. Future research could explore the applicability of these strategies in different organizational contexts and industries, providing further insights into the evolving role of human resource management in the digital age.</w:t>
      </w:r>
    </w:p>
    <w:p w14:paraId="77B2A0DF" w14:textId="77777777" w:rsidR="00B55503" w:rsidRPr="00796E84" w:rsidRDefault="00B55503" w:rsidP="00B55503">
      <w:pPr>
        <w:spacing w:line="480" w:lineRule="auto"/>
        <w:rPr>
          <w:rFonts w:ascii="Times New Roman" w:hAnsi="Times New Roman" w:cs="Times New Roman"/>
          <w:color w:val="000000" w:themeColor="text1"/>
          <w:szCs w:val="24"/>
        </w:rPr>
      </w:pPr>
    </w:p>
    <w:p w14:paraId="1AD28BBE" w14:textId="77777777" w:rsidR="00B55503" w:rsidRPr="00796E84" w:rsidRDefault="00B55503" w:rsidP="00B55503">
      <w:pPr>
        <w:pStyle w:val="Heading2"/>
        <w:rPr>
          <w:rFonts w:ascii="Times New Roman" w:hAnsi="Times New Roman" w:cs="Times New Roman"/>
          <w:b/>
          <w:bCs/>
          <w:color w:val="000000" w:themeColor="text1"/>
          <w:sz w:val="24"/>
          <w:szCs w:val="24"/>
        </w:rPr>
      </w:pPr>
      <w:bookmarkStart w:id="1" w:name="_Toc224846307"/>
      <w:r w:rsidRPr="00796E84">
        <w:rPr>
          <w:rFonts w:ascii="Times New Roman" w:hAnsi="Times New Roman" w:cs="Times New Roman"/>
          <w:b/>
          <w:bCs/>
          <w:color w:val="000000" w:themeColor="text1"/>
          <w:sz w:val="24"/>
          <w:szCs w:val="24"/>
        </w:rPr>
        <w:t>References</w:t>
      </w:r>
      <w:bookmarkEnd w:id="1"/>
    </w:p>
    <w:p w14:paraId="1A47ADE6" w14:textId="77777777" w:rsidR="00B55503" w:rsidRPr="00796E84" w:rsidRDefault="00B55503" w:rsidP="00B55503">
      <w:pPr>
        <w:rPr>
          <w:rFonts w:ascii="Times New Roman" w:hAnsi="Times New Roman" w:cs="Times New Roman"/>
          <w:szCs w:val="24"/>
        </w:rPr>
      </w:pPr>
    </w:p>
    <w:p w14:paraId="0DC81575"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Amabile, T. M. (1996). </w:t>
      </w:r>
      <w:r w:rsidRPr="00DC21E0">
        <w:rPr>
          <w:rFonts w:ascii="Times New Roman" w:hAnsi="Times New Roman" w:cs="Times New Roman"/>
          <w:i/>
          <w:iCs/>
          <w:color w:val="000000" w:themeColor="text1"/>
          <w:szCs w:val="24"/>
        </w:rPr>
        <w:t>Creativity in context</w:t>
      </w:r>
      <w:r w:rsidRPr="00DC21E0">
        <w:rPr>
          <w:rFonts w:ascii="Times New Roman" w:hAnsi="Times New Roman" w:cs="Times New Roman"/>
          <w:color w:val="000000" w:themeColor="text1"/>
          <w:szCs w:val="24"/>
        </w:rPr>
        <w:t>. Westview Press.</w:t>
      </w:r>
    </w:p>
    <w:p w14:paraId="4FEBF10F" w14:textId="77777777" w:rsidR="00DC21E0" w:rsidRPr="00DC21E0" w:rsidRDefault="00DC21E0" w:rsidP="00DC21E0">
      <w:pPr>
        <w:spacing w:line="480" w:lineRule="auto"/>
        <w:rPr>
          <w:rFonts w:ascii="Times New Roman" w:hAnsi="Times New Roman" w:cs="Times New Roman"/>
          <w:color w:val="000000" w:themeColor="text1"/>
          <w:szCs w:val="24"/>
        </w:rPr>
      </w:pPr>
      <w:proofErr w:type="spellStart"/>
      <w:r w:rsidRPr="00DC21E0">
        <w:rPr>
          <w:rFonts w:ascii="Times New Roman" w:hAnsi="Times New Roman" w:cs="Times New Roman"/>
          <w:color w:val="000000" w:themeColor="text1"/>
          <w:szCs w:val="24"/>
        </w:rPr>
        <w:t>Angrave</w:t>
      </w:r>
      <w:proofErr w:type="spellEnd"/>
      <w:r w:rsidRPr="00DC21E0">
        <w:rPr>
          <w:rFonts w:ascii="Times New Roman" w:hAnsi="Times New Roman" w:cs="Times New Roman"/>
          <w:color w:val="000000" w:themeColor="text1"/>
          <w:szCs w:val="24"/>
        </w:rPr>
        <w:t xml:space="preserve">, D., Charlwood, A., Kirkpatrick, I., Lawrence, M., &amp; Stuart, M. (2016). HR and analytics. </w:t>
      </w:r>
      <w:r w:rsidRPr="00DC21E0">
        <w:rPr>
          <w:rFonts w:ascii="Times New Roman" w:hAnsi="Times New Roman" w:cs="Times New Roman"/>
          <w:i/>
          <w:iCs/>
          <w:color w:val="000000" w:themeColor="text1"/>
          <w:szCs w:val="24"/>
        </w:rPr>
        <w:t>Human Resource Management Journal, 26</w:t>
      </w:r>
      <w:r w:rsidRPr="00DC21E0">
        <w:rPr>
          <w:rFonts w:ascii="Times New Roman" w:hAnsi="Times New Roman" w:cs="Times New Roman"/>
          <w:color w:val="000000" w:themeColor="text1"/>
          <w:szCs w:val="24"/>
        </w:rPr>
        <w:t xml:space="preserve">(1), 1–17. </w:t>
      </w:r>
      <w:hyperlink r:id="rId6" w:tgtFrame="_new" w:history="1">
        <w:r w:rsidRPr="00DC21E0">
          <w:rPr>
            <w:rStyle w:val="Hyperlink"/>
            <w:rFonts w:ascii="Times New Roman" w:hAnsi="Times New Roman" w:cs="Times New Roman"/>
            <w:szCs w:val="24"/>
          </w:rPr>
          <w:t>https://doi.org/10.1111/1748-8583.12090</w:t>
        </w:r>
      </w:hyperlink>
    </w:p>
    <w:p w14:paraId="298BB833"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Bakker, A. B., &amp; Demerouti, E. (2008). Towards a model of work engagement. </w:t>
      </w:r>
      <w:r w:rsidRPr="00DC21E0">
        <w:rPr>
          <w:rFonts w:ascii="Times New Roman" w:hAnsi="Times New Roman" w:cs="Times New Roman"/>
          <w:i/>
          <w:iCs/>
          <w:color w:val="000000" w:themeColor="text1"/>
          <w:szCs w:val="24"/>
        </w:rPr>
        <w:t>Career Development International, 13</w:t>
      </w:r>
      <w:r w:rsidRPr="00DC21E0">
        <w:rPr>
          <w:rFonts w:ascii="Times New Roman" w:hAnsi="Times New Roman" w:cs="Times New Roman"/>
          <w:color w:val="000000" w:themeColor="text1"/>
          <w:szCs w:val="24"/>
        </w:rPr>
        <w:t xml:space="preserve">(3), 209–223. </w:t>
      </w:r>
      <w:hyperlink r:id="rId7" w:tgtFrame="_new" w:history="1">
        <w:r w:rsidRPr="00DC21E0">
          <w:rPr>
            <w:rStyle w:val="Hyperlink"/>
            <w:rFonts w:ascii="Times New Roman" w:hAnsi="Times New Roman" w:cs="Times New Roman"/>
            <w:szCs w:val="24"/>
          </w:rPr>
          <w:t>https://doi.org/10.1108/13620430810870476</w:t>
        </w:r>
      </w:hyperlink>
    </w:p>
    <w:p w14:paraId="702637A5"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Bakker, A. B., Demerouti, E., &amp; Sanz-Vergel, A. (2014). Burnout and engagement. </w:t>
      </w:r>
      <w:r w:rsidRPr="00DC21E0">
        <w:rPr>
          <w:rFonts w:ascii="Times New Roman" w:hAnsi="Times New Roman" w:cs="Times New Roman"/>
          <w:i/>
          <w:iCs/>
          <w:color w:val="000000" w:themeColor="text1"/>
          <w:szCs w:val="24"/>
        </w:rPr>
        <w:t>Annual Review of Organizational Psychology, 1</w:t>
      </w:r>
      <w:r w:rsidRPr="00DC21E0">
        <w:rPr>
          <w:rFonts w:ascii="Times New Roman" w:hAnsi="Times New Roman" w:cs="Times New Roman"/>
          <w:color w:val="000000" w:themeColor="text1"/>
          <w:szCs w:val="24"/>
        </w:rPr>
        <w:t xml:space="preserve">(1), 389–411. </w:t>
      </w:r>
      <w:hyperlink r:id="rId8" w:tgtFrame="_new" w:history="1">
        <w:r w:rsidRPr="00DC21E0">
          <w:rPr>
            <w:rStyle w:val="Hyperlink"/>
            <w:rFonts w:ascii="Times New Roman" w:hAnsi="Times New Roman" w:cs="Times New Roman"/>
            <w:szCs w:val="24"/>
          </w:rPr>
          <w:t>https://doi.org/10.1146/annurev-orgpsych-031413-091235</w:t>
        </w:r>
      </w:hyperlink>
    </w:p>
    <w:p w14:paraId="05319AD9"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Barney, J. (1991). Firm resources and sustained competitive advantage. </w:t>
      </w:r>
      <w:r w:rsidRPr="00DC21E0">
        <w:rPr>
          <w:rFonts w:ascii="Times New Roman" w:hAnsi="Times New Roman" w:cs="Times New Roman"/>
          <w:i/>
          <w:iCs/>
          <w:color w:val="000000" w:themeColor="text1"/>
          <w:szCs w:val="24"/>
        </w:rPr>
        <w:t>Journal of Management, 17</w:t>
      </w:r>
      <w:r w:rsidRPr="00DC21E0">
        <w:rPr>
          <w:rFonts w:ascii="Times New Roman" w:hAnsi="Times New Roman" w:cs="Times New Roman"/>
          <w:color w:val="000000" w:themeColor="text1"/>
          <w:szCs w:val="24"/>
        </w:rPr>
        <w:t xml:space="preserve">(1), 99–120. </w:t>
      </w:r>
      <w:hyperlink r:id="rId9" w:tgtFrame="_new" w:history="1">
        <w:r w:rsidRPr="00DC21E0">
          <w:rPr>
            <w:rStyle w:val="Hyperlink"/>
            <w:rFonts w:ascii="Times New Roman" w:hAnsi="Times New Roman" w:cs="Times New Roman"/>
            <w:szCs w:val="24"/>
          </w:rPr>
          <w:t>https://doi.org/10.1177/014920639101700108</w:t>
        </w:r>
      </w:hyperlink>
    </w:p>
    <w:p w14:paraId="5B0E2B81"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Becker, G. S. (1964). </w:t>
      </w:r>
      <w:r w:rsidRPr="00DC21E0">
        <w:rPr>
          <w:rFonts w:ascii="Times New Roman" w:hAnsi="Times New Roman" w:cs="Times New Roman"/>
          <w:i/>
          <w:iCs/>
          <w:color w:val="000000" w:themeColor="text1"/>
          <w:szCs w:val="24"/>
        </w:rPr>
        <w:t>Human capital</w:t>
      </w:r>
      <w:r w:rsidRPr="00DC21E0">
        <w:rPr>
          <w:rFonts w:ascii="Times New Roman" w:hAnsi="Times New Roman" w:cs="Times New Roman"/>
          <w:color w:val="000000" w:themeColor="text1"/>
          <w:szCs w:val="24"/>
        </w:rPr>
        <w:t>. University of Chicago Press.</w:t>
      </w:r>
    </w:p>
    <w:p w14:paraId="49A7E84D"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Becker, B. E., &amp; </w:t>
      </w:r>
      <w:proofErr w:type="spellStart"/>
      <w:r w:rsidRPr="00DC21E0">
        <w:rPr>
          <w:rFonts w:ascii="Times New Roman" w:hAnsi="Times New Roman" w:cs="Times New Roman"/>
          <w:color w:val="000000" w:themeColor="text1"/>
          <w:szCs w:val="24"/>
        </w:rPr>
        <w:t>Huselid</w:t>
      </w:r>
      <w:proofErr w:type="spellEnd"/>
      <w:r w:rsidRPr="00DC21E0">
        <w:rPr>
          <w:rFonts w:ascii="Times New Roman" w:hAnsi="Times New Roman" w:cs="Times New Roman"/>
          <w:color w:val="000000" w:themeColor="text1"/>
          <w:szCs w:val="24"/>
        </w:rPr>
        <w:t xml:space="preserve">, M. A. (1998). High performance work systems. </w:t>
      </w:r>
      <w:r w:rsidRPr="00DC21E0">
        <w:rPr>
          <w:rFonts w:ascii="Times New Roman" w:hAnsi="Times New Roman" w:cs="Times New Roman"/>
          <w:i/>
          <w:iCs/>
          <w:color w:val="000000" w:themeColor="text1"/>
          <w:szCs w:val="24"/>
        </w:rPr>
        <w:t>Academy of Management Journal, 41</w:t>
      </w:r>
      <w:r w:rsidRPr="00DC21E0">
        <w:rPr>
          <w:rFonts w:ascii="Times New Roman" w:hAnsi="Times New Roman" w:cs="Times New Roman"/>
          <w:color w:val="000000" w:themeColor="text1"/>
          <w:szCs w:val="24"/>
        </w:rPr>
        <w:t>(1), 8–29. https://doi.org/10.5465/256889</w:t>
      </w:r>
    </w:p>
    <w:p w14:paraId="4987B627"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Bock, L. (2015). </w:t>
      </w:r>
      <w:r w:rsidRPr="00DC21E0">
        <w:rPr>
          <w:rFonts w:ascii="Times New Roman" w:hAnsi="Times New Roman" w:cs="Times New Roman"/>
          <w:i/>
          <w:iCs/>
          <w:color w:val="000000" w:themeColor="text1"/>
          <w:szCs w:val="24"/>
        </w:rPr>
        <w:t>Work rules!</w:t>
      </w:r>
      <w:r w:rsidRPr="00DC21E0">
        <w:rPr>
          <w:rFonts w:ascii="Times New Roman" w:hAnsi="Times New Roman" w:cs="Times New Roman"/>
          <w:color w:val="000000" w:themeColor="text1"/>
          <w:szCs w:val="24"/>
        </w:rPr>
        <w:t xml:space="preserve"> Twelve.</w:t>
      </w:r>
    </w:p>
    <w:p w14:paraId="7663CA62"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lastRenderedPageBreak/>
        <w:t xml:space="preserve">Boxall, P., &amp; Purcell, J. (2016). </w:t>
      </w:r>
      <w:r w:rsidRPr="00DC21E0">
        <w:rPr>
          <w:rFonts w:ascii="Times New Roman" w:hAnsi="Times New Roman" w:cs="Times New Roman"/>
          <w:i/>
          <w:iCs/>
          <w:color w:val="000000" w:themeColor="text1"/>
          <w:szCs w:val="24"/>
        </w:rPr>
        <w:t>Strategy and human resource management</w:t>
      </w:r>
      <w:r w:rsidRPr="00DC21E0">
        <w:rPr>
          <w:rFonts w:ascii="Times New Roman" w:hAnsi="Times New Roman" w:cs="Times New Roman"/>
          <w:color w:val="000000" w:themeColor="text1"/>
          <w:szCs w:val="24"/>
        </w:rPr>
        <w:t>. Palgrave.</w:t>
      </w:r>
    </w:p>
    <w:p w14:paraId="6D581818"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Braun, V., &amp; Clarke, V. (2006). Thematic analysis. </w:t>
      </w:r>
      <w:r w:rsidRPr="00DC21E0">
        <w:rPr>
          <w:rFonts w:ascii="Times New Roman" w:hAnsi="Times New Roman" w:cs="Times New Roman"/>
          <w:i/>
          <w:iCs/>
          <w:color w:val="000000" w:themeColor="text1"/>
          <w:szCs w:val="24"/>
        </w:rPr>
        <w:t>Qualitative Research in Psychology, 3</w:t>
      </w:r>
      <w:r w:rsidRPr="00DC21E0">
        <w:rPr>
          <w:rFonts w:ascii="Times New Roman" w:hAnsi="Times New Roman" w:cs="Times New Roman"/>
          <w:color w:val="000000" w:themeColor="text1"/>
          <w:szCs w:val="24"/>
        </w:rPr>
        <w:t xml:space="preserve">(2), 77–101. </w:t>
      </w:r>
      <w:hyperlink r:id="rId10" w:tgtFrame="_new" w:history="1">
        <w:r w:rsidRPr="00DC21E0">
          <w:rPr>
            <w:rStyle w:val="Hyperlink"/>
            <w:rFonts w:ascii="Times New Roman" w:hAnsi="Times New Roman" w:cs="Times New Roman"/>
            <w:szCs w:val="24"/>
          </w:rPr>
          <w:t>https://doi.org/10.1191/1478088706qp063oa</w:t>
        </w:r>
      </w:hyperlink>
    </w:p>
    <w:p w14:paraId="67A152B8"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Bryant, A. (2011). Google’s quest to build a better boss. </w:t>
      </w:r>
      <w:r w:rsidRPr="00DC21E0">
        <w:rPr>
          <w:rFonts w:ascii="Times New Roman" w:hAnsi="Times New Roman" w:cs="Times New Roman"/>
          <w:i/>
          <w:iCs/>
          <w:color w:val="000000" w:themeColor="text1"/>
          <w:szCs w:val="24"/>
        </w:rPr>
        <w:t>New York Times</w:t>
      </w:r>
      <w:r w:rsidRPr="00DC21E0">
        <w:rPr>
          <w:rFonts w:ascii="Times New Roman" w:hAnsi="Times New Roman" w:cs="Times New Roman"/>
          <w:color w:val="000000" w:themeColor="text1"/>
          <w:szCs w:val="24"/>
        </w:rPr>
        <w:t>.</w:t>
      </w:r>
    </w:p>
    <w:p w14:paraId="32EF3C61"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Campion, M. A., Palmer, D. K., &amp; Campion, J. E. (1997). Structured interviews. </w:t>
      </w:r>
      <w:r w:rsidRPr="00DC21E0">
        <w:rPr>
          <w:rFonts w:ascii="Times New Roman" w:hAnsi="Times New Roman" w:cs="Times New Roman"/>
          <w:i/>
          <w:iCs/>
          <w:color w:val="000000" w:themeColor="text1"/>
          <w:szCs w:val="24"/>
        </w:rPr>
        <w:t>Personnel Psychology, 50</w:t>
      </w:r>
      <w:r w:rsidRPr="00DC21E0">
        <w:rPr>
          <w:rFonts w:ascii="Times New Roman" w:hAnsi="Times New Roman" w:cs="Times New Roman"/>
          <w:color w:val="000000" w:themeColor="text1"/>
          <w:szCs w:val="24"/>
        </w:rPr>
        <w:t xml:space="preserve">(3), 655–702. </w:t>
      </w:r>
      <w:hyperlink r:id="rId11" w:tgtFrame="_new" w:history="1">
        <w:r w:rsidRPr="00DC21E0">
          <w:rPr>
            <w:rStyle w:val="Hyperlink"/>
            <w:rFonts w:ascii="Times New Roman" w:hAnsi="Times New Roman" w:cs="Times New Roman"/>
            <w:szCs w:val="24"/>
          </w:rPr>
          <w:t>https://doi.org/10.1111/j.1744-6570.1997.tb00709.x</w:t>
        </w:r>
      </w:hyperlink>
    </w:p>
    <w:p w14:paraId="1EEC1F6B"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Cappelli, P. (2008). Talent management. </w:t>
      </w:r>
      <w:r w:rsidRPr="00DC21E0">
        <w:rPr>
          <w:rFonts w:ascii="Times New Roman" w:hAnsi="Times New Roman" w:cs="Times New Roman"/>
          <w:i/>
          <w:iCs/>
          <w:color w:val="000000" w:themeColor="text1"/>
          <w:szCs w:val="24"/>
        </w:rPr>
        <w:t>Harvard Business Review, 86</w:t>
      </w:r>
      <w:r w:rsidRPr="00DC21E0">
        <w:rPr>
          <w:rFonts w:ascii="Times New Roman" w:hAnsi="Times New Roman" w:cs="Times New Roman"/>
          <w:color w:val="000000" w:themeColor="text1"/>
          <w:szCs w:val="24"/>
        </w:rPr>
        <w:t>(3), 74–81.</w:t>
      </w:r>
    </w:p>
    <w:p w14:paraId="637E1EF7"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Collings, D. G., &amp; </w:t>
      </w:r>
      <w:proofErr w:type="spellStart"/>
      <w:r w:rsidRPr="00DC21E0">
        <w:rPr>
          <w:rFonts w:ascii="Times New Roman" w:hAnsi="Times New Roman" w:cs="Times New Roman"/>
          <w:color w:val="000000" w:themeColor="text1"/>
          <w:szCs w:val="24"/>
        </w:rPr>
        <w:t>Mellahi</w:t>
      </w:r>
      <w:proofErr w:type="spellEnd"/>
      <w:r w:rsidRPr="00DC21E0">
        <w:rPr>
          <w:rFonts w:ascii="Times New Roman" w:hAnsi="Times New Roman" w:cs="Times New Roman"/>
          <w:color w:val="000000" w:themeColor="text1"/>
          <w:szCs w:val="24"/>
        </w:rPr>
        <w:t xml:space="preserve">, K. (2009). Strategic talent management. </w:t>
      </w:r>
      <w:r w:rsidRPr="00DC21E0">
        <w:rPr>
          <w:rFonts w:ascii="Times New Roman" w:hAnsi="Times New Roman" w:cs="Times New Roman"/>
          <w:i/>
          <w:iCs/>
          <w:color w:val="000000" w:themeColor="text1"/>
          <w:szCs w:val="24"/>
        </w:rPr>
        <w:t>Human Resource Management Review, 19</w:t>
      </w:r>
      <w:r w:rsidRPr="00DC21E0">
        <w:rPr>
          <w:rFonts w:ascii="Times New Roman" w:hAnsi="Times New Roman" w:cs="Times New Roman"/>
          <w:color w:val="000000" w:themeColor="text1"/>
          <w:szCs w:val="24"/>
        </w:rPr>
        <w:t xml:space="preserve">(4), 304–313. </w:t>
      </w:r>
      <w:hyperlink r:id="rId12" w:tgtFrame="_new" w:history="1">
        <w:r w:rsidRPr="00DC21E0">
          <w:rPr>
            <w:rStyle w:val="Hyperlink"/>
            <w:rFonts w:ascii="Times New Roman" w:hAnsi="Times New Roman" w:cs="Times New Roman"/>
            <w:szCs w:val="24"/>
          </w:rPr>
          <w:t>https://doi.org/10.1016/j.hrmr.2009.04.001</w:t>
        </w:r>
      </w:hyperlink>
    </w:p>
    <w:p w14:paraId="7876D46D"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Collings, D. G., Scullion, H., &amp; </w:t>
      </w:r>
      <w:proofErr w:type="spellStart"/>
      <w:r w:rsidRPr="00DC21E0">
        <w:rPr>
          <w:rFonts w:ascii="Times New Roman" w:hAnsi="Times New Roman" w:cs="Times New Roman"/>
          <w:color w:val="000000" w:themeColor="text1"/>
          <w:szCs w:val="24"/>
        </w:rPr>
        <w:t>Vaiman</w:t>
      </w:r>
      <w:proofErr w:type="spellEnd"/>
      <w:r w:rsidRPr="00DC21E0">
        <w:rPr>
          <w:rFonts w:ascii="Times New Roman" w:hAnsi="Times New Roman" w:cs="Times New Roman"/>
          <w:color w:val="000000" w:themeColor="text1"/>
          <w:szCs w:val="24"/>
        </w:rPr>
        <w:t xml:space="preserve">, V. (2015). Talent management challenges. </w:t>
      </w:r>
      <w:r w:rsidRPr="00DC21E0">
        <w:rPr>
          <w:rFonts w:ascii="Times New Roman" w:hAnsi="Times New Roman" w:cs="Times New Roman"/>
          <w:i/>
          <w:iCs/>
          <w:color w:val="000000" w:themeColor="text1"/>
          <w:szCs w:val="24"/>
        </w:rPr>
        <w:t>Human Resource Management Review, 25</w:t>
      </w:r>
      <w:r w:rsidRPr="00DC21E0">
        <w:rPr>
          <w:rFonts w:ascii="Times New Roman" w:hAnsi="Times New Roman" w:cs="Times New Roman"/>
          <w:color w:val="000000" w:themeColor="text1"/>
          <w:szCs w:val="24"/>
        </w:rPr>
        <w:t>(3), 233–235. https://doi.org/10.1016/j.hrmr.2015.04.001</w:t>
      </w:r>
    </w:p>
    <w:p w14:paraId="01C04C9E"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Davenport, T. H., Harris, J., &amp; Shapiro, J. (2010). Talent analytics. </w:t>
      </w:r>
      <w:r w:rsidRPr="00DC21E0">
        <w:rPr>
          <w:rFonts w:ascii="Times New Roman" w:hAnsi="Times New Roman" w:cs="Times New Roman"/>
          <w:i/>
          <w:iCs/>
          <w:color w:val="000000" w:themeColor="text1"/>
          <w:szCs w:val="24"/>
        </w:rPr>
        <w:t>Harvard Business Review</w:t>
      </w:r>
      <w:r w:rsidRPr="00DC21E0">
        <w:rPr>
          <w:rFonts w:ascii="Times New Roman" w:hAnsi="Times New Roman" w:cs="Times New Roman"/>
          <w:color w:val="000000" w:themeColor="text1"/>
          <w:szCs w:val="24"/>
        </w:rPr>
        <w:t>.</w:t>
      </w:r>
    </w:p>
    <w:p w14:paraId="4947F5FB"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Deci, E. L., &amp; Ryan, R. M. (2000). Intrinsic motivation. </w:t>
      </w:r>
      <w:r w:rsidRPr="00DC21E0">
        <w:rPr>
          <w:rFonts w:ascii="Times New Roman" w:hAnsi="Times New Roman" w:cs="Times New Roman"/>
          <w:i/>
          <w:iCs/>
          <w:color w:val="000000" w:themeColor="text1"/>
          <w:szCs w:val="24"/>
        </w:rPr>
        <w:t>Psychological Inquiry, 11</w:t>
      </w:r>
      <w:r w:rsidRPr="00DC21E0">
        <w:rPr>
          <w:rFonts w:ascii="Times New Roman" w:hAnsi="Times New Roman" w:cs="Times New Roman"/>
          <w:color w:val="000000" w:themeColor="text1"/>
          <w:szCs w:val="24"/>
        </w:rPr>
        <w:t xml:space="preserve">(4), 227–268. </w:t>
      </w:r>
      <w:hyperlink r:id="rId13" w:tgtFrame="_new" w:history="1">
        <w:r w:rsidRPr="00DC21E0">
          <w:rPr>
            <w:rStyle w:val="Hyperlink"/>
            <w:rFonts w:ascii="Times New Roman" w:hAnsi="Times New Roman" w:cs="Times New Roman"/>
            <w:szCs w:val="24"/>
          </w:rPr>
          <w:t>https://doi.org/10.1207/S15327965PLI1104_01</w:t>
        </w:r>
      </w:hyperlink>
    </w:p>
    <w:p w14:paraId="68B47AF2"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Edmondson, A. (1999). Psychological safety. </w:t>
      </w:r>
      <w:r w:rsidRPr="00DC21E0">
        <w:rPr>
          <w:rFonts w:ascii="Times New Roman" w:hAnsi="Times New Roman" w:cs="Times New Roman"/>
          <w:i/>
          <w:iCs/>
          <w:color w:val="000000" w:themeColor="text1"/>
          <w:szCs w:val="24"/>
        </w:rPr>
        <w:t>Administrative Science Quarterly, 44</w:t>
      </w:r>
      <w:r w:rsidRPr="00DC21E0">
        <w:rPr>
          <w:rFonts w:ascii="Times New Roman" w:hAnsi="Times New Roman" w:cs="Times New Roman"/>
          <w:color w:val="000000" w:themeColor="text1"/>
          <w:szCs w:val="24"/>
        </w:rPr>
        <w:t xml:space="preserve">(2), 350–383. </w:t>
      </w:r>
      <w:hyperlink r:id="rId14" w:tgtFrame="_new" w:history="1">
        <w:r w:rsidRPr="00DC21E0">
          <w:rPr>
            <w:rStyle w:val="Hyperlink"/>
            <w:rFonts w:ascii="Times New Roman" w:hAnsi="Times New Roman" w:cs="Times New Roman"/>
            <w:szCs w:val="24"/>
          </w:rPr>
          <w:t>https://doi.org/10.2307/2666999</w:t>
        </w:r>
      </w:hyperlink>
    </w:p>
    <w:p w14:paraId="6EDD81CF"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Edmondson, A. C., &amp; Lei, Z. (2014). Psychological safety review. </w:t>
      </w:r>
      <w:r w:rsidRPr="00DC21E0">
        <w:rPr>
          <w:rFonts w:ascii="Times New Roman" w:hAnsi="Times New Roman" w:cs="Times New Roman"/>
          <w:i/>
          <w:iCs/>
          <w:color w:val="000000" w:themeColor="text1"/>
          <w:szCs w:val="24"/>
        </w:rPr>
        <w:t>Annual Review of Organizational Psychology, 1</w:t>
      </w:r>
      <w:r w:rsidRPr="00DC21E0">
        <w:rPr>
          <w:rFonts w:ascii="Times New Roman" w:hAnsi="Times New Roman" w:cs="Times New Roman"/>
          <w:color w:val="000000" w:themeColor="text1"/>
          <w:szCs w:val="24"/>
        </w:rPr>
        <w:t xml:space="preserve">(1), 23–43. </w:t>
      </w:r>
      <w:hyperlink r:id="rId15" w:tgtFrame="_new" w:history="1">
        <w:r w:rsidRPr="00DC21E0">
          <w:rPr>
            <w:rStyle w:val="Hyperlink"/>
            <w:rFonts w:ascii="Times New Roman" w:hAnsi="Times New Roman" w:cs="Times New Roman"/>
            <w:szCs w:val="24"/>
          </w:rPr>
          <w:t>https://doi.org/10.1146/annurev-orgpsych-031413-091305</w:t>
        </w:r>
      </w:hyperlink>
    </w:p>
    <w:p w14:paraId="42C9D19E"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lastRenderedPageBreak/>
        <w:t xml:space="preserve">Gagné, M., &amp; Deci, E. L. (2005). Self-determination theory. </w:t>
      </w:r>
      <w:r w:rsidRPr="00DC21E0">
        <w:rPr>
          <w:rFonts w:ascii="Times New Roman" w:hAnsi="Times New Roman" w:cs="Times New Roman"/>
          <w:i/>
          <w:iCs/>
          <w:color w:val="000000" w:themeColor="text1"/>
          <w:szCs w:val="24"/>
        </w:rPr>
        <w:t xml:space="preserve">Journal of Organizational </w:t>
      </w:r>
      <w:proofErr w:type="spellStart"/>
      <w:r w:rsidRPr="00DC21E0">
        <w:rPr>
          <w:rFonts w:ascii="Times New Roman" w:hAnsi="Times New Roman" w:cs="Times New Roman"/>
          <w:i/>
          <w:iCs/>
          <w:color w:val="000000" w:themeColor="text1"/>
          <w:szCs w:val="24"/>
        </w:rPr>
        <w:t>Behavior</w:t>
      </w:r>
      <w:proofErr w:type="spellEnd"/>
      <w:r w:rsidRPr="00DC21E0">
        <w:rPr>
          <w:rFonts w:ascii="Times New Roman" w:hAnsi="Times New Roman" w:cs="Times New Roman"/>
          <w:i/>
          <w:iCs/>
          <w:color w:val="000000" w:themeColor="text1"/>
          <w:szCs w:val="24"/>
        </w:rPr>
        <w:t>, 26</w:t>
      </w:r>
      <w:r w:rsidRPr="00DC21E0">
        <w:rPr>
          <w:rFonts w:ascii="Times New Roman" w:hAnsi="Times New Roman" w:cs="Times New Roman"/>
          <w:color w:val="000000" w:themeColor="text1"/>
          <w:szCs w:val="24"/>
        </w:rPr>
        <w:t xml:space="preserve">(4), 331–362. </w:t>
      </w:r>
      <w:hyperlink r:id="rId16" w:tgtFrame="_new" w:history="1">
        <w:r w:rsidRPr="00DC21E0">
          <w:rPr>
            <w:rStyle w:val="Hyperlink"/>
            <w:rFonts w:ascii="Times New Roman" w:hAnsi="Times New Roman" w:cs="Times New Roman"/>
            <w:szCs w:val="24"/>
          </w:rPr>
          <w:t>https://doi.org/10.1002/job.322</w:t>
        </w:r>
      </w:hyperlink>
    </w:p>
    <w:p w14:paraId="537B7822"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Garvin, D. A. (2013). Google management practices. </w:t>
      </w:r>
      <w:r w:rsidRPr="00DC21E0">
        <w:rPr>
          <w:rFonts w:ascii="Times New Roman" w:hAnsi="Times New Roman" w:cs="Times New Roman"/>
          <w:i/>
          <w:iCs/>
          <w:color w:val="000000" w:themeColor="text1"/>
          <w:szCs w:val="24"/>
        </w:rPr>
        <w:t>Harvard Business Review</w:t>
      </w:r>
      <w:r w:rsidRPr="00DC21E0">
        <w:rPr>
          <w:rFonts w:ascii="Times New Roman" w:hAnsi="Times New Roman" w:cs="Times New Roman"/>
          <w:color w:val="000000" w:themeColor="text1"/>
          <w:szCs w:val="24"/>
        </w:rPr>
        <w:t>.</w:t>
      </w:r>
    </w:p>
    <w:p w14:paraId="42BC931B"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Guest, D. E. (2011). HRM and performance. </w:t>
      </w:r>
      <w:r w:rsidRPr="00DC21E0">
        <w:rPr>
          <w:rFonts w:ascii="Times New Roman" w:hAnsi="Times New Roman" w:cs="Times New Roman"/>
          <w:i/>
          <w:iCs/>
          <w:color w:val="000000" w:themeColor="text1"/>
          <w:szCs w:val="24"/>
        </w:rPr>
        <w:t>Human Resource Management Journal, 21</w:t>
      </w:r>
      <w:r w:rsidRPr="00DC21E0">
        <w:rPr>
          <w:rFonts w:ascii="Times New Roman" w:hAnsi="Times New Roman" w:cs="Times New Roman"/>
          <w:color w:val="000000" w:themeColor="text1"/>
          <w:szCs w:val="24"/>
        </w:rPr>
        <w:t>(1), 3–13. https://doi.org/10.1111/j.1748-8583.2010.00149.x</w:t>
      </w:r>
    </w:p>
    <w:p w14:paraId="57645C15"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Harter, J. K., Schmidt, F. L., &amp; Hayes, T. L. (2002). Engagement-performance link. </w:t>
      </w:r>
      <w:r w:rsidRPr="00DC21E0">
        <w:rPr>
          <w:rFonts w:ascii="Times New Roman" w:hAnsi="Times New Roman" w:cs="Times New Roman"/>
          <w:i/>
          <w:iCs/>
          <w:color w:val="000000" w:themeColor="text1"/>
          <w:szCs w:val="24"/>
        </w:rPr>
        <w:t>Journal of Applied Psychology, 87</w:t>
      </w:r>
      <w:r w:rsidRPr="00DC21E0">
        <w:rPr>
          <w:rFonts w:ascii="Times New Roman" w:hAnsi="Times New Roman" w:cs="Times New Roman"/>
          <w:color w:val="000000" w:themeColor="text1"/>
          <w:szCs w:val="24"/>
        </w:rPr>
        <w:t xml:space="preserve">(2), 268–279. </w:t>
      </w:r>
      <w:hyperlink r:id="rId17" w:tgtFrame="_new" w:history="1">
        <w:r w:rsidRPr="00DC21E0">
          <w:rPr>
            <w:rStyle w:val="Hyperlink"/>
            <w:rFonts w:ascii="Times New Roman" w:hAnsi="Times New Roman" w:cs="Times New Roman"/>
            <w:szCs w:val="24"/>
          </w:rPr>
          <w:t>https://doi.org/10.1037/0021-9010.87.2.268</w:t>
        </w:r>
      </w:hyperlink>
    </w:p>
    <w:p w14:paraId="402D7356"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Johnston, M. P. (2017). Secondary data analysis. </w:t>
      </w:r>
      <w:r w:rsidRPr="00DC21E0">
        <w:rPr>
          <w:rFonts w:ascii="Times New Roman" w:hAnsi="Times New Roman" w:cs="Times New Roman"/>
          <w:i/>
          <w:iCs/>
          <w:color w:val="000000" w:themeColor="text1"/>
          <w:szCs w:val="24"/>
        </w:rPr>
        <w:t>Library Trends, 66</w:t>
      </w:r>
      <w:r w:rsidRPr="00DC21E0">
        <w:rPr>
          <w:rFonts w:ascii="Times New Roman" w:hAnsi="Times New Roman" w:cs="Times New Roman"/>
          <w:color w:val="000000" w:themeColor="text1"/>
          <w:szCs w:val="24"/>
        </w:rPr>
        <w:t>(2), 173–184. https://doi.org/10.1353/lib.2017.0036</w:t>
      </w:r>
    </w:p>
    <w:p w14:paraId="2AAE7EB0"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Kahn, W. A. (1990). Personal engagement. </w:t>
      </w:r>
      <w:r w:rsidRPr="00DC21E0">
        <w:rPr>
          <w:rFonts w:ascii="Times New Roman" w:hAnsi="Times New Roman" w:cs="Times New Roman"/>
          <w:i/>
          <w:iCs/>
          <w:color w:val="000000" w:themeColor="text1"/>
          <w:szCs w:val="24"/>
        </w:rPr>
        <w:t>Academy of Management Journal, 33</w:t>
      </w:r>
      <w:r w:rsidRPr="00DC21E0">
        <w:rPr>
          <w:rFonts w:ascii="Times New Roman" w:hAnsi="Times New Roman" w:cs="Times New Roman"/>
          <w:color w:val="000000" w:themeColor="text1"/>
          <w:szCs w:val="24"/>
        </w:rPr>
        <w:t>(4), 692–724. https://doi.org/10.5465/256287</w:t>
      </w:r>
    </w:p>
    <w:p w14:paraId="033EF49E"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Lewis, R. E., &amp; Heckman, R. J. (2006). Talent management review. </w:t>
      </w:r>
      <w:r w:rsidRPr="00DC21E0">
        <w:rPr>
          <w:rFonts w:ascii="Times New Roman" w:hAnsi="Times New Roman" w:cs="Times New Roman"/>
          <w:i/>
          <w:iCs/>
          <w:color w:val="000000" w:themeColor="text1"/>
          <w:szCs w:val="24"/>
        </w:rPr>
        <w:t>Human Resource Management Review, 16</w:t>
      </w:r>
      <w:r w:rsidRPr="00DC21E0">
        <w:rPr>
          <w:rFonts w:ascii="Times New Roman" w:hAnsi="Times New Roman" w:cs="Times New Roman"/>
          <w:color w:val="000000" w:themeColor="text1"/>
          <w:szCs w:val="24"/>
        </w:rPr>
        <w:t>(2), 139–154. https://doi.org/10.1016/j.hrmr.2006.03.001</w:t>
      </w:r>
    </w:p>
    <w:p w14:paraId="213AFA3D"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Marler, J. H., &amp; Boudreau, J. W. (2017). HR analytics. </w:t>
      </w:r>
      <w:r w:rsidRPr="00DC21E0">
        <w:rPr>
          <w:rFonts w:ascii="Times New Roman" w:hAnsi="Times New Roman" w:cs="Times New Roman"/>
          <w:i/>
          <w:iCs/>
          <w:color w:val="000000" w:themeColor="text1"/>
          <w:szCs w:val="24"/>
        </w:rPr>
        <w:t>International Journal of Human Resource Management, 28</w:t>
      </w:r>
      <w:r w:rsidRPr="00DC21E0">
        <w:rPr>
          <w:rFonts w:ascii="Times New Roman" w:hAnsi="Times New Roman" w:cs="Times New Roman"/>
          <w:color w:val="000000" w:themeColor="text1"/>
          <w:szCs w:val="24"/>
        </w:rPr>
        <w:t xml:space="preserve">(1), 3–26. </w:t>
      </w:r>
      <w:hyperlink r:id="rId18" w:tgtFrame="_new" w:history="1">
        <w:r w:rsidRPr="00DC21E0">
          <w:rPr>
            <w:rStyle w:val="Hyperlink"/>
            <w:rFonts w:ascii="Times New Roman" w:hAnsi="Times New Roman" w:cs="Times New Roman"/>
            <w:szCs w:val="24"/>
          </w:rPr>
          <w:t>https://doi.org/10.1080/09585192.2016.1244699</w:t>
        </w:r>
      </w:hyperlink>
    </w:p>
    <w:p w14:paraId="6E9EA969"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Rich, B. L., Lepine, J. A., &amp; Crawford, E. R. (2010). Job engagement. </w:t>
      </w:r>
      <w:r w:rsidRPr="00DC21E0">
        <w:rPr>
          <w:rFonts w:ascii="Times New Roman" w:hAnsi="Times New Roman" w:cs="Times New Roman"/>
          <w:i/>
          <w:iCs/>
          <w:color w:val="000000" w:themeColor="text1"/>
          <w:szCs w:val="24"/>
        </w:rPr>
        <w:t>Academy of Management Journal, 53</w:t>
      </w:r>
      <w:r w:rsidRPr="00DC21E0">
        <w:rPr>
          <w:rFonts w:ascii="Times New Roman" w:hAnsi="Times New Roman" w:cs="Times New Roman"/>
          <w:color w:val="000000" w:themeColor="text1"/>
          <w:szCs w:val="24"/>
        </w:rPr>
        <w:t xml:space="preserve">(3), 617–635. </w:t>
      </w:r>
      <w:hyperlink r:id="rId19" w:tgtFrame="_new" w:history="1">
        <w:r w:rsidRPr="00DC21E0">
          <w:rPr>
            <w:rStyle w:val="Hyperlink"/>
            <w:rFonts w:ascii="Times New Roman" w:hAnsi="Times New Roman" w:cs="Times New Roman"/>
            <w:szCs w:val="24"/>
          </w:rPr>
          <w:t>https://doi.org/10.5465/amj.2010.51468988</w:t>
        </w:r>
      </w:hyperlink>
    </w:p>
    <w:p w14:paraId="57D61B47"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Rozovsky, J. (2015). Google team effectiveness. </w:t>
      </w:r>
      <w:r w:rsidRPr="00DC21E0">
        <w:rPr>
          <w:rFonts w:ascii="Times New Roman" w:hAnsi="Times New Roman" w:cs="Times New Roman"/>
          <w:i/>
          <w:iCs/>
          <w:color w:val="000000" w:themeColor="text1"/>
          <w:szCs w:val="24"/>
        </w:rPr>
        <w:t xml:space="preserve">Google </w:t>
      </w:r>
      <w:proofErr w:type="spellStart"/>
      <w:proofErr w:type="gramStart"/>
      <w:r w:rsidRPr="00DC21E0">
        <w:rPr>
          <w:rFonts w:ascii="Times New Roman" w:hAnsi="Times New Roman" w:cs="Times New Roman"/>
          <w:i/>
          <w:iCs/>
          <w:color w:val="000000" w:themeColor="text1"/>
          <w:szCs w:val="24"/>
        </w:rPr>
        <w:t>re:Work</w:t>
      </w:r>
      <w:proofErr w:type="spellEnd"/>
      <w:proofErr w:type="gramEnd"/>
      <w:r w:rsidRPr="00DC21E0">
        <w:rPr>
          <w:rFonts w:ascii="Times New Roman" w:hAnsi="Times New Roman" w:cs="Times New Roman"/>
          <w:color w:val="000000" w:themeColor="text1"/>
          <w:szCs w:val="24"/>
        </w:rPr>
        <w:t>.</w:t>
      </w:r>
    </w:p>
    <w:p w14:paraId="4BE14FA1"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Saks, A. M. (2006). Engagement antecedents. </w:t>
      </w:r>
      <w:r w:rsidRPr="00DC21E0">
        <w:rPr>
          <w:rFonts w:ascii="Times New Roman" w:hAnsi="Times New Roman" w:cs="Times New Roman"/>
          <w:i/>
          <w:iCs/>
          <w:color w:val="000000" w:themeColor="text1"/>
          <w:szCs w:val="24"/>
        </w:rPr>
        <w:t>Journal of Managerial Psychology, 21</w:t>
      </w:r>
      <w:r w:rsidRPr="00DC21E0">
        <w:rPr>
          <w:rFonts w:ascii="Times New Roman" w:hAnsi="Times New Roman" w:cs="Times New Roman"/>
          <w:color w:val="000000" w:themeColor="text1"/>
          <w:szCs w:val="24"/>
        </w:rPr>
        <w:t xml:space="preserve">(7), 600–619. </w:t>
      </w:r>
      <w:hyperlink r:id="rId20" w:tgtFrame="_new" w:history="1">
        <w:r w:rsidRPr="00DC21E0">
          <w:rPr>
            <w:rStyle w:val="Hyperlink"/>
            <w:rFonts w:ascii="Times New Roman" w:hAnsi="Times New Roman" w:cs="Times New Roman"/>
            <w:szCs w:val="24"/>
          </w:rPr>
          <w:t>https://doi.org/10.1108/02683940610690169</w:t>
        </w:r>
      </w:hyperlink>
    </w:p>
    <w:p w14:paraId="1DB8AF5A"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lastRenderedPageBreak/>
        <w:t xml:space="preserve">Saunders, M., Lewis, P., &amp; Thornhill, A. (2019). </w:t>
      </w:r>
      <w:r w:rsidRPr="00DC21E0">
        <w:rPr>
          <w:rFonts w:ascii="Times New Roman" w:hAnsi="Times New Roman" w:cs="Times New Roman"/>
          <w:i/>
          <w:iCs/>
          <w:color w:val="000000" w:themeColor="text1"/>
          <w:szCs w:val="24"/>
        </w:rPr>
        <w:t>Research methods</w:t>
      </w:r>
      <w:r w:rsidRPr="00DC21E0">
        <w:rPr>
          <w:rFonts w:ascii="Times New Roman" w:hAnsi="Times New Roman" w:cs="Times New Roman"/>
          <w:color w:val="000000" w:themeColor="text1"/>
          <w:szCs w:val="24"/>
        </w:rPr>
        <w:t>. Pearson.</w:t>
      </w:r>
    </w:p>
    <w:p w14:paraId="512BDDB2"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Schaufeli, W. B., </w:t>
      </w:r>
      <w:proofErr w:type="spellStart"/>
      <w:r w:rsidRPr="00DC21E0">
        <w:rPr>
          <w:rFonts w:ascii="Times New Roman" w:hAnsi="Times New Roman" w:cs="Times New Roman"/>
          <w:color w:val="000000" w:themeColor="text1"/>
          <w:szCs w:val="24"/>
        </w:rPr>
        <w:t>Salanova</w:t>
      </w:r>
      <w:proofErr w:type="spellEnd"/>
      <w:r w:rsidRPr="00DC21E0">
        <w:rPr>
          <w:rFonts w:ascii="Times New Roman" w:hAnsi="Times New Roman" w:cs="Times New Roman"/>
          <w:color w:val="000000" w:themeColor="text1"/>
          <w:szCs w:val="24"/>
        </w:rPr>
        <w:t>, M., González-</w:t>
      </w:r>
      <w:proofErr w:type="spellStart"/>
      <w:r w:rsidRPr="00DC21E0">
        <w:rPr>
          <w:rFonts w:ascii="Times New Roman" w:hAnsi="Times New Roman" w:cs="Times New Roman"/>
          <w:color w:val="000000" w:themeColor="text1"/>
          <w:szCs w:val="24"/>
        </w:rPr>
        <w:t>Romá</w:t>
      </w:r>
      <w:proofErr w:type="spellEnd"/>
      <w:r w:rsidRPr="00DC21E0">
        <w:rPr>
          <w:rFonts w:ascii="Times New Roman" w:hAnsi="Times New Roman" w:cs="Times New Roman"/>
          <w:color w:val="000000" w:themeColor="text1"/>
          <w:szCs w:val="24"/>
        </w:rPr>
        <w:t xml:space="preserve">, V., &amp; Bakker, A. B. (2002). Engagement measurement. </w:t>
      </w:r>
      <w:r w:rsidRPr="00DC21E0">
        <w:rPr>
          <w:rFonts w:ascii="Times New Roman" w:hAnsi="Times New Roman" w:cs="Times New Roman"/>
          <w:i/>
          <w:iCs/>
          <w:color w:val="000000" w:themeColor="text1"/>
          <w:szCs w:val="24"/>
        </w:rPr>
        <w:t>Journal of Happiness Studies, 3</w:t>
      </w:r>
      <w:r w:rsidRPr="00DC21E0">
        <w:rPr>
          <w:rFonts w:ascii="Times New Roman" w:hAnsi="Times New Roman" w:cs="Times New Roman"/>
          <w:color w:val="000000" w:themeColor="text1"/>
          <w:szCs w:val="24"/>
        </w:rPr>
        <w:t>(1), 71–92. https://doi.org/10.1023/A:1015630930326</w:t>
      </w:r>
    </w:p>
    <w:p w14:paraId="1AE4D2E1"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Schmidt, F. L., &amp; Hunter, J. E. (1998). Selection methods validity. </w:t>
      </w:r>
      <w:r w:rsidRPr="00DC21E0">
        <w:rPr>
          <w:rFonts w:ascii="Times New Roman" w:hAnsi="Times New Roman" w:cs="Times New Roman"/>
          <w:i/>
          <w:iCs/>
          <w:color w:val="000000" w:themeColor="text1"/>
          <w:szCs w:val="24"/>
        </w:rPr>
        <w:t>Psychological Bulletin, 124</w:t>
      </w:r>
      <w:r w:rsidRPr="00DC21E0">
        <w:rPr>
          <w:rFonts w:ascii="Times New Roman" w:hAnsi="Times New Roman" w:cs="Times New Roman"/>
          <w:color w:val="000000" w:themeColor="text1"/>
          <w:szCs w:val="24"/>
        </w:rPr>
        <w:t xml:space="preserve">(2), 262–274. </w:t>
      </w:r>
      <w:hyperlink r:id="rId21" w:tgtFrame="_new" w:history="1">
        <w:r w:rsidRPr="00DC21E0">
          <w:rPr>
            <w:rStyle w:val="Hyperlink"/>
            <w:rFonts w:ascii="Times New Roman" w:hAnsi="Times New Roman" w:cs="Times New Roman"/>
            <w:szCs w:val="24"/>
          </w:rPr>
          <w:t>https://doi.org/10.1037/0033-2909.124.2.262</w:t>
        </w:r>
      </w:hyperlink>
    </w:p>
    <w:p w14:paraId="577AB3B7"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Tarique, I., &amp; Schuler, R. (2010). Global talent management. </w:t>
      </w:r>
      <w:r w:rsidRPr="00DC21E0">
        <w:rPr>
          <w:rFonts w:ascii="Times New Roman" w:hAnsi="Times New Roman" w:cs="Times New Roman"/>
          <w:i/>
          <w:iCs/>
          <w:color w:val="000000" w:themeColor="text1"/>
          <w:szCs w:val="24"/>
        </w:rPr>
        <w:t>Journal of World Business, 45</w:t>
      </w:r>
      <w:r w:rsidRPr="00DC21E0">
        <w:rPr>
          <w:rFonts w:ascii="Times New Roman" w:hAnsi="Times New Roman" w:cs="Times New Roman"/>
          <w:color w:val="000000" w:themeColor="text1"/>
          <w:szCs w:val="24"/>
        </w:rPr>
        <w:t>(2), 122–133. https://doi.org/10.1016/j.jwb.2009.09.019</w:t>
      </w:r>
    </w:p>
    <w:p w14:paraId="194D533E"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West, M. A., &amp; Farr, J. L. (1990). Innovation at work. Wiley.</w:t>
      </w:r>
    </w:p>
    <w:p w14:paraId="467F2A3E" w14:textId="77777777" w:rsidR="00DC21E0" w:rsidRPr="00DC21E0" w:rsidRDefault="00DC21E0" w:rsidP="00DC21E0">
      <w:pPr>
        <w:spacing w:line="480" w:lineRule="auto"/>
        <w:rPr>
          <w:rFonts w:ascii="Times New Roman" w:hAnsi="Times New Roman" w:cs="Times New Roman"/>
          <w:color w:val="000000" w:themeColor="text1"/>
          <w:szCs w:val="24"/>
        </w:rPr>
      </w:pPr>
      <w:r w:rsidRPr="00DC21E0">
        <w:rPr>
          <w:rFonts w:ascii="Times New Roman" w:hAnsi="Times New Roman" w:cs="Times New Roman"/>
          <w:color w:val="000000" w:themeColor="text1"/>
          <w:szCs w:val="24"/>
        </w:rPr>
        <w:t xml:space="preserve">Yin, R. K. (2018). </w:t>
      </w:r>
      <w:r w:rsidRPr="00DC21E0">
        <w:rPr>
          <w:rFonts w:ascii="Times New Roman" w:hAnsi="Times New Roman" w:cs="Times New Roman"/>
          <w:i/>
          <w:iCs/>
          <w:color w:val="000000" w:themeColor="text1"/>
          <w:szCs w:val="24"/>
        </w:rPr>
        <w:t>Case study research</w:t>
      </w:r>
      <w:r w:rsidRPr="00DC21E0">
        <w:rPr>
          <w:rFonts w:ascii="Times New Roman" w:hAnsi="Times New Roman" w:cs="Times New Roman"/>
          <w:color w:val="000000" w:themeColor="text1"/>
          <w:szCs w:val="24"/>
        </w:rPr>
        <w:t>. Sage.</w:t>
      </w:r>
    </w:p>
    <w:p w14:paraId="0CBEF15A" w14:textId="77777777" w:rsidR="00B55503" w:rsidRDefault="00B55503" w:rsidP="00DC21E0">
      <w:pPr>
        <w:spacing w:line="480" w:lineRule="auto"/>
      </w:pPr>
    </w:p>
    <w:sectPr w:rsidR="00B555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96065"/>
    <w:multiLevelType w:val="multilevel"/>
    <w:tmpl w:val="8C5C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73597"/>
    <w:multiLevelType w:val="multilevel"/>
    <w:tmpl w:val="3206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D1793"/>
    <w:multiLevelType w:val="multilevel"/>
    <w:tmpl w:val="4EAA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F1996"/>
    <w:multiLevelType w:val="multilevel"/>
    <w:tmpl w:val="ABF46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846562"/>
    <w:multiLevelType w:val="multilevel"/>
    <w:tmpl w:val="3BFC9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666342"/>
    <w:multiLevelType w:val="multilevel"/>
    <w:tmpl w:val="2EC0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51C59"/>
    <w:multiLevelType w:val="multilevel"/>
    <w:tmpl w:val="5C8C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162BD9"/>
    <w:multiLevelType w:val="multilevel"/>
    <w:tmpl w:val="AD647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2C4321"/>
    <w:multiLevelType w:val="multilevel"/>
    <w:tmpl w:val="340C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D1790A"/>
    <w:multiLevelType w:val="multilevel"/>
    <w:tmpl w:val="84C89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2E4784"/>
    <w:multiLevelType w:val="multilevel"/>
    <w:tmpl w:val="A4DE6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4A4402"/>
    <w:multiLevelType w:val="multilevel"/>
    <w:tmpl w:val="9DC04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8E3561"/>
    <w:multiLevelType w:val="multilevel"/>
    <w:tmpl w:val="200C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4059687">
    <w:abstractNumId w:val="12"/>
  </w:num>
  <w:num w:numId="2" w16cid:durableId="807480535">
    <w:abstractNumId w:val="0"/>
  </w:num>
  <w:num w:numId="3" w16cid:durableId="829827387">
    <w:abstractNumId w:val="7"/>
  </w:num>
  <w:num w:numId="4" w16cid:durableId="1321155115">
    <w:abstractNumId w:val="11"/>
  </w:num>
  <w:num w:numId="5" w16cid:durableId="392118052">
    <w:abstractNumId w:val="8"/>
  </w:num>
  <w:num w:numId="6" w16cid:durableId="366150368">
    <w:abstractNumId w:val="2"/>
  </w:num>
  <w:num w:numId="7" w16cid:durableId="1286884809">
    <w:abstractNumId w:val="3"/>
  </w:num>
  <w:num w:numId="8" w16cid:durableId="2034454771">
    <w:abstractNumId w:val="9"/>
  </w:num>
  <w:num w:numId="9" w16cid:durableId="703289745">
    <w:abstractNumId w:val="5"/>
  </w:num>
  <w:num w:numId="10" w16cid:durableId="585263378">
    <w:abstractNumId w:val="10"/>
  </w:num>
  <w:num w:numId="11" w16cid:durableId="1246456505">
    <w:abstractNumId w:val="6"/>
  </w:num>
  <w:num w:numId="12" w16cid:durableId="447545942">
    <w:abstractNumId w:val="4"/>
  </w:num>
  <w:num w:numId="13" w16cid:durableId="14013712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503"/>
    <w:rsid w:val="006115A2"/>
    <w:rsid w:val="0096763F"/>
    <w:rsid w:val="00B55503"/>
    <w:rsid w:val="00DC21E0"/>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7F79A"/>
  <w15:chartTrackingRefBased/>
  <w15:docId w15:val="{1149E71F-6F43-4C72-B87A-ACC3BAC0D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503"/>
  </w:style>
  <w:style w:type="paragraph" w:styleId="Heading1">
    <w:name w:val="heading 1"/>
    <w:basedOn w:val="Normal"/>
    <w:next w:val="Normal"/>
    <w:link w:val="Heading1Char"/>
    <w:uiPriority w:val="9"/>
    <w:qFormat/>
    <w:rsid w:val="00B5550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B5550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B5550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B555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55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55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55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55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55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50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B5550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5550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555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55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55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55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55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5503"/>
    <w:rPr>
      <w:rFonts w:eastAsiaTheme="majorEastAsia" w:cstheme="majorBidi"/>
      <w:color w:val="272727" w:themeColor="text1" w:themeTint="D8"/>
    </w:rPr>
  </w:style>
  <w:style w:type="paragraph" w:styleId="Title">
    <w:name w:val="Title"/>
    <w:basedOn w:val="Normal"/>
    <w:next w:val="Normal"/>
    <w:link w:val="TitleChar"/>
    <w:uiPriority w:val="10"/>
    <w:qFormat/>
    <w:rsid w:val="00B55503"/>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5550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5550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5550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55503"/>
    <w:pPr>
      <w:spacing w:before="160"/>
      <w:jc w:val="center"/>
    </w:pPr>
    <w:rPr>
      <w:i/>
      <w:iCs/>
      <w:color w:val="404040" w:themeColor="text1" w:themeTint="BF"/>
    </w:rPr>
  </w:style>
  <w:style w:type="character" w:customStyle="1" w:styleId="QuoteChar">
    <w:name w:val="Quote Char"/>
    <w:basedOn w:val="DefaultParagraphFont"/>
    <w:link w:val="Quote"/>
    <w:uiPriority w:val="29"/>
    <w:rsid w:val="00B55503"/>
    <w:rPr>
      <w:i/>
      <w:iCs/>
      <w:color w:val="404040" w:themeColor="text1" w:themeTint="BF"/>
    </w:rPr>
  </w:style>
  <w:style w:type="paragraph" w:styleId="ListParagraph">
    <w:name w:val="List Paragraph"/>
    <w:basedOn w:val="Normal"/>
    <w:uiPriority w:val="34"/>
    <w:qFormat/>
    <w:rsid w:val="00B55503"/>
    <w:pPr>
      <w:ind w:left="720"/>
      <w:contextualSpacing/>
    </w:pPr>
  </w:style>
  <w:style w:type="character" w:styleId="IntenseEmphasis">
    <w:name w:val="Intense Emphasis"/>
    <w:basedOn w:val="DefaultParagraphFont"/>
    <w:uiPriority w:val="21"/>
    <w:qFormat/>
    <w:rsid w:val="00B55503"/>
    <w:rPr>
      <w:i/>
      <w:iCs/>
      <w:color w:val="0F4761" w:themeColor="accent1" w:themeShade="BF"/>
    </w:rPr>
  </w:style>
  <w:style w:type="paragraph" w:styleId="IntenseQuote">
    <w:name w:val="Intense Quote"/>
    <w:basedOn w:val="Normal"/>
    <w:next w:val="Normal"/>
    <w:link w:val="IntenseQuoteChar"/>
    <w:uiPriority w:val="30"/>
    <w:qFormat/>
    <w:rsid w:val="00B555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5503"/>
    <w:rPr>
      <w:i/>
      <w:iCs/>
      <w:color w:val="0F4761" w:themeColor="accent1" w:themeShade="BF"/>
    </w:rPr>
  </w:style>
  <w:style w:type="character" w:styleId="IntenseReference">
    <w:name w:val="Intense Reference"/>
    <w:basedOn w:val="DefaultParagraphFont"/>
    <w:uiPriority w:val="32"/>
    <w:qFormat/>
    <w:rsid w:val="00B55503"/>
    <w:rPr>
      <w:b/>
      <w:bCs/>
      <w:smallCaps/>
      <w:color w:val="0F4761" w:themeColor="accent1" w:themeShade="BF"/>
      <w:spacing w:val="5"/>
    </w:rPr>
  </w:style>
  <w:style w:type="character" w:styleId="Hyperlink">
    <w:name w:val="Hyperlink"/>
    <w:basedOn w:val="DefaultParagraphFont"/>
    <w:uiPriority w:val="99"/>
    <w:unhideWhenUsed/>
    <w:rsid w:val="00B55503"/>
    <w:rPr>
      <w:color w:val="467886" w:themeColor="hyperlink"/>
      <w:u w:val="single"/>
    </w:rPr>
  </w:style>
  <w:style w:type="paragraph" w:styleId="TOCHeading">
    <w:name w:val="TOC Heading"/>
    <w:basedOn w:val="Heading1"/>
    <w:next w:val="Normal"/>
    <w:uiPriority w:val="39"/>
    <w:unhideWhenUsed/>
    <w:qFormat/>
    <w:rsid w:val="00B5550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B55503"/>
    <w:pPr>
      <w:spacing w:after="100"/>
      <w:ind w:left="240"/>
    </w:pPr>
  </w:style>
  <w:style w:type="character" w:styleId="UnresolvedMention">
    <w:name w:val="Unresolved Mention"/>
    <w:basedOn w:val="DefaultParagraphFont"/>
    <w:uiPriority w:val="99"/>
    <w:semiHidden/>
    <w:unhideWhenUsed/>
    <w:rsid w:val="00DC21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orgpsych-031413-091235" TargetMode="External"/><Relationship Id="rId13" Type="http://schemas.openxmlformats.org/officeDocument/2006/relationships/hyperlink" Target="https://doi.org/10.1207/S15327965PLI1104_01" TargetMode="External"/><Relationship Id="rId18" Type="http://schemas.openxmlformats.org/officeDocument/2006/relationships/hyperlink" Target="https://doi.org/10.1080/09585192.2016.1244699" TargetMode="External"/><Relationship Id="rId3" Type="http://schemas.openxmlformats.org/officeDocument/2006/relationships/settings" Target="settings.xml"/><Relationship Id="rId21" Type="http://schemas.openxmlformats.org/officeDocument/2006/relationships/hyperlink" Target="https://doi.org/10.1037/0033-2909.124.2.262" TargetMode="External"/><Relationship Id="rId7" Type="http://schemas.openxmlformats.org/officeDocument/2006/relationships/hyperlink" Target="https://doi.org/10.1108/13620430810870476" TargetMode="External"/><Relationship Id="rId12" Type="http://schemas.openxmlformats.org/officeDocument/2006/relationships/hyperlink" Target="https://doi.org/10.1016/j.hrmr.2009.04.001" TargetMode="External"/><Relationship Id="rId17" Type="http://schemas.openxmlformats.org/officeDocument/2006/relationships/hyperlink" Target="https://doi.org/10.1037/0021-9010.87.2.268" TargetMode="External"/><Relationship Id="rId2" Type="http://schemas.openxmlformats.org/officeDocument/2006/relationships/styles" Target="styles.xml"/><Relationship Id="rId16" Type="http://schemas.openxmlformats.org/officeDocument/2006/relationships/hyperlink" Target="https://doi.org/10.1002/job.322" TargetMode="External"/><Relationship Id="rId20" Type="http://schemas.openxmlformats.org/officeDocument/2006/relationships/hyperlink" Target="https://doi.org/10.1108/02683940610690169" TargetMode="External"/><Relationship Id="rId1" Type="http://schemas.openxmlformats.org/officeDocument/2006/relationships/numbering" Target="numbering.xml"/><Relationship Id="rId6" Type="http://schemas.openxmlformats.org/officeDocument/2006/relationships/hyperlink" Target="https://doi.org/10.1111/1748-8583.12090" TargetMode="External"/><Relationship Id="rId11" Type="http://schemas.openxmlformats.org/officeDocument/2006/relationships/hyperlink" Target="https://doi.org/10.1111/j.1744-6570.1997.tb00709.x" TargetMode="External"/><Relationship Id="rId5" Type="http://schemas.openxmlformats.org/officeDocument/2006/relationships/image" Target="media/image1.png"/><Relationship Id="rId15" Type="http://schemas.openxmlformats.org/officeDocument/2006/relationships/hyperlink" Target="https://doi.org/10.1146/annurev-orgpsych-031413-091305" TargetMode="External"/><Relationship Id="rId23" Type="http://schemas.openxmlformats.org/officeDocument/2006/relationships/theme" Target="theme/theme1.xml"/><Relationship Id="rId10" Type="http://schemas.openxmlformats.org/officeDocument/2006/relationships/hyperlink" Target="https://doi.org/10.1191/1478088706qp063oa" TargetMode="External"/><Relationship Id="rId19" Type="http://schemas.openxmlformats.org/officeDocument/2006/relationships/hyperlink" Target="https://doi.org/10.5465/amj.2010.51468988" TargetMode="External"/><Relationship Id="rId4" Type="http://schemas.openxmlformats.org/officeDocument/2006/relationships/webSettings" Target="webSettings.xml"/><Relationship Id="rId9" Type="http://schemas.openxmlformats.org/officeDocument/2006/relationships/hyperlink" Target="https://doi.org/10.1177/014920639101700108" TargetMode="External"/><Relationship Id="rId14" Type="http://schemas.openxmlformats.org/officeDocument/2006/relationships/hyperlink" Target="https://doi.org/10.2307/266699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24</Pages>
  <Words>5019</Words>
  <Characters>28612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2026-03-21T15:34:00Z</dcterms:created>
  <dcterms:modified xsi:type="dcterms:W3CDTF">2026-03-21T15:58:00Z</dcterms:modified>
</cp:coreProperties>
</file>