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B3005E" w:rsidRPr="00B3005E" w:rsidRDefault="00D26592" w:rsidP="00B3005E">
      <w:pPr>
        <w:jc w:val="center"/>
        <w:rPr>
          <w:sz w:val="44"/>
          <w:szCs w:val="44"/>
        </w:rPr>
      </w:pPr>
      <w:r>
        <w:rPr>
          <w:b/>
          <w:bCs/>
          <w:sz w:val="48"/>
          <w:szCs w:val="48"/>
        </w:rPr>
        <w:t xml:space="preserve">Title: </w:t>
      </w:r>
      <w:r w:rsidR="00B3005E" w:rsidRPr="00B3005E">
        <w:rPr>
          <w:b/>
          <w:bCs/>
          <w:sz w:val="48"/>
          <w:szCs w:val="48"/>
        </w:rPr>
        <w:t>Reimagining Niagara Falls USA: A TALC-Based Strategy for Regenerative and Culturally Rooted Tourism Development</w:t>
      </w:r>
      <w:r>
        <w:rPr>
          <w:b/>
          <w:sz w:val="40"/>
          <w:szCs w:val="40"/>
        </w:rPr>
        <w:br/>
      </w:r>
      <w:r>
        <w:rPr>
          <w:sz w:val="40"/>
          <w:szCs w:val="40"/>
        </w:rPr>
        <w:br/>
      </w:r>
      <w:r w:rsidR="00B3005E" w:rsidRPr="00B3005E">
        <w:rPr>
          <w:sz w:val="44"/>
          <w:szCs w:val="44"/>
          <w:lang w:val="nl-NL"/>
        </w:rPr>
        <w:t>Student Name: Anup Kumar Joshi</w:t>
      </w:r>
      <w:r w:rsidR="00B3005E" w:rsidRPr="00B3005E">
        <w:rPr>
          <w:sz w:val="44"/>
          <w:szCs w:val="44"/>
          <w:lang w:val="nl-NL"/>
        </w:rPr>
        <w:br/>
        <w:t>Student ID: DE240036</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6E4825" w:rsidRDefault="006E4825" w:rsidP="00D26592"/>
    <w:p w:rsidR="006E4825" w:rsidRDefault="006E4825" w:rsidP="006E4825">
      <w:pPr>
        <w:pStyle w:val="Heading1"/>
      </w:pPr>
      <w:r>
        <w:rPr>
          <w:rStyle w:val="Strong"/>
          <w:b/>
          <w:bCs/>
        </w:rPr>
        <w:lastRenderedPageBreak/>
        <w:t>Table of Contents</w:t>
      </w:r>
    </w:p>
    <w:p w:rsidR="006E4825" w:rsidRDefault="006E4825" w:rsidP="006E4825">
      <w:pPr>
        <w:pStyle w:val="NormalWeb"/>
        <w:numPr>
          <w:ilvl w:val="0"/>
          <w:numId w:val="19"/>
        </w:numPr>
      </w:pPr>
      <w:r>
        <w:t>Abstract</w:t>
      </w:r>
    </w:p>
    <w:p w:rsidR="006E4825" w:rsidRDefault="006E4825" w:rsidP="006E4825">
      <w:pPr>
        <w:pStyle w:val="NormalWeb"/>
        <w:numPr>
          <w:ilvl w:val="0"/>
          <w:numId w:val="19"/>
        </w:numPr>
      </w:pPr>
      <w:r>
        <w:t>Introduction</w:t>
      </w:r>
    </w:p>
    <w:p w:rsidR="006E4825" w:rsidRDefault="006E4825" w:rsidP="006E4825">
      <w:pPr>
        <w:pStyle w:val="NormalWeb"/>
        <w:numPr>
          <w:ilvl w:val="0"/>
          <w:numId w:val="19"/>
        </w:numPr>
      </w:pPr>
      <w:r>
        <w:t>Literature Review</w:t>
      </w:r>
    </w:p>
    <w:p w:rsidR="006E4825" w:rsidRDefault="006E4825" w:rsidP="006E4825">
      <w:pPr>
        <w:pStyle w:val="NormalWeb"/>
        <w:numPr>
          <w:ilvl w:val="0"/>
          <w:numId w:val="19"/>
        </w:numPr>
      </w:pPr>
      <w:r>
        <w:t>Methodology</w:t>
      </w:r>
    </w:p>
    <w:p w:rsidR="006E4825" w:rsidRDefault="006E4825" w:rsidP="006E4825">
      <w:pPr>
        <w:pStyle w:val="NormalWeb"/>
        <w:numPr>
          <w:ilvl w:val="0"/>
          <w:numId w:val="19"/>
        </w:numPr>
      </w:pPr>
      <w:r>
        <w:t>Findings</w:t>
      </w:r>
    </w:p>
    <w:p w:rsidR="006E4825" w:rsidRDefault="006E4825" w:rsidP="006E4825">
      <w:pPr>
        <w:pStyle w:val="NormalWeb"/>
        <w:numPr>
          <w:ilvl w:val="0"/>
          <w:numId w:val="19"/>
        </w:numPr>
      </w:pPr>
      <w:r>
        <w:t>Discussion</w:t>
      </w:r>
    </w:p>
    <w:p w:rsidR="006E4825" w:rsidRDefault="006E4825" w:rsidP="006E4825">
      <w:pPr>
        <w:pStyle w:val="NormalWeb"/>
        <w:numPr>
          <w:ilvl w:val="0"/>
          <w:numId w:val="19"/>
        </w:numPr>
      </w:pPr>
      <w:r>
        <w:t>Conclusion</w:t>
      </w:r>
    </w:p>
    <w:p w:rsidR="006E4825" w:rsidRDefault="006E4825" w:rsidP="006E4825">
      <w:pPr>
        <w:pStyle w:val="NormalWeb"/>
        <w:numPr>
          <w:ilvl w:val="0"/>
          <w:numId w:val="19"/>
        </w:numPr>
      </w:pPr>
      <w:r>
        <w:t>References</w:t>
      </w:r>
    </w:p>
    <w:p w:rsidR="00D81982" w:rsidRDefault="00D81982" w:rsidP="006E4825">
      <w:pPr>
        <w:pStyle w:val="Heading2"/>
        <w:rPr>
          <w:rStyle w:val="Strong"/>
          <w:b/>
          <w:bCs/>
        </w:rPr>
      </w:pPr>
    </w:p>
    <w:p w:rsidR="00D81982" w:rsidRPr="00D81982" w:rsidRDefault="00D81982" w:rsidP="00D81982">
      <w:pPr>
        <w:spacing w:before="100" w:beforeAutospacing="1" w:after="100" w:afterAutospacing="1" w:line="240" w:lineRule="auto"/>
        <w:outlineLvl w:val="2"/>
        <w:rPr>
          <w:rFonts w:ascii="Times New Roman" w:eastAsia="Times New Roman" w:hAnsi="Times New Roman" w:cs="Times New Roman"/>
          <w:b/>
          <w:bCs/>
          <w:sz w:val="27"/>
          <w:szCs w:val="27"/>
        </w:rPr>
      </w:pPr>
      <w:r w:rsidRPr="00D81982">
        <w:rPr>
          <w:rFonts w:ascii="Times New Roman" w:eastAsia="Times New Roman" w:hAnsi="Times New Roman" w:cs="Times New Roman"/>
          <w:b/>
          <w:bCs/>
          <w:sz w:val="27"/>
          <w:szCs w:val="27"/>
        </w:rPr>
        <w:t>1. Abstract</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Niagara Falls, USA, remains one of North America's most iconic natural wonders, attracting millions of visitors annually. Despite this steady flow, the American side of the destination exhibits classic signs of stagnation under Butler’s Tourism Area Life Cycle (TALC) model. While the falls themselves continue to mesmerize, the surrounding urban space, particularly on the U.S. side, fails to meet evolving tourist expectations. Reports of underwhelming infrastructure, shallow engagement with nature, and a lack of interpretive content signal a pressing need for transformation (Butler, 1980; Prideaux, 2000).</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The cityscape around Niagara Falls has become over-commercialized, with dated attractions that lack emotional or educational depth. Rather than offering immersive natural or cultural encounters, visitors are greeted by neon lights, chain restaurants, and amusement-style diversions that detach the natural spectacle from its context (Sharpley, 2001). This setup undermines long-term visitor satisfaction and leads to increasingly short stays, reduced economic contribution, and a weakened regional identity. TALC theorists argue that such destinations are at high risk unless revitalization strategies are deployed swiftly (Prideaux, 2000).</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The stagnation of Niagara Falls USA is not a result of a decline in tourist numbers but a consequence of an uninspired tourism product. With growing global demand for experiential, meaningful travel, destinations need to realign with modern values like ecological sustainability, cultural authenticity, and wellness tourism (Pine &amp; Gilmore, 1999; Tussyadiah &amp; Fesenmaier, 2009). This creates an opportunity to reposition Niagara Falls as more than a visual marvel—into a slow-travel, nature-wellness destination that reflects deeper societal shifts.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By embedding interpretive experiences, developing eco-friendly infrastructure, and extending the tourism offer beyond the immediate falls, stakeholders can reconfigure the region’s appeal. Embracing storytelling, local narratives, and environmental education will make the falls a gateway to emotional and spiritual enrichment, rather than a fleeting photo stop (Smith, 2003). Such transformation will attract longer-staying, higher-spending, and repeat visitors, ensuring economic and cultural sustainability.</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lastRenderedPageBreak/>
        <w:t>A binational approach is essential for holistic reinvention. Collaborative branding with Canadian counterparts can elevate shared narratives, sustainability goals, and tourism infrastructure (Timothy &amp; Tosun, 2003). Joint programming across both borders can add thematic depth, while cooperative regulations can help manage environmental impact and visitor flow, making the entire destination more resilient.</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This report aims to reframe Niagara Falls USA using the TALC model to identify stagnation symptoms and guide a multi-dimensional revitalization. Using a qualitative case study method and benchmarking best practices, it offers practical, culturally grounded, and environmentally sound strategies that align the destination with evolving tourism paradigms.</w:t>
      </w:r>
    </w:p>
    <w:p w:rsidR="00D81982" w:rsidRPr="00D81982" w:rsidRDefault="00D81982" w:rsidP="00D81982">
      <w:pPr>
        <w:spacing w:after="0" w:line="240" w:lineRule="auto"/>
        <w:rPr>
          <w:rFonts w:ascii="Times New Roman" w:eastAsia="Times New Roman" w:hAnsi="Times New Roman" w:cs="Times New Roman"/>
          <w:sz w:val="24"/>
          <w:szCs w:val="24"/>
        </w:rPr>
      </w:pPr>
    </w:p>
    <w:p w:rsidR="00D81982" w:rsidRPr="00D81982" w:rsidRDefault="00D81982" w:rsidP="00D81982">
      <w:pPr>
        <w:spacing w:before="100" w:beforeAutospacing="1" w:after="100" w:afterAutospacing="1" w:line="240" w:lineRule="auto"/>
        <w:outlineLvl w:val="2"/>
        <w:rPr>
          <w:rFonts w:ascii="Times New Roman" w:eastAsia="Times New Roman" w:hAnsi="Times New Roman" w:cs="Times New Roman"/>
          <w:b/>
          <w:bCs/>
          <w:sz w:val="27"/>
          <w:szCs w:val="27"/>
        </w:rPr>
      </w:pPr>
      <w:r w:rsidRPr="00D81982">
        <w:rPr>
          <w:rFonts w:ascii="Times New Roman" w:eastAsia="Times New Roman" w:hAnsi="Times New Roman" w:cs="Times New Roman"/>
          <w:b/>
          <w:bCs/>
          <w:sz w:val="27"/>
          <w:szCs w:val="27"/>
        </w:rPr>
        <w:t>2. Introduction</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Niagara Falls has long stood as a symbol of natural majesty and North American tourism. With its awe-inspiring cascade shared by both the U.S. and Canada, it has historically attracted millions of tourists seeking scenic grandeur. While the falls themselves remain breathtaking, the surrounding tourism infrastructure on the U.S. side has failed to evolve in tandem with changing traveler values. Instead of transformation, what persists is a dated, commercialized environment that does little to extend or enrich the visitor experience (Sharpley, 2001; Macleod, 2006).</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Over time, the contrast between the U.S. and Canadian sides has become increasingly apparent. Visitors often remark that while the Canadian side offers panoramic views, well-maintained public spaces, and upscale tourism offerings, the American side lags in aesthetic coherence and interpretive depth. This perception gap has led to the U.S. side becoming a secondary stop, with most tourists opting for a brief visit before returning to Canada (Sharpley, 2001).</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The TALC model by Butler (1980) provides a critical lens through which this stagnation can be assessed. According to TALC, destinations move through stages from exploration and development to stagnation and decline. Niagara Falls USA clearly exhibits stagnation signs—plateauing visitation numbers, diminishing local benefit, and declining tourist satisfaction. Without timely intervention, stagnation can shift into decline, making reinvention not just desirable but essential (Prideaux, 2000).</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Modern tourists are increasingly driven by emotional engagement, sustainability, and authenticity. They seek experiences that provide learning, introspection, and connection to place (Tussyadiah &amp; Fesenmaier, 2009). Niagara Falls USA, in its current form, is largely built around transactional tourism—snap a photo, grab a souvenir, and leave. This model no longer resonates with the rising wave of slow travelers and eco-conscious explorers (Pine &amp; Gilmore, 1999).</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Furthermore, local stakeholders—including residents, Indigenous communities, and environmental groups—have expressed frustration over the lack of meaningful participation in tourism planning. The focus on commercial gain has often marginalized cultural heritage, social equity, and environmental preservation. This has created a disconnect between the city and its identity, weakening long-term community and economic resilience (Smith, 2003).</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lastRenderedPageBreak/>
        <w:t>The report will thus explore the stagnation through TALC and propose a reinvention strategy rooted in nature-immersion, community-based tourism, cultural heritage, and binational cooperation. The aim is to transform Niagara Falls USA from a stopover destination into a story-rich, emotionally impactful place that reflects global values of sustainability, inclusiveness, and regenerative tourism.</w:t>
      </w:r>
    </w:p>
    <w:p w:rsidR="00D81982" w:rsidRPr="00D81982" w:rsidRDefault="00D81982" w:rsidP="00D81982">
      <w:pPr>
        <w:spacing w:after="0" w:line="240" w:lineRule="auto"/>
        <w:rPr>
          <w:rFonts w:ascii="Times New Roman" w:eastAsia="Times New Roman" w:hAnsi="Times New Roman" w:cs="Times New Roman"/>
          <w:sz w:val="24"/>
          <w:szCs w:val="24"/>
        </w:rPr>
      </w:pPr>
    </w:p>
    <w:p w:rsidR="00D81982" w:rsidRPr="00D81982" w:rsidRDefault="00D81982" w:rsidP="00D81982">
      <w:pPr>
        <w:spacing w:before="100" w:beforeAutospacing="1" w:after="100" w:afterAutospacing="1" w:line="240" w:lineRule="auto"/>
        <w:outlineLvl w:val="2"/>
        <w:rPr>
          <w:rFonts w:ascii="Times New Roman" w:eastAsia="Times New Roman" w:hAnsi="Times New Roman" w:cs="Times New Roman"/>
          <w:b/>
          <w:bCs/>
          <w:sz w:val="27"/>
          <w:szCs w:val="27"/>
        </w:rPr>
      </w:pPr>
      <w:r w:rsidRPr="00D81982">
        <w:rPr>
          <w:rFonts w:ascii="Times New Roman" w:eastAsia="Times New Roman" w:hAnsi="Times New Roman" w:cs="Times New Roman"/>
          <w:b/>
          <w:bCs/>
          <w:sz w:val="27"/>
          <w:szCs w:val="27"/>
        </w:rPr>
        <w:t>3. Literature Review</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b/>
          <w:bCs/>
          <w:sz w:val="24"/>
          <w:szCs w:val="24"/>
        </w:rPr>
        <w:t>3.1 TALC and Natural Attractions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The Tourism Area Life Cycle (TALC) model proposed by Butler (1980) describes the evolution of a tourist destination from discovery to potential decline. This model is especially relevant for nature-based destinations like Niagara Falls, where natural beauty initially attracts attention but becomes underutilized or overexploited without innovation. As per Prideaux (2000), stagnation often occurs when tourism offerings remain unchanged, and experiential depth is sacrificed for predictability and volume.</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Niagara Falls USA exemplifies this phenomenon. Although the falls are timeless in their appeal, the supporting tourism infrastructure has not been sufficiently diversified. The focus on souvenir shops, parking lots, and fast-food chains results in a superficial visitor experience. Without meaningful ecological engagement or storytelling, such destinations risk entering a slow decline marked by reduced visitor satisfaction and minimal emotional resonance (Butler, 1980; Macleod, 2006).</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b/>
          <w:bCs/>
          <w:sz w:val="24"/>
          <w:szCs w:val="24"/>
        </w:rPr>
        <w:t>3.2 Over-Commercialization and Experience Fatigue</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Over-commercialization has been widely criticized in tourism studies as a major contributor to destination fatigue. According to Sharpley (2001), when places of natural beauty are surrounded by artificial attractions and aggressive merchandising, the uniqueness of the site is diluted. Niagara Falls USA is a textbook case, where neon signs and amusement arcades dominate the streetscape instead of green trails and educational centers.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Experience fatigue occurs when visitors no longer perceive the destination as unique or enriching. This is exacerbated when tourism becomes repetitive, visually noisy, and disconnected from place identity (Pine &amp; Gilmore, 1999). The shallow experience offered results in lower revisit rates and negative word-of-mouth. Therefore, overcoming stagnation requires replacing over-commercialization with deeper emotional and environmental narratives.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b/>
          <w:bCs/>
          <w:sz w:val="24"/>
          <w:szCs w:val="24"/>
        </w:rPr>
        <w:t>3.3 Cross-Border Collaboration</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 xml:space="preserve">Niagara Falls is unique in being a binational attraction. Timothy and Tosun (2003) argue that destinations straddling national borders benefit significantly from cooperative governance, joint branding, and shared cultural programming. When managed well, binational cooperation can </w:t>
      </w:r>
      <w:r w:rsidRPr="00D81982">
        <w:rPr>
          <w:rFonts w:ascii="Times New Roman" w:eastAsia="Times New Roman" w:hAnsi="Times New Roman" w:cs="Times New Roman"/>
          <w:sz w:val="24"/>
          <w:szCs w:val="24"/>
        </w:rPr>
        <w:lastRenderedPageBreak/>
        <w:t>lead to synchronized tourism policies and infrastructure investments that provide seamless experiences.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Currently, however, Niagara Falls USA and Canada operate largely in parallel. While Canada promotes panoramic views, ecological trails, and curated experiences, the U.S. side lags behind in terms of narrative richness and sustainability messaging. Joint interpretive signage, common ticketing systems, and cross-border storytelling could strengthen the identity of Niagara as a unified, globally significant eco-cultural destination.</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b/>
          <w:bCs/>
          <w:sz w:val="24"/>
          <w:szCs w:val="24"/>
        </w:rPr>
        <w:t>3.4 Nature-Based and Experiential Tourism</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Nature-based tourism is grounded in ecological respect and emotional immersion. It allows visitors to connect with landscapes in contemplative, educational, and regenerative ways. Experiential tourism further deepens this by introducing elements of storytelling, sensory stimulation, and personal transformation (Tussyadiah &amp; Fesenmaier, 2009). At Niagara Falls USA, both forms of tourism remain underdeveloped.</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Developing guided waterfall meditation walks, Indigenous-led storytelling sessions, and ecological education hubs could greatly enhance the destination’s value proposition. Such programs align with modern tourist preferences for mindfulness, sustainability, and participation (Pine &amp; Gilmore, 1999). The success of these models in destinations like Iceland and Banff National Park demonstrates their transformative potential.</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b/>
          <w:bCs/>
          <w:sz w:val="24"/>
          <w:szCs w:val="24"/>
        </w:rPr>
        <w:t>3.5 Heritage and Indigenous Interpretation</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According to Smith (2003), integrating local heritage and Indigenous knowledge into tourism not only enriches the visitor experience but also empowers local communities. Niagara Falls lies on land traditionally stewarded by the Haudenosaunee Confederacy, yet Indigenous voices are largely absent from tourism programming. This omission is a missed opportunity for cultural engagement and justice.</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Heritage interpretation can take many forms—interactive exhibits, guided storytelling walks, culinary tourism, and traditional craft showcases. When designed collaboratively, these elements attract niche tourists interested in authenticity and education. They also ensure that tourism revenues benefit local cultural custodians, contributing to both preservation and reconciliation.</w:t>
      </w:r>
    </w:p>
    <w:p w:rsidR="00D81982" w:rsidRPr="00D81982" w:rsidRDefault="00D81982" w:rsidP="00D81982">
      <w:pPr>
        <w:spacing w:after="0" w:line="240" w:lineRule="auto"/>
        <w:rPr>
          <w:rFonts w:ascii="Times New Roman" w:eastAsia="Times New Roman" w:hAnsi="Times New Roman" w:cs="Times New Roman"/>
          <w:sz w:val="24"/>
          <w:szCs w:val="24"/>
        </w:rPr>
      </w:pPr>
    </w:p>
    <w:p w:rsidR="00D81982" w:rsidRPr="00D81982" w:rsidRDefault="00D81982" w:rsidP="00D81982">
      <w:pPr>
        <w:spacing w:before="100" w:beforeAutospacing="1" w:after="100" w:afterAutospacing="1" w:line="240" w:lineRule="auto"/>
        <w:outlineLvl w:val="2"/>
        <w:rPr>
          <w:rFonts w:ascii="Times New Roman" w:eastAsia="Times New Roman" w:hAnsi="Times New Roman" w:cs="Times New Roman"/>
          <w:b/>
          <w:bCs/>
          <w:sz w:val="27"/>
          <w:szCs w:val="27"/>
        </w:rPr>
      </w:pPr>
      <w:r w:rsidRPr="00D81982">
        <w:rPr>
          <w:rFonts w:ascii="Times New Roman" w:eastAsia="Times New Roman" w:hAnsi="Times New Roman" w:cs="Times New Roman"/>
          <w:b/>
          <w:bCs/>
          <w:sz w:val="27"/>
          <w:szCs w:val="27"/>
        </w:rPr>
        <w:t>4. Methodology</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This research employs a qualitative case study methodology, ideal for exploring complex socio-spatial dynamics in tourism. As Yin (2014) suggests, case studies are effective in analyzing real-life phenomena in depth, especially when multiple variables are at play. Niagara Falls USA serves as the unit of analysis, assessed for its current stage in the TALC framework and potential strategies for reinvention.</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lastRenderedPageBreak/>
        <w:t>Secondary data collection forms the basis of this study. Sources include tourism statistics from VisitNiagaraUSA.com, National Parks Service reports, New York State tourism planning documents, and peer-reviewed academic literature. Additional insights are drawn from local news media, urban redevelopment proposals, and interviews with stakeholders conducted by tourism scholars between 2018 and 2023.</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Three analytical tools guide the analysis. First, the TALC model by Butler (1980) is used to categorize the current life cycle stage. Second, a SWOT analysis identifies the internal and external factors shaping the destination’s future. Third, best practice benchmarking is applied by comparing Niagara Falls USA to similar destinations like Iguazu Falls (Argentina-Brazil), Banff (Canada), and Grand Canyon (USA), focusing on experience design, infrastructure, and sustainability models.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These tools help triangulate the findings, ensuring both theoretical and applied value. The goal is to deliver strategic recommendations that are grounded in academic insight but also relevant for practitioners, policymakers, and local stakeholders. The methodology also allows for exploration of intangible dimensions like identity, emotional engagement, and perception, which are central to the reinvention process.</w:t>
      </w:r>
    </w:p>
    <w:p w:rsidR="00D81982" w:rsidRPr="00D81982" w:rsidRDefault="00D81982" w:rsidP="00D81982">
      <w:pPr>
        <w:spacing w:before="100" w:beforeAutospacing="1" w:after="100" w:afterAutospacing="1" w:line="240" w:lineRule="auto"/>
        <w:rPr>
          <w:rFonts w:ascii="Times New Roman" w:eastAsia="Times New Roman" w:hAnsi="Times New Roman" w:cs="Times New Roman"/>
          <w:sz w:val="24"/>
          <w:szCs w:val="24"/>
        </w:rPr>
      </w:pPr>
      <w:r w:rsidRPr="00D81982">
        <w:rPr>
          <w:rFonts w:ascii="Times New Roman" w:eastAsia="Times New Roman" w:hAnsi="Times New Roman" w:cs="Times New Roman"/>
          <w:sz w:val="24"/>
          <w:szCs w:val="24"/>
        </w:rPr>
        <w:t>Limitations include a reliance on secondary data, which may lack the granularity of primary interviews or on-ground observations. However, the diversity and credibility of sources offset this limitation to a significant extent. Future research could involve direct stakeholder engagement to validate findings and co-create reinvention strategies.</w:t>
      </w:r>
    </w:p>
    <w:p w:rsidR="00D81982" w:rsidRDefault="00D81982" w:rsidP="006E4825">
      <w:pPr>
        <w:pStyle w:val="Heading2"/>
        <w:rPr>
          <w:rStyle w:val="Strong"/>
          <w:b/>
          <w:bCs/>
        </w:rPr>
      </w:pPr>
    </w:p>
    <w:p w:rsidR="006E4825" w:rsidRDefault="006E4825" w:rsidP="006E4825">
      <w:pPr>
        <w:pStyle w:val="Heading2"/>
      </w:pPr>
      <w:r>
        <w:rPr>
          <w:rStyle w:val="Strong"/>
          <w:b/>
          <w:bCs/>
        </w:rPr>
        <w:t>5. Findings</w:t>
      </w:r>
    </w:p>
    <w:p w:rsidR="006E4825" w:rsidRDefault="006E4825" w:rsidP="006E4825">
      <w:pPr>
        <w:pStyle w:val="Heading3"/>
      </w:pPr>
      <w:r>
        <w:t>5.1 TALC Stage: Stagnation</w:t>
      </w:r>
    </w:p>
    <w:p w:rsidR="006E4825" w:rsidRDefault="006E4825" w:rsidP="006E4825">
      <w:pPr>
        <w:pStyle w:val="NormalWeb"/>
      </w:pPr>
      <w:r>
        <w:t>Niagara Falls USA is in a stagnation phase characterized by:</w:t>
      </w:r>
    </w:p>
    <w:p w:rsidR="006E4825" w:rsidRDefault="006E4825" w:rsidP="006E4825">
      <w:pPr>
        <w:pStyle w:val="NormalWeb"/>
        <w:numPr>
          <w:ilvl w:val="0"/>
          <w:numId w:val="23"/>
        </w:numPr>
      </w:pPr>
      <w:r>
        <w:t>Short average visitor stays (under 4 hours)</w:t>
      </w:r>
    </w:p>
    <w:p w:rsidR="006E4825" w:rsidRDefault="006E4825" w:rsidP="006E4825">
      <w:pPr>
        <w:pStyle w:val="NormalWeb"/>
        <w:numPr>
          <w:ilvl w:val="0"/>
          <w:numId w:val="23"/>
        </w:numPr>
      </w:pPr>
      <w:r>
        <w:t>Low repeat visitation</w:t>
      </w:r>
    </w:p>
    <w:p w:rsidR="006E4825" w:rsidRDefault="006E4825" w:rsidP="006E4825">
      <w:pPr>
        <w:pStyle w:val="NormalWeb"/>
        <w:numPr>
          <w:ilvl w:val="0"/>
          <w:numId w:val="23"/>
        </w:numPr>
      </w:pPr>
      <w:r>
        <w:t>Decline in nature-focused activities</w:t>
      </w:r>
    </w:p>
    <w:p w:rsidR="006E4825" w:rsidRDefault="006E4825" w:rsidP="006E4825">
      <w:pPr>
        <w:pStyle w:val="NormalWeb"/>
        <w:numPr>
          <w:ilvl w:val="0"/>
          <w:numId w:val="23"/>
        </w:numPr>
      </w:pPr>
      <w:r>
        <w:t>Poor integration with local communities</w:t>
      </w:r>
    </w:p>
    <w:p w:rsidR="006E4825" w:rsidRDefault="006E4825" w:rsidP="006E4825">
      <w:pPr>
        <w:pStyle w:val="Heading3"/>
      </w:pPr>
      <w:r>
        <w:t>5.2 Internal Challenges</w:t>
      </w:r>
    </w:p>
    <w:p w:rsidR="006E4825" w:rsidRDefault="006E4825" w:rsidP="006E4825">
      <w:pPr>
        <w:pStyle w:val="NormalWeb"/>
        <w:numPr>
          <w:ilvl w:val="0"/>
          <w:numId w:val="24"/>
        </w:numPr>
      </w:pPr>
      <w:r>
        <w:t>Commercial clutter diluting natural appeal</w:t>
      </w:r>
    </w:p>
    <w:p w:rsidR="006E4825" w:rsidRDefault="006E4825" w:rsidP="006E4825">
      <w:pPr>
        <w:pStyle w:val="NormalWeb"/>
        <w:numPr>
          <w:ilvl w:val="0"/>
          <w:numId w:val="24"/>
        </w:numPr>
      </w:pPr>
      <w:r>
        <w:t>Outdated infrastructure and visuals</w:t>
      </w:r>
    </w:p>
    <w:p w:rsidR="006E4825" w:rsidRDefault="006E4825" w:rsidP="006E4825">
      <w:pPr>
        <w:pStyle w:val="NormalWeb"/>
        <w:numPr>
          <w:ilvl w:val="0"/>
          <w:numId w:val="24"/>
        </w:numPr>
      </w:pPr>
      <w:r>
        <w:t>Underuse of cultural assets and parklands</w:t>
      </w:r>
    </w:p>
    <w:p w:rsidR="006E4825" w:rsidRDefault="006E4825" w:rsidP="006E4825">
      <w:pPr>
        <w:pStyle w:val="NormalWeb"/>
        <w:numPr>
          <w:ilvl w:val="0"/>
          <w:numId w:val="24"/>
        </w:numPr>
      </w:pPr>
      <w:r>
        <w:t>Dependence on limited attraction formats (e.g., Maid of the Mist)</w:t>
      </w:r>
    </w:p>
    <w:p w:rsidR="006E4825" w:rsidRDefault="006E4825" w:rsidP="006E4825">
      <w:pPr>
        <w:pStyle w:val="Heading3"/>
      </w:pPr>
      <w:r>
        <w:t>5.3 External Challenges</w:t>
      </w:r>
    </w:p>
    <w:p w:rsidR="006E4825" w:rsidRDefault="006E4825" w:rsidP="006E4825">
      <w:pPr>
        <w:pStyle w:val="NormalWeb"/>
        <w:numPr>
          <w:ilvl w:val="0"/>
          <w:numId w:val="25"/>
        </w:numPr>
      </w:pPr>
      <w:r>
        <w:lastRenderedPageBreak/>
        <w:t>Stronger perception of the Canadian side</w:t>
      </w:r>
    </w:p>
    <w:p w:rsidR="006E4825" w:rsidRDefault="006E4825" w:rsidP="006E4825">
      <w:pPr>
        <w:pStyle w:val="NormalWeb"/>
        <w:numPr>
          <w:ilvl w:val="0"/>
          <w:numId w:val="25"/>
        </w:numPr>
      </w:pPr>
      <w:r>
        <w:t>Competition from newer nature destinations</w:t>
      </w:r>
    </w:p>
    <w:p w:rsidR="006E4825" w:rsidRDefault="006E4825" w:rsidP="006E4825">
      <w:pPr>
        <w:pStyle w:val="NormalWeb"/>
        <w:numPr>
          <w:ilvl w:val="0"/>
          <w:numId w:val="25"/>
        </w:numPr>
      </w:pPr>
      <w:r>
        <w:t>Global traveler shift toward eco-tourism and authenticity</w:t>
      </w:r>
    </w:p>
    <w:p w:rsidR="00AF3707" w:rsidRDefault="00AF3707" w:rsidP="00AF3707">
      <w:pPr>
        <w:pStyle w:val="Heading3"/>
        <w:rPr>
          <w:rStyle w:val="Strong"/>
          <w:b/>
          <w:bCs/>
        </w:rPr>
      </w:pPr>
    </w:p>
    <w:p w:rsidR="00AF3707" w:rsidRDefault="00AF3707" w:rsidP="00AF3707">
      <w:pPr>
        <w:pStyle w:val="Heading3"/>
      </w:pPr>
      <w:r>
        <w:rPr>
          <w:rStyle w:val="Strong"/>
          <w:b/>
          <w:bCs/>
        </w:rPr>
        <w:t>6. Discussion</w:t>
      </w:r>
    </w:p>
    <w:p w:rsidR="00AF3707" w:rsidRDefault="00AF3707" w:rsidP="00AF3707">
      <w:pPr>
        <w:pStyle w:val="Heading4"/>
      </w:pPr>
      <w:r>
        <w:rPr>
          <w:rStyle w:val="Strong"/>
          <w:b/>
          <w:bCs/>
        </w:rPr>
        <w:t>6.1 Reinvention Strategy Overview</w:t>
      </w:r>
    </w:p>
    <w:p w:rsidR="00AF3707" w:rsidRDefault="00AF3707" w:rsidP="00AF3707">
      <w:pPr>
        <w:pStyle w:val="NormalWeb"/>
      </w:pPr>
      <w:r>
        <w:t>To reposition Niagara Falls USA meaningfully, the overarching reinvention strategy must prioritize immersive, slow, and sustainable tourism. Unlike traditional high-volume tourism, which prioritizes numbers and superficial consumption, value-based tourism emphasizes emotional connection, learning, and memory creation (Pine &amp; Gilmore, 1999). By centering visitor experiences on deep nature engagement, cultural storytelling, and ecological respect, Niagara Falls can reinvent itself as a sanctuary for mindful travelers. This shift is consistent with emerging global trends where travelers seek wellness, authenticity, and environmental alignment in their destinations (Gössling et al., 2009).</w:t>
      </w:r>
    </w:p>
    <w:p w:rsidR="00AF3707" w:rsidRDefault="00AF3707" w:rsidP="00AF3707">
      <w:pPr>
        <w:pStyle w:val="NormalWeb"/>
      </w:pPr>
      <w:r>
        <w:t>A crucial goal is to move away from transactional tourism models and instead cultivate a holistic destination experience. Rather than focusing solely on viewing the falls, the tourism strategy should encourage exploration of surrounding ecosystems, participation in community events, and reflection on the falls’ cultural and spiritual significance. This approach aligns with slow tourism principles, which promote lengthier stays, greater economic dispersion, and enhanced personal meaning (Fullagar et al., 2012). Moreover, it allows for the implementation of regenerative tourism—a model that not only minimizes damage but actively contributes to environmental and social repair (Hughes &amp; Scheyvens, 2016).</w:t>
      </w:r>
    </w:p>
    <w:p w:rsidR="00AF3707" w:rsidRDefault="00AF3707" w:rsidP="00AF3707">
      <w:pPr>
        <w:pStyle w:val="NormalWeb"/>
      </w:pPr>
      <w:r>
        <w:t>This transformation also addresses the TALC stagnation symptoms evident in Niagara Falls USA—short visitor durations, a lack of novelty, and minimal emotional investment in the site. By innovating in terms of design, interpretation, and stakeholder engagement, the destination can extend its life cycle into a rejuvenation phase (Butler, 1980). Importantly, the strategy calls for inclusive governance, drawing on insights from Indigenous communities, local artisans, conservationists, and mental health practitioners to co-create a destination rooted in ecological wisdom and cultural humility.</w:t>
      </w:r>
    </w:p>
    <w:p w:rsidR="00AF3707" w:rsidRDefault="00AF3707" w:rsidP="00AF3707"/>
    <w:p w:rsidR="00AF3707" w:rsidRDefault="00AF3707" w:rsidP="00AF3707">
      <w:pPr>
        <w:pStyle w:val="Heading4"/>
      </w:pPr>
      <w:r>
        <w:rPr>
          <w:rStyle w:val="Strong"/>
          <w:b/>
          <w:bCs/>
        </w:rPr>
        <w:t>6.2.1 Nature Immersion Zones</w:t>
      </w:r>
    </w:p>
    <w:p w:rsidR="00AF3707" w:rsidRDefault="00AF3707" w:rsidP="00AF3707">
      <w:pPr>
        <w:pStyle w:val="NormalWeb"/>
      </w:pPr>
      <w:r>
        <w:t xml:space="preserve">Developing nature immersion zones is foundational to reframing Niagara Falls USA as an experiential destination. Nature immersion—such as forest bathing, sound walks, and guided ecology sessions—has proven physical and psychological health benefits and aligns with growing demand for wellness travel (Tsaur &amp; Liang, 2016). Expanding the walking trail networks and designating quiet zones away from tourist congestion will create meditative spaces </w:t>
      </w:r>
      <w:r>
        <w:lastRenderedPageBreak/>
        <w:t>where visitors can re-establish a relationship with the land. These zones can feature interpretive signage highlighting biodiversity, geology, and Indigenous stewardship traditions.</w:t>
      </w:r>
    </w:p>
    <w:p w:rsidR="00AF3707" w:rsidRDefault="00AF3707" w:rsidP="00AF3707">
      <w:pPr>
        <w:pStyle w:val="NormalWeb"/>
      </w:pPr>
      <w:r>
        <w:t>Infrastructure innovations, such as eco-pods and sensory paths, can add further depth to this immersive approach. Eco-pods—low-impact accommodations made from natural materials—blend seamlessly with the environment while supporting longer visitor stays. These spaces could host programs like early morning mindfulness walks, night sky interpretation, and seasonal flora workshops. Moreover, such developments create employment opportunities for local guides, naturalists, and wellness professionals, aligning environmental goals with inclusive economic development (Gössling et al., 2008; UNEP, 2016).</w:t>
      </w:r>
    </w:p>
    <w:p w:rsidR="00AF3707" w:rsidRDefault="00AF3707" w:rsidP="00AF3707">
      <w:pPr>
        <w:pStyle w:val="NormalWeb"/>
      </w:pPr>
      <w:r>
        <w:t>Collaboration with local conservation groups can strengthen these efforts. NGOs, schools, and community science organizations can offer joint programming that includes citizen science tourism, trail restoration volunteering, and educational tours for youth. This fosters a stewardship ethic among both visitors and residents. Such practices have shown success in destinations like Banff and Yellowstone, where visitor engagement is designed to deepen ecological literacy and foster long-term conservation commitments (Buckley, 2009).</w:t>
      </w:r>
    </w:p>
    <w:p w:rsidR="00AF3707" w:rsidRDefault="00AF3707" w:rsidP="00AF3707"/>
    <w:p w:rsidR="00AF3707" w:rsidRDefault="00AF3707" w:rsidP="00AF3707">
      <w:pPr>
        <w:pStyle w:val="Heading4"/>
      </w:pPr>
      <w:r>
        <w:rPr>
          <w:rStyle w:val="Strong"/>
          <w:b/>
          <w:bCs/>
        </w:rPr>
        <w:t>6.2.2 Indigenous and Cultural Storytelling</w:t>
      </w:r>
    </w:p>
    <w:p w:rsidR="00AF3707" w:rsidRDefault="00AF3707" w:rsidP="00AF3707">
      <w:pPr>
        <w:pStyle w:val="NormalWeb"/>
      </w:pPr>
      <w:r>
        <w:t>Integrating Haudenosaunee (Iroquois) cultural narratives is essential for a deeper, more truthful visitor experience at Niagara Falls. Indigenous people have inhabited the area for millennia, and their oral histories, cosmologies, and stewardship practices offer a profound reinterpretation of the falls beyond their visual spectacle (Smith, 2003). Partnering with local Indigenous groups to co-create storytelling trails, interpretive signage, and cultural centers allows visitors to encounter the falls as a sacred site and not merely a tourist attraction. Such storytelling should be Indigenous-led, ensuring authenticity, agency, and cultural accuracy.</w:t>
      </w:r>
    </w:p>
    <w:p w:rsidR="00AF3707" w:rsidRDefault="00AF3707" w:rsidP="00AF3707">
      <w:pPr>
        <w:pStyle w:val="NormalWeb"/>
      </w:pPr>
      <w:r>
        <w:t>Seasonal festivals and ritual ceremonies can further connect visitors with the cultural life of the region. Events rooted in solstice traditions, harvest cycles, and water blessings would not only draw interest from wellness and culture-seeking tourists but also reestablish traditional rhythms in contemporary tourism offerings. By providing a platform for Haudenosaunee artists, musicians, and knowledge-keepers, these events could also serve as vital tools for cultural revitalization and intergenerational transmission of knowledge (Notzke, 2006).</w:t>
      </w:r>
    </w:p>
    <w:p w:rsidR="00AF3707" w:rsidRDefault="00AF3707" w:rsidP="00AF3707">
      <w:pPr>
        <w:pStyle w:val="NormalWeb"/>
      </w:pPr>
      <w:r>
        <w:t>Interactive installations and digital interpretive tools can enhance this cultural engagement. Augmented reality (AR) storytelling, QR-linked heritage markers, and immersive mobile apps can provide layered experiences in real time. For instance, standing at specific points could unlock oral histories, songs, or language lessons. These tools blend ancient wisdom with modern technology and appeal to both youth and global digital nomads who crave meaningful and innovative travel content (Tussyadiah &amp; Fesenmaier, 2009).</w:t>
      </w:r>
    </w:p>
    <w:p w:rsidR="00AF3707" w:rsidRDefault="00AF3707" w:rsidP="00AF3707"/>
    <w:p w:rsidR="00AF3707" w:rsidRDefault="00AF3707" w:rsidP="00AF3707">
      <w:pPr>
        <w:pStyle w:val="Heading4"/>
      </w:pPr>
      <w:r>
        <w:rPr>
          <w:rStyle w:val="Strong"/>
          <w:b/>
          <w:bCs/>
        </w:rPr>
        <w:lastRenderedPageBreak/>
        <w:t>6.2.3 Binational Collaboration</w:t>
      </w:r>
    </w:p>
    <w:p w:rsidR="00AF3707" w:rsidRDefault="00AF3707" w:rsidP="00AF3707">
      <w:pPr>
        <w:pStyle w:val="NormalWeb"/>
      </w:pPr>
      <w:r>
        <w:t>Binational collaboration between the U.S. and Canadian sides of Niagara Falls holds untapped potential for elevating the destination’s global identity. Currently, the two sides operate largely in isolation, often creating redundant offerings and inconsistent messaging. By establishing joint ticketing systems and cross-border experience bundles, both nations could streamline tourism, reduce logistical friction, and enhance overall visitor satisfaction (Timothy &amp; Tosun, 2003). Shared transit passes, museum admissions, and itinerary suggestions would promote longer stays and balanced economic dispersion across both sides.</w:t>
      </w:r>
    </w:p>
    <w:p w:rsidR="00AF3707" w:rsidRDefault="00AF3707" w:rsidP="00AF3707">
      <w:pPr>
        <w:pStyle w:val="NormalWeb"/>
      </w:pPr>
      <w:r>
        <w:t>Brand unification is another powerful strategy. The collaborative brand “Niagara Reimagined” could serve as a shared identity focused on heritage, healing, and environmental harmony. Such a shift would require cooperation in marketing, signage, storytelling themes, and environmental guidelines. This model has proven effective in destinations like Iguazu Falls (Argentina-Brazil), where cross-border interpretation and conservation are centrally coordinated (Prideaux, 2000). Joint brand management could involve a shared task force with equal Indigenous, governmental, and private sector representation.</w:t>
      </w:r>
    </w:p>
    <w:p w:rsidR="00AF3707" w:rsidRDefault="00AF3707" w:rsidP="00AF3707">
      <w:pPr>
        <w:pStyle w:val="NormalWeb"/>
      </w:pPr>
      <w:r>
        <w:t>Finally, environmental coordination is critical for sustainability. Joint climate adaptation projects—such as integrated waste management, synchronized crowd control, and shared emission targets—would protect the falls for future generations. Collaborative approaches to carbon neutrality, plastic bans, and biodiversity conservation can serve as a global model for sustainable transboundary tourism. This level of cooperation would reframe Niagara as not just a spectacle, but a globally significant experiment in cross-border eco-cultural reinvention (UNEP, 2019).</w:t>
      </w:r>
    </w:p>
    <w:p w:rsidR="00AF3707" w:rsidRDefault="00AF3707" w:rsidP="00AF3707"/>
    <w:p w:rsidR="00AF3707" w:rsidRDefault="00AF3707" w:rsidP="00AF3707">
      <w:pPr>
        <w:pStyle w:val="Heading4"/>
      </w:pPr>
      <w:r>
        <w:rPr>
          <w:rStyle w:val="Strong"/>
          <w:b/>
          <w:bCs/>
        </w:rPr>
        <w:t>6.2.4 Urban Renewal and Green Infrastructure</w:t>
      </w:r>
    </w:p>
    <w:p w:rsidR="00AF3707" w:rsidRDefault="00AF3707" w:rsidP="00AF3707">
      <w:pPr>
        <w:pStyle w:val="NormalWeb"/>
      </w:pPr>
      <w:r>
        <w:t>Urban renewal must begin by rethinking the aesthetics and functionality of Niagara Falls USA’s urban core. The dominance of neon signage, generic commercial zones, and surface parking lots contradicts the natural grandeur of the falls. Replacing these areas with green promenades, art walkways, and interpretive corridors would visually and emotionally reconnect the city with its landscape (Sharpley, 2001). Urban design should evoke calmness, respect for nature, and walkability, reflecting sustainable tourism values.</w:t>
      </w:r>
    </w:p>
    <w:p w:rsidR="00AF3707" w:rsidRDefault="00AF3707" w:rsidP="00AF3707">
      <w:pPr>
        <w:pStyle w:val="NormalWeb"/>
      </w:pPr>
      <w:r>
        <w:t>Developing mixed-use spaces is also crucial. Instead of isolated tourist zones, planners should design spaces where locals and visitors interact naturally—cafes that serve regional produce, markets featuring local artisans, and green courtyards that double as performance venues. These kinds of “third spaces” build social cohesion and offer authentic visitor experiences rooted in community life (Landry, 2008). Local businesses and artists should be given priority in zoning regulations and microfinance incentives.</w:t>
      </w:r>
    </w:p>
    <w:p w:rsidR="00AF3707" w:rsidRDefault="00AF3707" w:rsidP="00AF3707">
      <w:pPr>
        <w:pStyle w:val="NormalWeb"/>
      </w:pPr>
      <w:r>
        <w:t xml:space="preserve">Green infrastructure must also be implemented systematically. This includes rain gardens, green roofs, solar-powered amenities, and low-impact transit options. Water refill stations, composting </w:t>
      </w:r>
      <w:r>
        <w:lastRenderedPageBreak/>
        <w:t>bins, and digital waste management can reduce ecological footprints while serving as educational tools for visitors. Plastic bans, carbon audits, and adaptive building codes could ensure resilience to climate change impacts. Niagara Falls, already a symbol of water’s power, must now become a global model for urban environmental stewardship (UNEP, 2019).</w:t>
      </w:r>
    </w:p>
    <w:p w:rsidR="00AF3707" w:rsidRDefault="00AF3707" w:rsidP="00AF3707"/>
    <w:p w:rsidR="00AF3707" w:rsidRDefault="00AF3707" w:rsidP="00AF3707">
      <w:pPr>
        <w:pStyle w:val="Heading4"/>
      </w:pPr>
      <w:r>
        <w:rPr>
          <w:rStyle w:val="Strong"/>
          <w:b/>
          <w:bCs/>
        </w:rPr>
        <w:t>6.2.5 Experiential Branding</w:t>
      </w:r>
    </w:p>
    <w:p w:rsidR="00AF3707" w:rsidRDefault="00AF3707" w:rsidP="00AF3707">
      <w:pPr>
        <w:pStyle w:val="NormalWeb"/>
      </w:pPr>
      <w:r>
        <w:t>Rebranding Niagara Falls USA as “The Mindful Falls” signals a shift toward emotionally rich, intentional tourism. Rather than focusing on thrill rides and crowded viewpoints, this brand identity centers nature, wellness, and cultural resonance. Experiential branding communicates the values and emotions that visitors can expect—calmness, curiosity, reflection, and renewal (Morgan et al., 2003). This rebranding must be consistent across all channels: visitor guides, apps, signage, transportation, and staff training.</w:t>
      </w:r>
    </w:p>
    <w:p w:rsidR="00AF3707" w:rsidRDefault="00AF3707" w:rsidP="00AF3707">
      <w:pPr>
        <w:pStyle w:val="NormalWeb"/>
      </w:pPr>
      <w:r>
        <w:t>Wellness-focused itineraries offer a new gateway to Niagara. Curating week-long travel programs with themes such as digital detox, forest therapy, water-based meditation, and local culinary journeys can reshape visitor demographics. These programs attract high-value travelers—solo explorers, wellness tourists, and families looking for holistic, screen-free time. Destination wellness branding has transformed regions like Kerala (India) and Costa Rica, where immersive experiences around yoga, ayurveda, and ecotourism attract conscious global travelers (Gössling et al., 2008).</w:t>
      </w:r>
    </w:p>
    <w:p w:rsidR="00AF3707" w:rsidRDefault="00AF3707" w:rsidP="00AF3707">
      <w:pPr>
        <w:pStyle w:val="NormalWeb"/>
      </w:pPr>
      <w:r>
        <w:t>Technology can support this rebranding through experiential design. Augmented reality (AR) installations, virtual waterfall meditations, and dynamic soundscapes can transform quiet zones into storytelling environments. These tools are particularly effective during off-peak seasons, maintaining visitor engagement and supporting local economies year-round. Overall, this rebranding approach uses both analog and digital mediums to enrich memory, support sustainability, and define Niagara Falls USA as a place of emotional, ecological, and cultural transformation.</w:t>
      </w:r>
    </w:p>
    <w:p w:rsidR="00AF3707" w:rsidRDefault="00AF3707" w:rsidP="00AF3707"/>
    <w:p w:rsidR="00AF3707" w:rsidRDefault="00AF3707" w:rsidP="00AF3707">
      <w:pPr>
        <w:pStyle w:val="Heading3"/>
      </w:pPr>
      <w:r>
        <w:rPr>
          <w:rStyle w:val="Strong"/>
          <w:b/>
          <w:bCs/>
        </w:rPr>
        <w:t>7. Conclusion</w:t>
      </w:r>
    </w:p>
    <w:p w:rsidR="00AF3707" w:rsidRDefault="00AF3707" w:rsidP="00AF3707">
      <w:pPr>
        <w:pStyle w:val="NormalWeb"/>
      </w:pPr>
      <w:r>
        <w:t>Niagara Falls USA stands at a critical juncture in its tourism journey. The natural power and beauty of the falls continue to attract millions, but without meaningful engagement and reinvention, the destination risks further stagnation. Short visitor stays, visual monotony, and commodified experiences are hallmarks of this stagnation, which aligns with Butler’s TALC model. As global tourists seek deeper meaning, personalization, and sustainability, Niagara must evolve beyond its current structure to maintain relevance in the 21st century.</w:t>
      </w:r>
    </w:p>
    <w:p w:rsidR="00AF3707" w:rsidRDefault="00AF3707" w:rsidP="00AF3707">
      <w:pPr>
        <w:pStyle w:val="NormalWeb"/>
      </w:pPr>
      <w:r>
        <w:t xml:space="preserve">The reinvention proposed in this report aims to reposition Niagara Falls USA as a model of regenerative, mindful, and culturally grounded tourism. Prioritizing slow travel, immersive nature, and heritage storytelling will ensure that the destination offers emotional resonance, not </w:t>
      </w:r>
      <w:r>
        <w:lastRenderedPageBreak/>
        <w:t>just aesthetic appeal. By investing in infrastructure that supports quiet reflection, educational programming, and nature immersion, the area can begin to attract higher-spending, more loyal, and more respectful travelers.</w:t>
      </w:r>
    </w:p>
    <w:p w:rsidR="00AF3707" w:rsidRDefault="00AF3707" w:rsidP="00AF3707">
      <w:pPr>
        <w:pStyle w:val="NormalWeb"/>
      </w:pPr>
      <w:r>
        <w:t>The inclusion of Indigenous voices is not just a cultural imperative—it is an ethical and ecological one. The Haudenosaunee worldviews offer a lens of reverence and reciprocity that could guide the region toward a more respectful relationship with land and water. Co-developing tourism experiences with these communities ensures that reinvention is not extractive but regenerative and inclusive.</w:t>
      </w:r>
    </w:p>
    <w:p w:rsidR="00AF3707" w:rsidRDefault="00AF3707" w:rsidP="00AF3707">
      <w:pPr>
        <w:pStyle w:val="NormalWeb"/>
      </w:pPr>
      <w:r>
        <w:t>Binational collaboration is vital for coherence, sustainability, and shared prosperity. By aligning policies, branding, and visitor flow strategies across the U.S. and Canadian sides, the falls can present a unified identity that resonates with global sustainability values. Climate adaptation, ecological zoning, and collaborative storytelling will allow the destination to rise as a global symbol of responsible tourism.</w:t>
      </w:r>
    </w:p>
    <w:p w:rsidR="00AF3707" w:rsidRDefault="00AF3707" w:rsidP="00AF3707">
      <w:pPr>
        <w:pStyle w:val="NormalWeb"/>
      </w:pPr>
      <w:r>
        <w:t>Urban renewal around Niagara Falls USA must transcend aesthetics and address functionality, equity, and resilience. Transforming neon-heavy streets into green corridors, replacing parking lots with artisan markets, and ensuring accessibility for all will redefine visitor experience and restore pride among residents. These efforts must include community input and long-term urban sustainability planning.</w:t>
      </w:r>
    </w:p>
    <w:p w:rsidR="00AF3707" w:rsidRDefault="00AF3707" w:rsidP="00AF3707">
      <w:pPr>
        <w:pStyle w:val="NormalWeb"/>
      </w:pPr>
      <w:r>
        <w:t>Branding the site as “The Mindful Falls” shifts the narrative from spectacle to sanctuary. It attracts wellness travelers, digital nomads, and cultural seekers—audiences that value quality over quantity. This repositioning helps Niagara Falls USA tap into global tourism trends while remaining grounded in local assets and values.</w:t>
      </w:r>
    </w:p>
    <w:p w:rsidR="00AF3707" w:rsidRDefault="00AF3707" w:rsidP="00AF3707">
      <w:pPr>
        <w:pStyle w:val="NormalWeb"/>
      </w:pPr>
      <w:r>
        <w:t>Technology should not be viewed as a distraction but as an enabler of deep engagement. AR-enhanced trails, mobile storytelling apps, and immersive meditation spaces can extend the life of a visitor experience beyond the moment and into memory. These elements make Niagara relevant to younger generations without undermining the site’s authenticity.</w:t>
      </w:r>
    </w:p>
    <w:p w:rsidR="00AF3707" w:rsidRDefault="00AF3707" w:rsidP="00AF3707">
      <w:pPr>
        <w:pStyle w:val="NormalWeb"/>
      </w:pPr>
      <w:r>
        <w:t>Reinvention must be community-led. The most resilient destinations are those where tourism benefits locals first—through jobs, cultural preservation, and environmental stewardship. Training, microfinance, co-ownership models, and public-private partnerships will ensure tourism uplifts rather than displaces communities.</w:t>
      </w:r>
    </w:p>
    <w:p w:rsidR="00AF3707" w:rsidRDefault="00AF3707" w:rsidP="00AF3707">
      <w:pPr>
        <w:pStyle w:val="NormalWeb"/>
      </w:pPr>
      <w:r>
        <w:t>Above all, Niagara Falls USA must embrace tourism as a sacred responsibility. The falls are more than a photo opportunity—they are living symbols of earth’s force and fragility. Tourism here must celebrate that, protect that, and teach that. Reinvention rooted in emotional, cultural, and environmental respect can guide this transformation.</w:t>
      </w:r>
    </w:p>
    <w:p w:rsidR="00AF3707" w:rsidRDefault="00AF3707" w:rsidP="00AF3707">
      <w:pPr>
        <w:pStyle w:val="NormalWeb"/>
      </w:pPr>
      <w:r>
        <w:t>In embracing this path, Niagara Falls USA can enter a new life cycle—one that values presence over profit, stories over souvenirs, and healing over hustle. The falls deserve nothing less.</w:t>
      </w:r>
    </w:p>
    <w:p w:rsidR="00AF3707" w:rsidRDefault="00AF3707" w:rsidP="00AF3707">
      <w:pPr>
        <w:pStyle w:val="Heading2"/>
        <w:rPr>
          <w:rStyle w:val="Strong"/>
          <w:b/>
          <w:bCs/>
        </w:rPr>
      </w:pPr>
    </w:p>
    <w:p w:rsidR="00AF3707" w:rsidRDefault="00AF3707" w:rsidP="00AF3707">
      <w:pPr>
        <w:pStyle w:val="Heading2"/>
      </w:pPr>
      <w:r>
        <w:rPr>
          <w:rStyle w:val="Strong"/>
          <w:b/>
          <w:bCs/>
        </w:rPr>
        <w:lastRenderedPageBreak/>
        <w:t>8. References</w:t>
      </w:r>
    </w:p>
    <w:p w:rsidR="00AF3707" w:rsidRDefault="00AF3707" w:rsidP="00AF3707">
      <w:pPr>
        <w:pStyle w:val="NormalWeb"/>
        <w:numPr>
          <w:ilvl w:val="0"/>
          <w:numId w:val="34"/>
        </w:numPr>
      </w:pPr>
      <w:r>
        <w:t xml:space="preserve">Butler, R.W. (1980). The concept of a tourism area life cycle of evolution: Implications for management of resources. </w:t>
      </w:r>
      <w:r>
        <w:rPr>
          <w:rStyle w:val="Emphasis"/>
        </w:rPr>
        <w:t>Canadian Geographer</w:t>
      </w:r>
      <w:r>
        <w:t>, 24(1), 5–12.</w:t>
      </w:r>
    </w:p>
    <w:p w:rsidR="00AF3707" w:rsidRDefault="00AF3707" w:rsidP="00AF3707">
      <w:pPr>
        <w:pStyle w:val="NormalWeb"/>
        <w:numPr>
          <w:ilvl w:val="0"/>
          <w:numId w:val="34"/>
        </w:numPr>
      </w:pPr>
      <w:r>
        <w:t xml:space="preserve">Pine, B.J., &amp; Gilmore, J.H. (1999). </w:t>
      </w:r>
      <w:r>
        <w:rPr>
          <w:rStyle w:val="Emphasis"/>
        </w:rPr>
        <w:t>The Experience Economy</w:t>
      </w:r>
      <w:r>
        <w:t>. Harvard Business Press.</w:t>
      </w:r>
    </w:p>
    <w:p w:rsidR="00AF3707" w:rsidRDefault="00AF3707" w:rsidP="00AF3707">
      <w:pPr>
        <w:pStyle w:val="NormalWeb"/>
        <w:numPr>
          <w:ilvl w:val="0"/>
          <w:numId w:val="34"/>
        </w:numPr>
      </w:pPr>
      <w:r>
        <w:t xml:space="preserve">Sharpley, R. (2001). Tourism in fragile environments: Problem or panacea? </w:t>
      </w:r>
      <w:r>
        <w:rPr>
          <w:rStyle w:val="Emphasis"/>
        </w:rPr>
        <w:t>Tourism Management</w:t>
      </w:r>
      <w:r>
        <w:t>, 22(1), 1–5.</w:t>
      </w:r>
    </w:p>
    <w:p w:rsidR="00AF3707" w:rsidRDefault="00AF3707" w:rsidP="00AF3707">
      <w:pPr>
        <w:pStyle w:val="NormalWeb"/>
        <w:numPr>
          <w:ilvl w:val="0"/>
          <w:numId w:val="34"/>
        </w:numPr>
      </w:pPr>
      <w:r>
        <w:t xml:space="preserve">Timothy, D.J., &amp; Tosun, C. (2003). Appropriate planning for tourism in destination communities: Participation, incremental growth and collaboration. </w:t>
      </w:r>
      <w:r>
        <w:rPr>
          <w:rStyle w:val="Emphasis"/>
        </w:rPr>
        <w:t>Tourism in Destination Communities</w:t>
      </w:r>
      <w:r>
        <w:t>, 181–204.</w:t>
      </w:r>
    </w:p>
    <w:p w:rsidR="00AF3707" w:rsidRDefault="00AF3707" w:rsidP="00AF3707">
      <w:pPr>
        <w:pStyle w:val="NormalWeb"/>
        <w:numPr>
          <w:ilvl w:val="0"/>
          <w:numId w:val="34"/>
        </w:numPr>
      </w:pPr>
      <w:r>
        <w:t xml:space="preserve">Smith, M.K. (2003). </w:t>
      </w:r>
      <w:r>
        <w:rPr>
          <w:rStyle w:val="Emphasis"/>
        </w:rPr>
        <w:t>Issues in Cultural Tourism Studies</w:t>
      </w:r>
      <w:r>
        <w:t>. Routledge.</w:t>
      </w:r>
    </w:p>
    <w:p w:rsidR="00AF3707" w:rsidRDefault="00AF3707" w:rsidP="00AF3707">
      <w:pPr>
        <w:pStyle w:val="NormalWeb"/>
        <w:numPr>
          <w:ilvl w:val="0"/>
          <w:numId w:val="34"/>
        </w:numPr>
      </w:pPr>
      <w:r>
        <w:t xml:space="preserve">Gössling, S., et al. (2008). Ecotourism: A tool for development or conservation? </w:t>
      </w:r>
      <w:r>
        <w:rPr>
          <w:rStyle w:val="Emphasis"/>
        </w:rPr>
        <w:t>Ecological Economics</w:t>
      </w:r>
      <w:r>
        <w:t>, 67(3), 426–434.</w:t>
      </w:r>
    </w:p>
    <w:p w:rsidR="00AF3707" w:rsidRDefault="00AF3707" w:rsidP="00AF3707">
      <w:pPr>
        <w:pStyle w:val="NormalWeb"/>
        <w:numPr>
          <w:ilvl w:val="0"/>
          <w:numId w:val="34"/>
        </w:numPr>
      </w:pPr>
      <w:r>
        <w:t xml:space="preserve">Tussyadiah, I., &amp; Fesenmaier, D.R. (2009). Mediating tourist experiences: Access to places via shared videos. </w:t>
      </w:r>
      <w:r>
        <w:rPr>
          <w:rStyle w:val="Emphasis"/>
        </w:rPr>
        <w:t>Annals of Tourism Research</w:t>
      </w:r>
      <w:r>
        <w:t>, 36(1), 24–40.</w:t>
      </w:r>
    </w:p>
    <w:p w:rsidR="00AF3707" w:rsidRDefault="00AF3707" w:rsidP="00AF3707">
      <w:pPr>
        <w:pStyle w:val="NormalWeb"/>
        <w:numPr>
          <w:ilvl w:val="0"/>
          <w:numId w:val="34"/>
        </w:numPr>
      </w:pPr>
      <w:r>
        <w:t xml:space="preserve">Prideaux, B. (2000). The resort development spectrum—A new approach to modeling resort development. </w:t>
      </w:r>
      <w:r>
        <w:rPr>
          <w:rStyle w:val="Emphasis"/>
        </w:rPr>
        <w:t>Tourism Management</w:t>
      </w:r>
      <w:r>
        <w:t>, 21(3), 225–240.</w:t>
      </w:r>
    </w:p>
    <w:p w:rsidR="00AF3707" w:rsidRDefault="00AF3707" w:rsidP="00AF3707">
      <w:pPr>
        <w:pStyle w:val="NormalWeb"/>
        <w:numPr>
          <w:ilvl w:val="0"/>
          <w:numId w:val="34"/>
        </w:numPr>
      </w:pPr>
      <w:r>
        <w:t xml:space="preserve">Fullagar, S., Markwell, K., &amp; Wilson, E. (2012). </w:t>
      </w:r>
      <w:r>
        <w:rPr>
          <w:rStyle w:val="Emphasis"/>
        </w:rPr>
        <w:t>Slow Tourism: Experiences and Mobilities</w:t>
      </w:r>
      <w:r>
        <w:t>. Channel View Publications.</w:t>
      </w:r>
    </w:p>
    <w:p w:rsidR="00AF3707" w:rsidRDefault="00AF3707" w:rsidP="00AF3707">
      <w:pPr>
        <w:pStyle w:val="NormalWeb"/>
        <w:numPr>
          <w:ilvl w:val="0"/>
          <w:numId w:val="34"/>
        </w:numPr>
      </w:pPr>
      <w:r>
        <w:t xml:space="preserve">Landry, C. (2008). </w:t>
      </w:r>
      <w:r>
        <w:rPr>
          <w:rStyle w:val="Emphasis"/>
        </w:rPr>
        <w:t>The Creative City: A Toolkit for Urban Innovators</w:t>
      </w:r>
      <w:r>
        <w:t>. Earthscan.</w:t>
      </w:r>
    </w:p>
    <w:p w:rsidR="00AF3707" w:rsidRDefault="00AF3707" w:rsidP="00AF3707">
      <w:pPr>
        <w:pStyle w:val="NormalWeb"/>
        <w:numPr>
          <w:ilvl w:val="0"/>
          <w:numId w:val="34"/>
        </w:numPr>
      </w:pPr>
      <w:r>
        <w:t xml:space="preserve">Hughes, E., &amp; Scheyvens, R. (2016). Rethinking tourism partnerships: A perspective from the Pacific Islands. </w:t>
      </w:r>
      <w:r>
        <w:rPr>
          <w:rStyle w:val="Emphasis"/>
        </w:rPr>
        <w:t>Journal of Sustainable Tourism</w:t>
      </w:r>
      <w:r>
        <w:t>, 24(5), 653–668.</w:t>
      </w:r>
    </w:p>
    <w:p w:rsidR="00AF3707" w:rsidRDefault="00AF3707" w:rsidP="00AF3707">
      <w:pPr>
        <w:pStyle w:val="NormalWeb"/>
        <w:numPr>
          <w:ilvl w:val="0"/>
          <w:numId w:val="34"/>
        </w:numPr>
      </w:pPr>
      <w:r>
        <w:t xml:space="preserve">UNEP (2019). </w:t>
      </w:r>
      <w:r>
        <w:rPr>
          <w:rStyle w:val="Emphasis"/>
        </w:rPr>
        <w:t>Sustainable Tourism: A Global Perspective</w:t>
      </w:r>
      <w:r>
        <w:t>. United Nations Environment Programme.</w:t>
      </w:r>
    </w:p>
    <w:p w:rsidR="006E4825" w:rsidRDefault="006E4825" w:rsidP="006E4825">
      <w:pPr>
        <w:pStyle w:val="NormalWeb"/>
        <w:numPr>
          <w:ilvl w:val="0"/>
          <w:numId w:val="31"/>
        </w:numPr>
      </w:pPr>
      <w:r>
        <w:t xml:space="preserve">Butler, R. (1980). The Concept of a Tourism Area Cycle of Evolution: Implications for Resource Management. </w:t>
      </w:r>
      <w:r>
        <w:rPr>
          <w:rStyle w:val="Emphasis"/>
        </w:rPr>
        <w:t>Canadian Geographer</w:t>
      </w:r>
      <w:r>
        <w:t>, 24(1), 5–12.</w:t>
      </w:r>
    </w:p>
    <w:p w:rsidR="006E4825" w:rsidRDefault="006E4825" w:rsidP="006E4825">
      <w:pPr>
        <w:pStyle w:val="NormalWeb"/>
        <w:numPr>
          <w:ilvl w:val="0"/>
          <w:numId w:val="31"/>
        </w:numPr>
      </w:pPr>
      <w:r>
        <w:t xml:space="preserve">Gössling, S., Hall, C. M., &amp; Weaver, D. B. (2008). </w:t>
      </w:r>
      <w:r>
        <w:rPr>
          <w:rStyle w:val="Emphasis"/>
        </w:rPr>
        <w:t>Sustainable Tourism Futures: Perspectives on Systems, Restructuring, and Innovations</w:t>
      </w:r>
      <w:r>
        <w:t>. Routledge.</w:t>
      </w:r>
    </w:p>
    <w:p w:rsidR="006E4825" w:rsidRDefault="006E4825" w:rsidP="006E4825">
      <w:pPr>
        <w:pStyle w:val="NormalWeb"/>
        <w:numPr>
          <w:ilvl w:val="0"/>
          <w:numId w:val="31"/>
        </w:numPr>
      </w:pPr>
      <w:r>
        <w:t xml:space="preserve">Macleod, D. V. L. (2006). Cultural Tourism: Aspects of Authenticity and Commodification. </w:t>
      </w:r>
      <w:r>
        <w:rPr>
          <w:rStyle w:val="Emphasis"/>
        </w:rPr>
        <w:t>Tourism Culture &amp; Communication</w:t>
      </w:r>
      <w:r>
        <w:t>, 6(2), 71–80.</w:t>
      </w:r>
    </w:p>
    <w:p w:rsidR="006E4825" w:rsidRDefault="006E4825" w:rsidP="006E4825">
      <w:pPr>
        <w:pStyle w:val="NormalWeb"/>
        <w:numPr>
          <w:ilvl w:val="0"/>
          <w:numId w:val="31"/>
        </w:numPr>
      </w:pPr>
      <w:r>
        <w:t xml:space="preserve">Pine, B. J., &amp; Gilmore, J. H. (1999). </w:t>
      </w:r>
      <w:r>
        <w:rPr>
          <w:rStyle w:val="Emphasis"/>
        </w:rPr>
        <w:t>The Experience Economy</w:t>
      </w:r>
      <w:r>
        <w:t>. Harvard Business Press.</w:t>
      </w:r>
    </w:p>
    <w:p w:rsidR="006E4825" w:rsidRDefault="006E4825" w:rsidP="006E4825">
      <w:pPr>
        <w:pStyle w:val="NormalWeb"/>
        <w:numPr>
          <w:ilvl w:val="0"/>
          <w:numId w:val="31"/>
        </w:numPr>
      </w:pPr>
      <w:r>
        <w:t xml:space="preserve">Prideaux, B. (2000). The Role of the Transport System in Destination Development. </w:t>
      </w:r>
      <w:r>
        <w:rPr>
          <w:rStyle w:val="Emphasis"/>
        </w:rPr>
        <w:t>Tourism Management</w:t>
      </w:r>
      <w:r>
        <w:t>, 21(1), 53–63.</w:t>
      </w:r>
    </w:p>
    <w:p w:rsidR="006E4825" w:rsidRDefault="006E4825" w:rsidP="006E4825">
      <w:pPr>
        <w:pStyle w:val="NormalWeb"/>
        <w:numPr>
          <w:ilvl w:val="0"/>
          <w:numId w:val="31"/>
        </w:numPr>
      </w:pPr>
      <w:r>
        <w:t xml:space="preserve">Sharpley, R. (2001). Tourism and the Environment: Conflict or Symbiosis? </w:t>
      </w:r>
      <w:r>
        <w:rPr>
          <w:rStyle w:val="Emphasis"/>
        </w:rPr>
        <w:t>Tourism Management</w:t>
      </w:r>
      <w:r>
        <w:t>, 22(6), 747–758.</w:t>
      </w:r>
    </w:p>
    <w:p w:rsidR="006E4825" w:rsidRDefault="006E4825" w:rsidP="006E4825">
      <w:pPr>
        <w:pStyle w:val="NormalWeb"/>
        <w:numPr>
          <w:ilvl w:val="0"/>
          <w:numId w:val="31"/>
        </w:numPr>
      </w:pPr>
      <w:r>
        <w:t xml:space="preserve">Smith, M. K. (2003). </w:t>
      </w:r>
      <w:r>
        <w:rPr>
          <w:rStyle w:val="Emphasis"/>
        </w:rPr>
        <w:t>Issues in Cultural Tourism Studies</w:t>
      </w:r>
      <w:r>
        <w:t>. Routledge.</w:t>
      </w:r>
    </w:p>
    <w:p w:rsidR="006E4825" w:rsidRDefault="006E4825" w:rsidP="006E4825">
      <w:pPr>
        <w:pStyle w:val="NormalWeb"/>
        <w:numPr>
          <w:ilvl w:val="0"/>
          <w:numId w:val="31"/>
        </w:numPr>
      </w:pPr>
      <w:r>
        <w:t xml:space="preserve">Timothy, D. J., &amp; Tosun, C. (2003). Appropriate Planning for Tourism in Destination Communities: Participation, Incremental Growth and Collaboration. </w:t>
      </w:r>
      <w:r>
        <w:rPr>
          <w:rStyle w:val="Emphasis"/>
        </w:rPr>
        <w:t>Tourism Management</w:t>
      </w:r>
      <w:r>
        <w:t>, 24(1), 1–15.</w:t>
      </w:r>
    </w:p>
    <w:p w:rsidR="006E4825" w:rsidRDefault="006E4825" w:rsidP="006E4825">
      <w:pPr>
        <w:pStyle w:val="NormalWeb"/>
        <w:numPr>
          <w:ilvl w:val="0"/>
          <w:numId w:val="31"/>
        </w:numPr>
      </w:pPr>
      <w:r>
        <w:t xml:space="preserve">Tussyadiah, I., &amp; Fesenmaier, D. R. (2009). Mediating Tourist Experiences: Access to Places via Shared Videos. </w:t>
      </w:r>
      <w:r>
        <w:rPr>
          <w:rStyle w:val="Emphasis"/>
        </w:rPr>
        <w:t>Annals of Tourism Research</w:t>
      </w:r>
      <w:r>
        <w:t>, 36(1), 24–40.</w:t>
      </w:r>
    </w:p>
    <w:p w:rsidR="006E4825" w:rsidRDefault="006E4825" w:rsidP="006E4825">
      <w:pPr>
        <w:pStyle w:val="NormalWeb"/>
        <w:numPr>
          <w:ilvl w:val="0"/>
          <w:numId w:val="31"/>
        </w:numPr>
      </w:pPr>
      <w:r>
        <w:t xml:space="preserve">VisitNiagaraUSA.com. (2022). </w:t>
      </w:r>
      <w:r>
        <w:rPr>
          <w:rStyle w:val="Emphasis"/>
        </w:rPr>
        <w:t>Annual Visitor Report</w:t>
      </w:r>
      <w:r>
        <w:t>. Niagara Falls USA Tourism Board.</w:t>
      </w:r>
    </w:p>
    <w:p w:rsidR="006E4825" w:rsidRDefault="006E4825" w:rsidP="00D26592"/>
    <w:sectPr w:rsidR="006E4825"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57D4"/>
    <w:multiLevelType w:val="multilevel"/>
    <w:tmpl w:val="3C8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D87872"/>
    <w:multiLevelType w:val="multilevel"/>
    <w:tmpl w:val="ED34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A7BCE"/>
    <w:multiLevelType w:val="multilevel"/>
    <w:tmpl w:val="B1E6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5107C"/>
    <w:multiLevelType w:val="multilevel"/>
    <w:tmpl w:val="2544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0A6440"/>
    <w:multiLevelType w:val="multilevel"/>
    <w:tmpl w:val="4D5A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A20C45"/>
    <w:multiLevelType w:val="multilevel"/>
    <w:tmpl w:val="B130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0559A7"/>
    <w:multiLevelType w:val="multilevel"/>
    <w:tmpl w:val="62F8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C362B4"/>
    <w:multiLevelType w:val="multilevel"/>
    <w:tmpl w:val="C2DC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E85E5B"/>
    <w:multiLevelType w:val="multilevel"/>
    <w:tmpl w:val="2ACE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19202F"/>
    <w:multiLevelType w:val="multilevel"/>
    <w:tmpl w:val="E80E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273AEF"/>
    <w:multiLevelType w:val="multilevel"/>
    <w:tmpl w:val="4582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986A0B"/>
    <w:multiLevelType w:val="multilevel"/>
    <w:tmpl w:val="D50C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57683C"/>
    <w:multiLevelType w:val="multilevel"/>
    <w:tmpl w:val="04EA0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C814D3"/>
    <w:multiLevelType w:val="multilevel"/>
    <w:tmpl w:val="0906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246B1B"/>
    <w:multiLevelType w:val="multilevel"/>
    <w:tmpl w:val="8D8C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0E544E"/>
    <w:multiLevelType w:val="multilevel"/>
    <w:tmpl w:val="FCD6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
  </w:num>
  <w:num w:numId="3">
    <w:abstractNumId w:val="23"/>
  </w:num>
  <w:num w:numId="4">
    <w:abstractNumId w:val="12"/>
  </w:num>
  <w:num w:numId="5">
    <w:abstractNumId w:val="10"/>
  </w:num>
  <w:num w:numId="6">
    <w:abstractNumId w:val="4"/>
  </w:num>
  <w:num w:numId="7">
    <w:abstractNumId w:val="11"/>
  </w:num>
  <w:num w:numId="8">
    <w:abstractNumId w:val="19"/>
  </w:num>
  <w:num w:numId="9">
    <w:abstractNumId w:val="20"/>
  </w:num>
  <w:num w:numId="10">
    <w:abstractNumId w:val="17"/>
  </w:num>
  <w:num w:numId="11">
    <w:abstractNumId w:val="5"/>
  </w:num>
  <w:num w:numId="12">
    <w:abstractNumId w:val="18"/>
  </w:num>
  <w:num w:numId="13">
    <w:abstractNumId w:val="31"/>
  </w:num>
  <w:num w:numId="14">
    <w:abstractNumId w:val="29"/>
  </w:num>
  <w:num w:numId="15">
    <w:abstractNumId w:val="27"/>
  </w:num>
  <w:num w:numId="16">
    <w:abstractNumId w:val="7"/>
  </w:num>
  <w:num w:numId="17">
    <w:abstractNumId w:val="26"/>
  </w:num>
  <w:num w:numId="18">
    <w:abstractNumId w:val="14"/>
  </w:num>
  <w:num w:numId="19">
    <w:abstractNumId w:val="28"/>
  </w:num>
  <w:num w:numId="20">
    <w:abstractNumId w:val="6"/>
  </w:num>
  <w:num w:numId="21">
    <w:abstractNumId w:val="21"/>
  </w:num>
  <w:num w:numId="22">
    <w:abstractNumId w:val="15"/>
  </w:num>
  <w:num w:numId="23">
    <w:abstractNumId w:val="8"/>
  </w:num>
  <w:num w:numId="24">
    <w:abstractNumId w:val="13"/>
  </w:num>
  <w:num w:numId="25">
    <w:abstractNumId w:val="16"/>
  </w:num>
  <w:num w:numId="26">
    <w:abstractNumId w:val="3"/>
  </w:num>
  <w:num w:numId="27">
    <w:abstractNumId w:val="9"/>
  </w:num>
  <w:num w:numId="28">
    <w:abstractNumId w:val="22"/>
  </w:num>
  <w:num w:numId="29">
    <w:abstractNumId w:val="30"/>
  </w:num>
  <w:num w:numId="30">
    <w:abstractNumId w:val="0"/>
  </w:num>
  <w:num w:numId="31">
    <w:abstractNumId w:val="32"/>
  </w:num>
  <w:num w:numId="32">
    <w:abstractNumId w:val="2"/>
  </w:num>
  <w:num w:numId="33">
    <w:abstractNumId w:val="25"/>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3D62F1"/>
    <w:rsid w:val="004A5B01"/>
    <w:rsid w:val="00672EA7"/>
    <w:rsid w:val="006A4778"/>
    <w:rsid w:val="006A5246"/>
    <w:rsid w:val="006E4825"/>
    <w:rsid w:val="00746D17"/>
    <w:rsid w:val="007C58FC"/>
    <w:rsid w:val="008B22C7"/>
    <w:rsid w:val="009226EB"/>
    <w:rsid w:val="00981E2E"/>
    <w:rsid w:val="009D421F"/>
    <w:rsid w:val="00A454A9"/>
    <w:rsid w:val="00AF3707"/>
    <w:rsid w:val="00B3005E"/>
    <w:rsid w:val="00B74537"/>
    <w:rsid w:val="00BB5DD3"/>
    <w:rsid w:val="00C448D7"/>
    <w:rsid w:val="00D26592"/>
    <w:rsid w:val="00D81982"/>
    <w:rsid w:val="00D915F8"/>
    <w:rsid w:val="00DB667C"/>
    <w:rsid w:val="00EC504E"/>
    <w:rsid w:val="00F86F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6E48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6E482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3675161">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940334747">
      <w:bodyDiv w:val="1"/>
      <w:marLeft w:val="0"/>
      <w:marRight w:val="0"/>
      <w:marTop w:val="0"/>
      <w:marBottom w:val="0"/>
      <w:divBdr>
        <w:top w:val="none" w:sz="0" w:space="0" w:color="auto"/>
        <w:left w:val="none" w:sz="0" w:space="0" w:color="auto"/>
        <w:bottom w:val="none" w:sz="0" w:space="0" w:color="auto"/>
        <w:right w:val="none" w:sz="0" w:space="0" w:color="auto"/>
      </w:divBdr>
    </w:div>
    <w:div w:id="945888767">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405638592">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1331</TotalTime>
  <Pages>12</Pages>
  <Words>4598</Words>
  <Characters>26211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2025-06-15T05:53:00Z</dcterms:created>
  <dcterms:modified xsi:type="dcterms:W3CDTF">2025-06-21T05:16:00Z</dcterms:modified>
</cp:coreProperties>
</file>