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27D6568" w14:textId="77777777" w:rsidR="00A437B5" w:rsidRPr="00A437B5" w:rsidRDefault="00A437B5" w:rsidP="00A437B5">
      <w:pPr>
        <w:pStyle w:val="ListParagraph"/>
        <w:spacing w:line="276" w:lineRule="auto"/>
        <w:rPr>
          <w:b/>
          <w:bCs/>
          <w:lang w:val="en-GB"/>
        </w:rPr>
      </w:pPr>
      <w:r w:rsidRPr="00A437B5">
        <w:rPr>
          <w:b/>
          <w:bCs/>
          <w:lang w:val="en-GB"/>
        </w:rPr>
        <w:lastRenderedPageBreak/>
        <w:t>SWOT Analysis of Stonehenge (United Kingdom)</w:t>
      </w:r>
    </w:p>
    <w:p w14:paraId="1FA7EAE6" w14:textId="77777777" w:rsidR="00A437B5" w:rsidRPr="00A437B5" w:rsidRDefault="00A437B5" w:rsidP="00A437B5">
      <w:pPr>
        <w:pStyle w:val="ListParagraph"/>
        <w:spacing w:line="276" w:lineRule="auto"/>
        <w:rPr>
          <w:b/>
          <w:bCs/>
          <w:lang w:val="en-GB"/>
        </w:rPr>
      </w:pPr>
      <w:r w:rsidRPr="00A437B5">
        <w:rPr>
          <w:b/>
          <w:bCs/>
          <w:lang w:val="en-GB"/>
        </w:rPr>
        <w:t>SWOT Analysis Table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6"/>
        <w:gridCol w:w="2123"/>
        <w:gridCol w:w="2292"/>
        <w:gridCol w:w="2305"/>
      </w:tblGrid>
      <w:tr w:rsidR="00A437B5" w:rsidRPr="00A437B5" w14:paraId="5D23B69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7EB422B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Strengths</w:t>
            </w:r>
          </w:p>
        </w:tc>
        <w:tc>
          <w:tcPr>
            <w:tcW w:w="0" w:type="auto"/>
            <w:vAlign w:val="center"/>
            <w:hideMark/>
          </w:tcPr>
          <w:p w14:paraId="6756101C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Weaknesses</w:t>
            </w:r>
          </w:p>
        </w:tc>
        <w:tc>
          <w:tcPr>
            <w:tcW w:w="0" w:type="auto"/>
            <w:vAlign w:val="center"/>
            <w:hideMark/>
          </w:tcPr>
          <w:p w14:paraId="6BB4ED9E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Opportunities</w:t>
            </w:r>
          </w:p>
        </w:tc>
        <w:tc>
          <w:tcPr>
            <w:tcW w:w="0" w:type="auto"/>
            <w:vAlign w:val="center"/>
            <w:hideMark/>
          </w:tcPr>
          <w:p w14:paraId="170CB25F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Threats</w:t>
            </w:r>
          </w:p>
        </w:tc>
      </w:tr>
      <w:tr w:rsidR="00A437B5" w:rsidRPr="00A437B5" w14:paraId="2BF526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15F2E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UNESCO World Heritage Site with outstanding archaeological and historical significance.</w:t>
            </w:r>
          </w:p>
        </w:tc>
        <w:tc>
          <w:tcPr>
            <w:tcW w:w="0" w:type="auto"/>
            <w:vAlign w:val="center"/>
            <w:hideMark/>
          </w:tcPr>
          <w:p w14:paraId="214D3FC1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Limited visitor access to the stone circle to protect the monument.</w:t>
            </w:r>
          </w:p>
        </w:tc>
        <w:tc>
          <w:tcPr>
            <w:tcW w:w="0" w:type="auto"/>
            <w:vAlign w:val="center"/>
            <w:hideMark/>
          </w:tcPr>
          <w:p w14:paraId="2B939300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Develop immersive digital experiences such as Virtual Reality (VR) and Augmented Reality (AR).</w:t>
            </w:r>
          </w:p>
        </w:tc>
        <w:tc>
          <w:tcPr>
            <w:tcW w:w="0" w:type="auto"/>
            <w:vAlign w:val="center"/>
            <w:hideMark/>
          </w:tcPr>
          <w:p w14:paraId="577B3034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Climate change and extreme weather accelerate weathering of the stones.</w:t>
            </w:r>
          </w:p>
        </w:tc>
      </w:tr>
      <w:tr w:rsidR="00A437B5" w:rsidRPr="00A437B5" w14:paraId="7FCF1E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25CF4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One of the world's most recognizable prehistoric monuments, attracting international tourists.</w:t>
            </w:r>
          </w:p>
        </w:tc>
        <w:tc>
          <w:tcPr>
            <w:tcW w:w="0" w:type="auto"/>
            <w:vAlign w:val="center"/>
            <w:hideMark/>
          </w:tcPr>
          <w:p w14:paraId="7F44EAC8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High maintenance and conservation costs due to its age.</w:t>
            </w:r>
          </w:p>
        </w:tc>
        <w:tc>
          <w:tcPr>
            <w:tcW w:w="0" w:type="auto"/>
            <w:vAlign w:val="center"/>
            <w:hideMark/>
          </w:tcPr>
          <w:p w14:paraId="11EFFB76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Expand partnerships with universities for archaeological research and education.</w:t>
            </w:r>
          </w:p>
        </w:tc>
        <w:tc>
          <w:tcPr>
            <w:tcW w:w="0" w:type="auto"/>
            <w:vAlign w:val="center"/>
            <w:hideMark/>
          </w:tcPr>
          <w:p w14:paraId="3E8E9AA2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Increasing tourist numbers may contribute to erosion of surrounding landscapes.</w:t>
            </w:r>
          </w:p>
        </w:tc>
      </w:tr>
      <w:tr w:rsidR="00A437B5" w:rsidRPr="00A437B5" w14:paraId="61E81D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5ED69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Strong cultural, educational, and tourism value, contributing significantly to the local economy.</w:t>
            </w:r>
          </w:p>
        </w:tc>
        <w:tc>
          <w:tcPr>
            <w:tcW w:w="0" w:type="auto"/>
            <w:vAlign w:val="center"/>
            <w:hideMark/>
          </w:tcPr>
          <w:p w14:paraId="7501AB89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Limited public facilities during peak tourist seasons.</w:t>
            </w:r>
          </w:p>
        </w:tc>
        <w:tc>
          <w:tcPr>
            <w:tcW w:w="0" w:type="auto"/>
            <w:vAlign w:val="center"/>
            <w:hideMark/>
          </w:tcPr>
          <w:p w14:paraId="5C1E912B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Promote sustainable tourism through eco-friendly transport and visitor management.</w:t>
            </w:r>
          </w:p>
        </w:tc>
        <w:tc>
          <w:tcPr>
            <w:tcW w:w="0" w:type="auto"/>
            <w:vAlign w:val="center"/>
            <w:hideMark/>
          </w:tcPr>
          <w:p w14:paraId="1BB3F5C4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Vandalism, illegal access, and environmental pollution threaten site preservation.</w:t>
            </w:r>
          </w:p>
        </w:tc>
      </w:tr>
    </w:tbl>
    <w:p w14:paraId="20B4DB76" w14:textId="77777777" w:rsidR="00A437B5" w:rsidRPr="00A437B5" w:rsidRDefault="00A437B5" w:rsidP="00A437B5">
      <w:pPr>
        <w:pStyle w:val="ListParagraph"/>
        <w:spacing w:line="276" w:lineRule="auto"/>
        <w:rPr>
          <w:lang w:val="en-GB"/>
        </w:rPr>
      </w:pPr>
      <w:r w:rsidRPr="00A437B5">
        <w:rPr>
          <w:lang w:val="en-GB"/>
        </w:rPr>
        <w:pict w14:anchorId="6EAF2AB6">
          <v:rect id="_x0000_i1109" style="width:0;height:1.5pt" o:hralign="center" o:hrstd="t" o:hr="t" fillcolor="#a0a0a0" stroked="f"/>
        </w:pict>
      </w:r>
    </w:p>
    <w:p w14:paraId="5553FE9B" w14:textId="77777777" w:rsidR="00A437B5" w:rsidRPr="00A437B5" w:rsidRDefault="00A437B5" w:rsidP="00A437B5">
      <w:pPr>
        <w:pStyle w:val="ListParagraph"/>
        <w:spacing w:line="276" w:lineRule="auto"/>
        <w:rPr>
          <w:b/>
          <w:bCs/>
          <w:lang w:val="en-GB"/>
        </w:rPr>
      </w:pPr>
      <w:r w:rsidRPr="00A437B5">
        <w:rPr>
          <w:b/>
          <w:bCs/>
          <w:lang w:val="en-GB"/>
        </w:rPr>
        <w:t>Linking the SWOT Analysis to Objectives, Strategies, and Actions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3"/>
        <w:gridCol w:w="2245"/>
        <w:gridCol w:w="2410"/>
        <w:gridCol w:w="2278"/>
      </w:tblGrid>
      <w:tr w:rsidR="00A437B5" w:rsidRPr="00A437B5" w14:paraId="71D345E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25B57C1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SWOT Factor</w:t>
            </w:r>
          </w:p>
        </w:tc>
        <w:tc>
          <w:tcPr>
            <w:tcW w:w="0" w:type="auto"/>
            <w:vAlign w:val="center"/>
            <w:hideMark/>
          </w:tcPr>
          <w:p w14:paraId="5542399D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Objective</w:t>
            </w:r>
          </w:p>
        </w:tc>
        <w:tc>
          <w:tcPr>
            <w:tcW w:w="0" w:type="auto"/>
            <w:vAlign w:val="center"/>
            <w:hideMark/>
          </w:tcPr>
          <w:p w14:paraId="68A92635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Strategy</w:t>
            </w:r>
          </w:p>
        </w:tc>
        <w:tc>
          <w:tcPr>
            <w:tcW w:w="0" w:type="auto"/>
            <w:vAlign w:val="center"/>
            <w:hideMark/>
          </w:tcPr>
          <w:p w14:paraId="3C2BA7DB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Actions</w:t>
            </w:r>
          </w:p>
        </w:tc>
      </w:tr>
      <w:tr w:rsidR="00A437B5" w:rsidRPr="00A437B5" w14:paraId="5F86BA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DF52D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Strength 1:</w:t>
            </w:r>
            <w:r w:rsidRPr="00A437B5">
              <w:rPr>
                <w:lang w:val="en-GB"/>
              </w:rPr>
              <w:t xml:space="preserve"> UNESCO World Heritage status</w:t>
            </w:r>
          </w:p>
        </w:tc>
        <w:tc>
          <w:tcPr>
            <w:tcW w:w="0" w:type="auto"/>
            <w:vAlign w:val="center"/>
            <w:hideMark/>
          </w:tcPr>
          <w:p w14:paraId="6B23B129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Preserve Stonehenge as a globally significant archaeological monument.</w:t>
            </w:r>
          </w:p>
        </w:tc>
        <w:tc>
          <w:tcPr>
            <w:tcW w:w="0" w:type="auto"/>
            <w:vAlign w:val="center"/>
            <w:hideMark/>
          </w:tcPr>
          <w:p w14:paraId="53506EB9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Strengthen conservation through collaboration with heritage organizations.</w:t>
            </w:r>
          </w:p>
        </w:tc>
        <w:tc>
          <w:tcPr>
            <w:tcW w:w="0" w:type="auto"/>
            <w:vAlign w:val="center"/>
            <w:hideMark/>
          </w:tcPr>
          <w:p w14:paraId="4FB4A0B9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 xml:space="preserve">Work with UNESCO and Historic England to secure conservation funding and implement </w:t>
            </w:r>
            <w:r w:rsidRPr="00A437B5">
              <w:rPr>
                <w:lang w:val="en-GB"/>
              </w:rPr>
              <w:lastRenderedPageBreak/>
              <w:t>restoration projects.</w:t>
            </w:r>
          </w:p>
        </w:tc>
      </w:tr>
      <w:tr w:rsidR="00A437B5" w:rsidRPr="00A437B5" w14:paraId="54A75B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0B8BF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lastRenderedPageBreak/>
              <w:t>Strength 2:</w:t>
            </w:r>
            <w:r w:rsidRPr="00A437B5">
              <w:rPr>
                <w:lang w:val="en-GB"/>
              </w:rPr>
              <w:t xml:space="preserve"> International tourism appeal</w:t>
            </w:r>
          </w:p>
        </w:tc>
        <w:tc>
          <w:tcPr>
            <w:tcW w:w="0" w:type="auto"/>
            <w:vAlign w:val="center"/>
            <w:hideMark/>
          </w:tcPr>
          <w:p w14:paraId="06DC48EA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Enhance visitor satisfaction while promoting cultural appreciation.</w:t>
            </w:r>
          </w:p>
        </w:tc>
        <w:tc>
          <w:tcPr>
            <w:tcW w:w="0" w:type="auto"/>
            <w:vAlign w:val="center"/>
            <w:hideMark/>
          </w:tcPr>
          <w:p w14:paraId="4BE5DE19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Improve visitor services and heritage interpretation.</w:t>
            </w:r>
          </w:p>
        </w:tc>
        <w:tc>
          <w:tcPr>
            <w:tcW w:w="0" w:type="auto"/>
            <w:vAlign w:val="center"/>
            <w:hideMark/>
          </w:tcPr>
          <w:p w14:paraId="4C863B8D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Introduce multilingual guides, interactive exhibitions, and educational visitor centres.</w:t>
            </w:r>
          </w:p>
        </w:tc>
      </w:tr>
      <w:tr w:rsidR="00A437B5" w:rsidRPr="00A437B5" w14:paraId="560526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639318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Strength 3:</w:t>
            </w:r>
            <w:r w:rsidRPr="00A437B5">
              <w:rPr>
                <w:lang w:val="en-GB"/>
              </w:rPr>
              <w:t xml:space="preserve"> Cultural and educational importance</w:t>
            </w:r>
          </w:p>
        </w:tc>
        <w:tc>
          <w:tcPr>
            <w:tcW w:w="0" w:type="auto"/>
            <w:vAlign w:val="center"/>
            <w:hideMark/>
          </w:tcPr>
          <w:p w14:paraId="0E0EBD17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Increase awareness of prehistoric history and archaeology.</w:t>
            </w:r>
          </w:p>
        </w:tc>
        <w:tc>
          <w:tcPr>
            <w:tcW w:w="0" w:type="auto"/>
            <w:vAlign w:val="center"/>
            <w:hideMark/>
          </w:tcPr>
          <w:p w14:paraId="6678C5C3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Promote educational tourism and academic research.</w:t>
            </w:r>
          </w:p>
        </w:tc>
        <w:tc>
          <w:tcPr>
            <w:tcW w:w="0" w:type="auto"/>
            <w:vAlign w:val="center"/>
            <w:hideMark/>
          </w:tcPr>
          <w:p w14:paraId="4247C2B3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Organize archaeological workshops, school programs, and public lectures.</w:t>
            </w:r>
          </w:p>
        </w:tc>
      </w:tr>
      <w:tr w:rsidR="00A437B5" w:rsidRPr="00A437B5" w14:paraId="16C704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CC53A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Weakness 1:</w:t>
            </w:r>
            <w:r w:rsidRPr="00A437B5">
              <w:rPr>
                <w:lang w:val="en-GB"/>
              </w:rPr>
              <w:t xml:space="preserve"> Restricted visitor access</w:t>
            </w:r>
          </w:p>
        </w:tc>
        <w:tc>
          <w:tcPr>
            <w:tcW w:w="0" w:type="auto"/>
            <w:vAlign w:val="center"/>
            <w:hideMark/>
          </w:tcPr>
          <w:p w14:paraId="7F4711F1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Balance preservation with visitor experience.</w:t>
            </w:r>
          </w:p>
        </w:tc>
        <w:tc>
          <w:tcPr>
            <w:tcW w:w="0" w:type="auto"/>
            <w:vAlign w:val="center"/>
            <w:hideMark/>
          </w:tcPr>
          <w:p w14:paraId="64883C84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Improve alternative visitor engagement methods.</w:t>
            </w:r>
          </w:p>
        </w:tc>
        <w:tc>
          <w:tcPr>
            <w:tcW w:w="0" w:type="auto"/>
            <w:vAlign w:val="center"/>
            <w:hideMark/>
          </w:tcPr>
          <w:p w14:paraId="5986786E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Offer guided tours, observation platforms, and high-quality virtual experiences.</w:t>
            </w:r>
          </w:p>
        </w:tc>
      </w:tr>
      <w:tr w:rsidR="00A437B5" w:rsidRPr="00A437B5" w14:paraId="13B1FA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35CBB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Weakness 2:</w:t>
            </w:r>
            <w:r w:rsidRPr="00A437B5">
              <w:rPr>
                <w:lang w:val="en-GB"/>
              </w:rPr>
              <w:t xml:space="preserve"> High maintenance costs</w:t>
            </w:r>
          </w:p>
        </w:tc>
        <w:tc>
          <w:tcPr>
            <w:tcW w:w="0" w:type="auto"/>
            <w:vAlign w:val="center"/>
            <w:hideMark/>
          </w:tcPr>
          <w:p w14:paraId="7239755B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Ensure sustainable funding for conservation.</w:t>
            </w:r>
          </w:p>
        </w:tc>
        <w:tc>
          <w:tcPr>
            <w:tcW w:w="0" w:type="auto"/>
            <w:vAlign w:val="center"/>
            <w:hideMark/>
          </w:tcPr>
          <w:p w14:paraId="215814FA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Diversify financial resources.</w:t>
            </w:r>
          </w:p>
        </w:tc>
        <w:tc>
          <w:tcPr>
            <w:tcW w:w="0" w:type="auto"/>
            <w:vAlign w:val="center"/>
            <w:hideMark/>
          </w:tcPr>
          <w:p w14:paraId="4B298A78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Secure government grants, private sponsorships, and allocate tourism revenue to restoration projects.</w:t>
            </w:r>
          </w:p>
        </w:tc>
      </w:tr>
      <w:tr w:rsidR="00A437B5" w:rsidRPr="00A437B5" w14:paraId="5075A7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9C970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Weakness 3:</w:t>
            </w:r>
            <w:r w:rsidRPr="00A437B5">
              <w:rPr>
                <w:lang w:val="en-GB"/>
              </w:rPr>
              <w:t xml:space="preserve"> Limited visitor facilities</w:t>
            </w:r>
          </w:p>
        </w:tc>
        <w:tc>
          <w:tcPr>
            <w:tcW w:w="0" w:type="auto"/>
            <w:vAlign w:val="center"/>
            <w:hideMark/>
          </w:tcPr>
          <w:p w14:paraId="7CE18F52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Improve visitor comfort and accessibility.</w:t>
            </w:r>
          </w:p>
        </w:tc>
        <w:tc>
          <w:tcPr>
            <w:tcW w:w="0" w:type="auto"/>
            <w:vAlign w:val="center"/>
            <w:hideMark/>
          </w:tcPr>
          <w:p w14:paraId="7444417C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Upgrade tourism infrastructure responsibly.</w:t>
            </w:r>
          </w:p>
        </w:tc>
        <w:tc>
          <w:tcPr>
            <w:tcW w:w="0" w:type="auto"/>
            <w:vAlign w:val="center"/>
            <w:hideMark/>
          </w:tcPr>
          <w:p w14:paraId="79912642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 xml:space="preserve">Expand parking, rest areas, accessible pathways, and visitor amenities </w:t>
            </w:r>
            <w:r w:rsidRPr="00A437B5">
              <w:rPr>
                <w:lang w:val="en-GB"/>
              </w:rPr>
              <w:lastRenderedPageBreak/>
              <w:t>without affecting the site's integrity.</w:t>
            </w:r>
          </w:p>
        </w:tc>
      </w:tr>
      <w:tr w:rsidR="00A437B5" w:rsidRPr="00A437B5" w14:paraId="0126D1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EF290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lastRenderedPageBreak/>
              <w:t>Opportunity 1:</w:t>
            </w:r>
            <w:r w:rsidRPr="00A437B5">
              <w:rPr>
                <w:lang w:val="en-GB"/>
              </w:rPr>
              <w:t xml:space="preserve"> Digital heritage technologies</w:t>
            </w:r>
          </w:p>
        </w:tc>
        <w:tc>
          <w:tcPr>
            <w:tcW w:w="0" w:type="auto"/>
            <w:vAlign w:val="center"/>
            <w:hideMark/>
          </w:tcPr>
          <w:p w14:paraId="6E9C602B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Increase global accessibility to Stonehenge.</w:t>
            </w:r>
          </w:p>
        </w:tc>
        <w:tc>
          <w:tcPr>
            <w:tcW w:w="0" w:type="auto"/>
            <w:vAlign w:val="center"/>
            <w:hideMark/>
          </w:tcPr>
          <w:p w14:paraId="00223402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Invest in digital innovation.</w:t>
            </w:r>
          </w:p>
        </w:tc>
        <w:tc>
          <w:tcPr>
            <w:tcW w:w="0" w:type="auto"/>
            <w:vAlign w:val="center"/>
            <w:hideMark/>
          </w:tcPr>
          <w:p w14:paraId="3B31D0DF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Develop VR tours, AR mobile applications, and interactive educational content.</w:t>
            </w:r>
          </w:p>
        </w:tc>
      </w:tr>
      <w:tr w:rsidR="00A437B5" w:rsidRPr="00A437B5" w14:paraId="51EDB9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0744C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Opportunity 2:</w:t>
            </w:r>
            <w:r w:rsidRPr="00A437B5">
              <w:rPr>
                <w:lang w:val="en-GB"/>
              </w:rPr>
              <w:t xml:space="preserve"> Academic partnerships</w:t>
            </w:r>
          </w:p>
        </w:tc>
        <w:tc>
          <w:tcPr>
            <w:tcW w:w="0" w:type="auto"/>
            <w:vAlign w:val="center"/>
            <w:hideMark/>
          </w:tcPr>
          <w:p w14:paraId="2E8A6379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Advance archaeological knowledge and conservation practices.</w:t>
            </w:r>
          </w:p>
        </w:tc>
        <w:tc>
          <w:tcPr>
            <w:tcW w:w="0" w:type="auto"/>
            <w:vAlign w:val="center"/>
            <w:hideMark/>
          </w:tcPr>
          <w:p w14:paraId="0E16F26D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Collaborate with universities and research institutions.</w:t>
            </w:r>
          </w:p>
        </w:tc>
        <w:tc>
          <w:tcPr>
            <w:tcW w:w="0" w:type="auto"/>
            <w:vAlign w:val="center"/>
            <w:hideMark/>
          </w:tcPr>
          <w:p w14:paraId="215EEE6E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Conduct joint excavations, research projects, and heritage conservation training programs.</w:t>
            </w:r>
          </w:p>
        </w:tc>
      </w:tr>
      <w:tr w:rsidR="00A437B5" w:rsidRPr="00A437B5" w14:paraId="3170AB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5C893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Opportunity 3:</w:t>
            </w:r>
            <w:r w:rsidRPr="00A437B5">
              <w:rPr>
                <w:lang w:val="en-GB"/>
              </w:rPr>
              <w:t xml:space="preserve"> Sustainable tourism</w:t>
            </w:r>
          </w:p>
        </w:tc>
        <w:tc>
          <w:tcPr>
            <w:tcW w:w="0" w:type="auto"/>
            <w:vAlign w:val="center"/>
            <w:hideMark/>
          </w:tcPr>
          <w:p w14:paraId="1B1C6667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Protect the site while supporting local economic development.</w:t>
            </w:r>
          </w:p>
        </w:tc>
        <w:tc>
          <w:tcPr>
            <w:tcW w:w="0" w:type="auto"/>
            <w:vAlign w:val="center"/>
            <w:hideMark/>
          </w:tcPr>
          <w:p w14:paraId="2B913D55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Promote environmentally responsible tourism.</w:t>
            </w:r>
          </w:p>
        </w:tc>
        <w:tc>
          <w:tcPr>
            <w:tcW w:w="0" w:type="auto"/>
            <w:vAlign w:val="center"/>
            <w:hideMark/>
          </w:tcPr>
          <w:p w14:paraId="7DEABD64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Encourage eco-friendly transport, visitor quotas, recycling programs, and community participation.</w:t>
            </w:r>
          </w:p>
        </w:tc>
      </w:tr>
      <w:tr w:rsidR="00A437B5" w:rsidRPr="00A437B5" w14:paraId="0D3DB3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119CE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Threat 1:</w:t>
            </w:r>
            <w:r w:rsidRPr="00A437B5">
              <w:rPr>
                <w:lang w:val="en-GB"/>
              </w:rPr>
              <w:t xml:space="preserve"> Climate change</w:t>
            </w:r>
          </w:p>
        </w:tc>
        <w:tc>
          <w:tcPr>
            <w:tcW w:w="0" w:type="auto"/>
            <w:vAlign w:val="center"/>
            <w:hideMark/>
          </w:tcPr>
          <w:p w14:paraId="6FF7E3C7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Minimize environmental damage to the monument.</w:t>
            </w:r>
          </w:p>
        </w:tc>
        <w:tc>
          <w:tcPr>
            <w:tcW w:w="0" w:type="auto"/>
            <w:vAlign w:val="center"/>
            <w:hideMark/>
          </w:tcPr>
          <w:p w14:paraId="13EA315F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Strengthen environmental monitoring.</w:t>
            </w:r>
          </w:p>
        </w:tc>
        <w:tc>
          <w:tcPr>
            <w:tcW w:w="0" w:type="auto"/>
            <w:vAlign w:val="center"/>
            <w:hideMark/>
          </w:tcPr>
          <w:p w14:paraId="1A74C887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Conduct regular structural assessments, monitor weather impacts, and implement preventive conservation measures.</w:t>
            </w:r>
          </w:p>
        </w:tc>
      </w:tr>
      <w:tr w:rsidR="00A437B5" w:rsidRPr="00A437B5" w14:paraId="70B3A4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26BAF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lastRenderedPageBreak/>
              <w:t>Threat 2:</w:t>
            </w:r>
            <w:r w:rsidRPr="00A437B5">
              <w:rPr>
                <w:lang w:val="en-GB"/>
              </w:rPr>
              <w:t xml:space="preserve"> Overtourism</w:t>
            </w:r>
          </w:p>
        </w:tc>
        <w:tc>
          <w:tcPr>
            <w:tcW w:w="0" w:type="auto"/>
            <w:vAlign w:val="center"/>
            <w:hideMark/>
          </w:tcPr>
          <w:p w14:paraId="2A89D3C5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Protect archaeological resources from excessive visitor pressure.</w:t>
            </w:r>
          </w:p>
        </w:tc>
        <w:tc>
          <w:tcPr>
            <w:tcW w:w="0" w:type="auto"/>
            <w:vAlign w:val="center"/>
            <w:hideMark/>
          </w:tcPr>
          <w:p w14:paraId="048DF314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Implement effective visitor management.</w:t>
            </w:r>
          </w:p>
        </w:tc>
        <w:tc>
          <w:tcPr>
            <w:tcW w:w="0" w:type="auto"/>
            <w:vAlign w:val="center"/>
            <w:hideMark/>
          </w:tcPr>
          <w:p w14:paraId="54B2F6D1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Introduce timed-entry tickets, visitor limits, and seasonal tourism campaigns.</w:t>
            </w:r>
          </w:p>
        </w:tc>
      </w:tr>
      <w:tr w:rsidR="00A437B5" w:rsidRPr="00A437B5" w14:paraId="4A5D26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3C752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Threat 3:</w:t>
            </w:r>
            <w:r w:rsidRPr="00A437B5">
              <w:rPr>
                <w:lang w:val="en-GB"/>
              </w:rPr>
              <w:t xml:space="preserve"> Vandalism and pollution</w:t>
            </w:r>
          </w:p>
        </w:tc>
        <w:tc>
          <w:tcPr>
            <w:tcW w:w="0" w:type="auto"/>
            <w:vAlign w:val="center"/>
            <w:hideMark/>
          </w:tcPr>
          <w:p w14:paraId="0FC2548E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Improve monument security and preservation.</w:t>
            </w:r>
          </w:p>
        </w:tc>
        <w:tc>
          <w:tcPr>
            <w:tcW w:w="0" w:type="auto"/>
            <w:vAlign w:val="center"/>
            <w:hideMark/>
          </w:tcPr>
          <w:p w14:paraId="2D32952B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Enhance surveillance and legal protection.</w:t>
            </w:r>
          </w:p>
        </w:tc>
        <w:tc>
          <w:tcPr>
            <w:tcW w:w="0" w:type="auto"/>
            <w:vAlign w:val="center"/>
            <w:hideMark/>
          </w:tcPr>
          <w:p w14:paraId="08915456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Install CCTV systems, increase security patrols, and enforce stricter penalties for vandalism and unauthorized access.</w:t>
            </w:r>
          </w:p>
        </w:tc>
      </w:tr>
    </w:tbl>
    <w:p w14:paraId="728EA2BA" w14:textId="77777777" w:rsidR="00A437B5" w:rsidRPr="00A437B5" w:rsidRDefault="00A437B5" w:rsidP="00A437B5">
      <w:pPr>
        <w:pStyle w:val="ListParagraph"/>
        <w:spacing w:line="276" w:lineRule="auto"/>
        <w:rPr>
          <w:lang w:val="en-GB"/>
        </w:rPr>
      </w:pPr>
      <w:r w:rsidRPr="00A437B5">
        <w:rPr>
          <w:lang w:val="en-GB"/>
        </w:rPr>
        <w:pict w14:anchorId="51068732">
          <v:rect id="_x0000_i1110" style="width:0;height:1.5pt" o:hralign="center" o:hrstd="t" o:hr="t" fillcolor="#a0a0a0" stroked="f"/>
        </w:pict>
      </w:r>
    </w:p>
    <w:p w14:paraId="6505A89D" w14:textId="77777777" w:rsidR="00A437B5" w:rsidRPr="00A437B5" w:rsidRDefault="00A437B5" w:rsidP="00A437B5">
      <w:pPr>
        <w:pStyle w:val="ListParagraph"/>
        <w:spacing w:line="276" w:lineRule="auto"/>
        <w:rPr>
          <w:b/>
          <w:bCs/>
          <w:lang w:val="en-GB"/>
        </w:rPr>
      </w:pPr>
      <w:r w:rsidRPr="00A437B5">
        <w:rPr>
          <w:b/>
          <w:bCs/>
          <w:lang w:val="en-GB"/>
        </w:rPr>
        <w:t>Summary Table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7188"/>
      </w:tblGrid>
      <w:tr w:rsidR="00A437B5" w:rsidRPr="00A437B5" w14:paraId="17E7A1D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522705E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353D9E1E" w14:textId="77777777" w:rsidR="00A437B5" w:rsidRPr="00A437B5" w:rsidRDefault="00A437B5" w:rsidP="00A437B5">
            <w:pPr>
              <w:pStyle w:val="ListParagraph"/>
              <w:spacing w:line="276" w:lineRule="auto"/>
              <w:rPr>
                <w:b/>
                <w:bCs/>
                <w:lang w:val="en-GB"/>
              </w:rPr>
            </w:pPr>
            <w:r w:rsidRPr="00A437B5">
              <w:rPr>
                <w:b/>
                <w:bCs/>
                <w:lang w:val="en-GB"/>
              </w:rPr>
              <w:t>Key Focus</w:t>
            </w:r>
          </w:p>
        </w:tc>
      </w:tr>
      <w:tr w:rsidR="00A437B5" w:rsidRPr="00A437B5" w14:paraId="736DAF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79C41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Objectives</w:t>
            </w:r>
          </w:p>
        </w:tc>
        <w:tc>
          <w:tcPr>
            <w:tcW w:w="0" w:type="auto"/>
            <w:vAlign w:val="center"/>
            <w:hideMark/>
          </w:tcPr>
          <w:p w14:paraId="6C722E78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Preserve Stonehenge's archaeological significance, improve visitor experience, promote education, support sustainable tourism, and strengthen conservation efforts.</w:t>
            </w:r>
          </w:p>
        </w:tc>
      </w:tr>
      <w:tr w:rsidR="00A437B5" w:rsidRPr="00A437B5" w14:paraId="47E530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055B7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Strategies</w:t>
            </w:r>
          </w:p>
        </w:tc>
        <w:tc>
          <w:tcPr>
            <w:tcW w:w="0" w:type="auto"/>
            <w:vAlign w:val="center"/>
            <w:hideMark/>
          </w:tcPr>
          <w:p w14:paraId="264533E9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Heritage conservation, digital innovation, sustainable tourism, visitor management, infrastructure improvement, and research collaboration.</w:t>
            </w:r>
          </w:p>
        </w:tc>
      </w:tr>
      <w:tr w:rsidR="00A437B5" w:rsidRPr="00A437B5" w14:paraId="4E68BC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B73E3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b/>
                <w:bCs/>
                <w:lang w:val="en-GB"/>
              </w:rPr>
              <w:t>Actions</w:t>
            </w:r>
          </w:p>
        </w:tc>
        <w:tc>
          <w:tcPr>
            <w:tcW w:w="0" w:type="auto"/>
            <w:vAlign w:val="center"/>
            <w:hideMark/>
          </w:tcPr>
          <w:p w14:paraId="06E9B245" w14:textId="77777777" w:rsidR="00A437B5" w:rsidRPr="00A437B5" w:rsidRDefault="00A437B5" w:rsidP="00A437B5">
            <w:pPr>
              <w:pStyle w:val="ListParagraph"/>
              <w:spacing w:line="276" w:lineRule="auto"/>
              <w:rPr>
                <w:lang w:val="en-GB"/>
              </w:rPr>
            </w:pPr>
            <w:r w:rsidRPr="00A437B5">
              <w:rPr>
                <w:lang w:val="en-GB"/>
              </w:rPr>
              <w:t>Restoration projects, VR and AR experiences, educational programs, improved visitor facilities, environmental monitoring, visitor quotas, enhanced security, and partnerships with academic institutions.</w:t>
            </w:r>
          </w:p>
        </w:tc>
      </w:tr>
    </w:tbl>
    <w:p w14:paraId="5B2B693F" w14:textId="77777777" w:rsidR="00A437B5" w:rsidRDefault="00A437B5" w:rsidP="004E190D">
      <w:pPr>
        <w:pStyle w:val="ListParagraph"/>
        <w:spacing w:line="276" w:lineRule="auto"/>
        <w:ind w:left="0"/>
        <w:rPr>
          <w:lang w:val="en-US"/>
        </w:rPr>
      </w:pPr>
    </w:p>
    <w:sectPr w:rsidR="00A43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C29CC862-7BEC-4DC6-A3C4-0C93A8CA9CAA}"/>
    <w:embedBold r:id="rId2" w:fontKey="{2DC46CD7-49F6-4121-A2BF-F6BC61C2431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68E6263-D25E-494E-BB6A-1D6C0D6E86B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49FE918E-ED43-4CC2-B6C4-3167389ED32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C7917"/>
    <w:rsid w:val="00844EC2"/>
    <w:rsid w:val="008516FE"/>
    <w:rsid w:val="0089075B"/>
    <w:rsid w:val="00942251"/>
    <w:rsid w:val="009C1D0A"/>
    <w:rsid w:val="00A044F7"/>
    <w:rsid w:val="00A057BE"/>
    <w:rsid w:val="00A437B5"/>
    <w:rsid w:val="00A8150E"/>
    <w:rsid w:val="00B20343"/>
    <w:rsid w:val="00B62C8D"/>
    <w:rsid w:val="00B85EA7"/>
    <w:rsid w:val="00BE5257"/>
    <w:rsid w:val="00BE65DD"/>
    <w:rsid w:val="00C612A4"/>
    <w:rsid w:val="00C80777"/>
    <w:rsid w:val="00CC6AD1"/>
    <w:rsid w:val="00CF34F8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2026-06-25T14:06:00Z</dcterms:created>
  <dcterms:modified xsi:type="dcterms:W3CDTF">2026-06-25T14:06:00Z</dcterms:modified>
</cp:coreProperties>
</file>