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5673D" w14:textId="77777777" w:rsidR="0009024F" w:rsidRDefault="001C6BC2" w:rsidP="007828B2">
      <w:pPr>
        <w:pStyle w:val="Title"/>
        <w:jc w:val="both"/>
      </w:pPr>
      <w:r>
        <w:t>Financial Planning and Strategic Decision-Making in Organizations</w:t>
      </w:r>
    </w:p>
    <w:p w14:paraId="143671B2" w14:textId="77777777" w:rsidR="0009024F" w:rsidRDefault="001C6BC2" w:rsidP="007828B2">
      <w:pPr>
        <w:pStyle w:val="Author"/>
        <w:jc w:val="both"/>
      </w:pPr>
      <w:r>
        <w:t>Student Name</w:t>
      </w:r>
    </w:p>
    <w:p w14:paraId="07B467C0" w14:textId="77777777" w:rsidR="0009024F" w:rsidRDefault="001C6BC2" w:rsidP="007828B2">
      <w:pPr>
        <w:pStyle w:val="Heading1"/>
        <w:jc w:val="both"/>
      </w:pPr>
      <w:bookmarkStart w:id="0" w:name="title-page"/>
      <w:r>
        <w:t>Title Page</w:t>
      </w:r>
    </w:p>
    <w:p w14:paraId="2EFCD910" w14:textId="236748DC" w:rsidR="0009024F" w:rsidRDefault="001C6BC2" w:rsidP="007828B2">
      <w:pPr>
        <w:pStyle w:val="FirstParagraph"/>
      </w:pPr>
      <w:r>
        <w:rPr>
          <w:b/>
          <w:bCs/>
        </w:rPr>
        <w:t>Title:</w:t>
      </w:r>
      <w:r>
        <w:t xml:space="preserve"> Financial Planning and Strategic Decision-Making in Organizations</w:t>
      </w:r>
      <w:r>
        <w:br/>
      </w:r>
      <w:r>
        <w:rPr>
          <w:b/>
          <w:bCs/>
        </w:rPr>
        <w:t>Module:</w:t>
      </w:r>
      <w:r>
        <w:t xml:space="preserve"> M07 - Financial Management</w:t>
      </w:r>
      <w:r>
        <w:br/>
      </w:r>
      <w:r>
        <w:rPr>
          <w:b/>
          <w:bCs/>
        </w:rPr>
        <w:t>Assignment Option:</w:t>
      </w:r>
      <w:r>
        <w:t xml:space="preserve"> Option 1</w:t>
      </w:r>
      <w:r>
        <w:br/>
      </w:r>
      <w:r>
        <w:rPr>
          <w:b/>
          <w:bCs/>
        </w:rPr>
        <w:t>Student Name:</w:t>
      </w:r>
      <w:r>
        <w:t xml:space="preserve"> </w:t>
      </w:r>
      <w:r w:rsidR="007828B2">
        <w:t>Navandeep Navandeep</w:t>
      </w:r>
      <w:r>
        <w:br/>
      </w:r>
      <w:r>
        <w:rPr>
          <w:b/>
          <w:bCs/>
        </w:rPr>
        <w:t>Date:</w:t>
      </w:r>
      <w:r>
        <w:t xml:space="preserve"> </w:t>
      </w:r>
      <w:r w:rsidR="007828B2">
        <w:t>24 May 2026</w:t>
      </w:r>
    </w:p>
    <w:p w14:paraId="35200A03" w14:textId="77777777" w:rsidR="0009024F" w:rsidRDefault="001C6BC2" w:rsidP="007828B2">
      <w:pPr>
        <w:pStyle w:val="Heading1"/>
        <w:jc w:val="both"/>
      </w:pPr>
      <w:bookmarkStart w:id="1" w:name="table-of-contents"/>
      <w:bookmarkEnd w:id="0"/>
      <w:r>
        <w:t>Table of Contents</w:t>
      </w:r>
    </w:p>
    <w:p w14:paraId="292CEEB5" w14:textId="77777777" w:rsidR="0009024F" w:rsidRDefault="001C6BC2" w:rsidP="007828B2">
      <w:pPr>
        <w:pStyle w:val="Compact"/>
        <w:numPr>
          <w:ilvl w:val="0"/>
          <w:numId w:val="2"/>
        </w:numPr>
        <w:jc w:val="both"/>
      </w:pPr>
      <w:hyperlink w:anchor="abstract">
        <w:r>
          <w:rPr>
            <w:rStyle w:val="Hyperlink"/>
          </w:rPr>
          <w:t>Abstract</w:t>
        </w:r>
      </w:hyperlink>
    </w:p>
    <w:p w14:paraId="3BCE5285" w14:textId="77777777" w:rsidR="0009024F" w:rsidRDefault="001C6BC2" w:rsidP="007828B2">
      <w:pPr>
        <w:pStyle w:val="Compact"/>
        <w:numPr>
          <w:ilvl w:val="0"/>
          <w:numId w:val="2"/>
        </w:numPr>
        <w:jc w:val="both"/>
      </w:pPr>
      <w:hyperlink w:anchor="introduction">
        <w:r>
          <w:rPr>
            <w:rStyle w:val="Hyperlink"/>
          </w:rPr>
          <w:t>Introduction</w:t>
        </w:r>
      </w:hyperlink>
    </w:p>
    <w:p w14:paraId="75409E11" w14:textId="77777777" w:rsidR="0009024F" w:rsidRDefault="001C6BC2" w:rsidP="007828B2">
      <w:pPr>
        <w:pStyle w:val="Compact"/>
        <w:numPr>
          <w:ilvl w:val="1"/>
          <w:numId w:val="3"/>
        </w:numPr>
        <w:jc w:val="both"/>
      </w:pPr>
      <w:hyperlink w:anchor="X24191523004332b6fa5a0f1461ec1a4ae5b47c0">
        <w:r>
          <w:rPr>
            <w:rStyle w:val="Hyperlink"/>
          </w:rPr>
          <w:t xml:space="preserve">The Role and Objectives of </w:t>
        </w:r>
        <w:r>
          <w:rPr>
            <w:rStyle w:val="Hyperlink"/>
          </w:rPr>
          <w:t>Financial Management</w:t>
        </w:r>
      </w:hyperlink>
    </w:p>
    <w:p w14:paraId="4AFCE5A4" w14:textId="77777777" w:rsidR="0009024F" w:rsidRDefault="001C6BC2" w:rsidP="007828B2">
      <w:pPr>
        <w:pStyle w:val="Compact"/>
        <w:numPr>
          <w:ilvl w:val="1"/>
          <w:numId w:val="3"/>
        </w:numPr>
        <w:jc w:val="both"/>
      </w:pPr>
      <w:hyperlink w:anchor="Xf685bb5b5386f3fff7765144ee07e23f6b38fab">
        <w:r>
          <w:rPr>
            <w:rStyle w:val="Hyperlink"/>
          </w:rPr>
          <w:t>Financial Planning and Strategic Alignment</w:t>
        </w:r>
      </w:hyperlink>
    </w:p>
    <w:p w14:paraId="63029AF8" w14:textId="77777777" w:rsidR="0009024F" w:rsidRDefault="001C6BC2" w:rsidP="007828B2">
      <w:pPr>
        <w:pStyle w:val="Compact"/>
        <w:numPr>
          <w:ilvl w:val="1"/>
          <w:numId w:val="3"/>
        </w:numPr>
        <w:jc w:val="both"/>
      </w:pPr>
      <w:hyperlink w:anchor="budgeting-and-forecasting-mechanisms">
        <w:r>
          <w:rPr>
            <w:rStyle w:val="Hyperlink"/>
          </w:rPr>
          <w:t>Budgeting and Forecasting Mechanisms</w:t>
        </w:r>
      </w:hyperlink>
    </w:p>
    <w:p w14:paraId="7600067D" w14:textId="77777777" w:rsidR="0009024F" w:rsidRDefault="001C6BC2" w:rsidP="007828B2">
      <w:pPr>
        <w:pStyle w:val="Compact"/>
        <w:numPr>
          <w:ilvl w:val="1"/>
          <w:numId w:val="3"/>
        </w:numPr>
        <w:jc w:val="both"/>
      </w:pPr>
      <w:hyperlink w:anchor="Xd0cfafdef1358273e82a56e2c3642c369bd4ad5">
        <w:r>
          <w:rPr>
            <w:rStyle w:val="Hyperlink"/>
          </w:rPr>
          <w:t>Performance Evaluation in Financial Contexts</w:t>
        </w:r>
      </w:hyperlink>
    </w:p>
    <w:p w14:paraId="7A05E6E9" w14:textId="77777777" w:rsidR="0009024F" w:rsidRDefault="001C6BC2" w:rsidP="007828B2">
      <w:pPr>
        <w:pStyle w:val="Compact"/>
        <w:numPr>
          <w:ilvl w:val="0"/>
          <w:numId w:val="2"/>
        </w:numPr>
        <w:jc w:val="both"/>
      </w:pPr>
      <w:hyperlink w:anchor="X7077387e4559f20619c6a7f404b6e755ceee31b">
        <w:r>
          <w:rPr>
            <w:rStyle w:val="Hyperlink"/>
          </w:rPr>
          <w:t>Literature Review: Financial Planning and Strategic Decision-Making in Organizations</w:t>
        </w:r>
      </w:hyperlink>
    </w:p>
    <w:p w14:paraId="4F788270" w14:textId="77777777" w:rsidR="0009024F" w:rsidRDefault="001C6BC2" w:rsidP="007828B2">
      <w:pPr>
        <w:pStyle w:val="Compact"/>
        <w:numPr>
          <w:ilvl w:val="1"/>
          <w:numId w:val="4"/>
        </w:numPr>
        <w:jc w:val="both"/>
      </w:pPr>
      <w:hyperlink w:anchor="Xe97846a88971e7218b2f4fd716c8b1caa863e57">
        <w:r>
          <w:rPr>
            <w:rStyle w:val="Hyperlink"/>
          </w:rPr>
          <w:t>Introduction: Role and Objectives of Financial Management</w:t>
        </w:r>
      </w:hyperlink>
    </w:p>
    <w:p w14:paraId="5D30DE06" w14:textId="77777777" w:rsidR="0009024F" w:rsidRDefault="001C6BC2" w:rsidP="007828B2">
      <w:pPr>
        <w:pStyle w:val="Compact"/>
        <w:numPr>
          <w:ilvl w:val="1"/>
          <w:numId w:val="4"/>
        </w:numPr>
        <w:jc w:val="both"/>
      </w:pPr>
      <w:hyperlink w:anchor="X9d360da2ed3aae7c70d392193af0bd38aa28219">
        <w:r>
          <w:rPr>
            <w:rStyle w:val="Hyperlink"/>
          </w:rPr>
          <w:t>Financial Planning, Budgeting, and Forecasting</w:t>
        </w:r>
      </w:hyperlink>
    </w:p>
    <w:p w14:paraId="36C27621" w14:textId="77777777" w:rsidR="0009024F" w:rsidRDefault="001C6BC2" w:rsidP="007828B2">
      <w:pPr>
        <w:pStyle w:val="Compact"/>
        <w:numPr>
          <w:ilvl w:val="1"/>
          <w:numId w:val="4"/>
        </w:numPr>
        <w:jc w:val="both"/>
      </w:pPr>
      <w:hyperlink w:anchor="investment-decisions-capital-budgeting">
        <w:r>
          <w:rPr>
            <w:rStyle w:val="Hyperlink"/>
          </w:rPr>
          <w:t>Investment Decisions: Capital Budgeting</w:t>
        </w:r>
      </w:hyperlink>
    </w:p>
    <w:p w14:paraId="5D3AA3AF" w14:textId="77777777" w:rsidR="0009024F" w:rsidRDefault="001C6BC2" w:rsidP="007828B2">
      <w:pPr>
        <w:pStyle w:val="Compact"/>
        <w:numPr>
          <w:ilvl w:val="1"/>
          <w:numId w:val="4"/>
        </w:numPr>
        <w:jc w:val="both"/>
      </w:pPr>
      <w:hyperlink w:anchor="X611df62823958cc4bc3121f52ec0da72bfc1e1a">
        <w:r>
          <w:rPr>
            <w:rStyle w:val="Hyperlink"/>
          </w:rPr>
          <w:t>Financing Decisions and Capital Structure</w:t>
        </w:r>
      </w:hyperlink>
    </w:p>
    <w:p w14:paraId="2DA6464B" w14:textId="77777777" w:rsidR="0009024F" w:rsidRDefault="001C6BC2" w:rsidP="007828B2">
      <w:pPr>
        <w:pStyle w:val="Compact"/>
        <w:numPr>
          <w:ilvl w:val="1"/>
          <w:numId w:val="4"/>
        </w:numPr>
        <w:jc w:val="both"/>
      </w:pPr>
      <w:hyperlink w:anchor="dividend-decisions">
        <w:r>
          <w:rPr>
            <w:rStyle w:val="Hyperlink"/>
          </w:rPr>
          <w:t>Dividend Decisions</w:t>
        </w:r>
      </w:hyperlink>
    </w:p>
    <w:p w14:paraId="5EE37D4A" w14:textId="77777777" w:rsidR="0009024F" w:rsidRDefault="001C6BC2" w:rsidP="007828B2">
      <w:pPr>
        <w:pStyle w:val="Compact"/>
        <w:numPr>
          <w:ilvl w:val="1"/>
          <w:numId w:val="4"/>
        </w:numPr>
        <w:jc w:val="both"/>
      </w:pPr>
      <w:hyperlink w:anchor="performance-evaluation">
        <w:r>
          <w:rPr>
            <w:rStyle w:val="Hyperlink"/>
          </w:rPr>
          <w:t>Per</w:t>
        </w:r>
        <w:r>
          <w:rPr>
            <w:rStyle w:val="Hyperlink"/>
          </w:rPr>
          <w:t>formance Evaluation</w:t>
        </w:r>
      </w:hyperlink>
    </w:p>
    <w:p w14:paraId="584A7C1D" w14:textId="77777777" w:rsidR="0009024F" w:rsidRDefault="001C6BC2" w:rsidP="007828B2">
      <w:pPr>
        <w:pStyle w:val="Compact"/>
        <w:numPr>
          <w:ilvl w:val="0"/>
          <w:numId w:val="2"/>
        </w:numPr>
        <w:jc w:val="both"/>
      </w:pPr>
      <w:hyperlink w:anchor="conclusion">
        <w:r>
          <w:rPr>
            <w:rStyle w:val="Hyperlink"/>
          </w:rPr>
          <w:t>Conclusion</w:t>
        </w:r>
      </w:hyperlink>
    </w:p>
    <w:p w14:paraId="3C884485" w14:textId="77777777" w:rsidR="0009024F" w:rsidRDefault="001C6BC2" w:rsidP="007828B2">
      <w:pPr>
        <w:pStyle w:val="Compact"/>
        <w:numPr>
          <w:ilvl w:val="0"/>
          <w:numId w:val="2"/>
        </w:numPr>
        <w:jc w:val="both"/>
      </w:pPr>
      <w:hyperlink w:anchor="references">
        <w:r>
          <w:rPr>
            <w:rStyle w:val="Hyperlink"/>
          </w:rPr>
          <w:t>References</w:t>
        </w:r>
      </w:hyperlink>
    </w:p>
    <w:p w14:paraId="52B96FF1" w14:textId="77777777" w:rsidR="0009024F" w:rsidRDefault="001C6BC2" w:rsidP="007828B2">
      <w:pPr>
        <w:pStyle w:val="Compact"/>
        <w:numPr>
          <w:ilvl w:val="0"/>
          <w:numId w:val="2"/>
        </w:numPr>
        <w:jc w:val="both"/>
      </w:pPr>
      <w:hyperlink w:anchor="methodology">
        <w:r>
          <w:rPr>
            <w:rStyle w:val="Hyperlink"/>
          </w:rPr>
          <w:t>Methodology</w:t>
        </w:r>
      </w:hyperlink>
    </w:p>
    <w:p w14:paraId="2F085149" w14:textId="77777777" w:rsidR="0009024F" w:rsidRDefault="001C6BC2" w:rsidP="007828B2">
      <w:pPr>
        <w:pStyle w:val="Compact"/>
        <w:numPr>
          <w:ilvl w:val="0"/>
          <w:numId w:val="2"/>
        </w:numPr>
        <w:jc w:val="both"/>
      </w:pPr>
      <w:hyperlink w:anchor="findings">
        <w:r>
          <w:rPr>
            <w:rStyle w:val="Hyperlink"/>
          </w:rPr>
          <w:t>Findings</w:t>
        </w:r>
      </w:hyperlink>
    </w:p>
    <w:p w14:paraId="6D232419" w14:textId="77777777" w:rsidR="0009024F" w:rsidRDefault="001C6BC2" w:rsidP="007828B2">
      <w:pPr>
        <w:pStyle w:val="Compact"/>
        <w:numPr>
          <w:ilvl w:val="1"/>
          <w:numId w:val="5"/>
        </w:numPr>
        <w:jc w:val="both"/>
      </w:pPr>
      <w:hyperlink w:anchor="introduction-to-findings">
        <w:r>
          <w:rPr>
            <w:rStyle w:val="Hyperlink"/>
          </w:rPr>
          <w:t>Introduction to Findings</w:t>
        </w:r>
      </w:hyperlink>
    </w:p>
    <w:p w14:paraId="782CD754" w14:textId="77777777" w:rsidR="0009024F" w:rsidRDefault="001C6BC2" w:rsidP="007828B2">
      <w:pPr>
        <w:pStyle w:val="Compact"/>
        <w:numPr>
          <w:ilvl w:val="1"/>
          <w:numId w:val="5"/>
        </w:numPr>
        <w:jc w:val="both"/>
      </w:pPr>
      <w:hyperlink w:anchor="Xa56b9516bda13920cee7cbc6ed4fa321651f140">
        <w:r>
          <w:rPr>
            <w:rStyle w:val="Hyperlink"/>
          </w:rPr>
          <w:t>Growth and Cash Management: Investment Decisions at Apple Inc.</w:t>
        </w:r>
      </w:hyperlink>
    </w:p>
    <w:p w14:paraId="6B4DA248" w14:textId="77777777" w:rsidR="0009024F" w:rsidRDefault="001C6BC2" w:rsidP="007828B2">
      <w:pPr>
        <w:pStyle w:val="Compact"/>
        <w:numPr>
          <w:ilvl w:val="1"/>
          <w:numId w:val="5"/>
        </w:numPr>
        <w:jc w:val="both"/>
      </w:pPr>
      <w:hyperlink w:anchor="X7cf8765b0e1bfe681a33659a5b2673fb10d3132">
        <w:r>
          <w:rPr>
            <w:rStyle w:val="Hyperlink"/>
          </w:rPr>
          <w:t>Capital Structure and Market Expansion: Financing Decisions at Netflix Inc.</w:t>
        </w:r>
      </w:hyperlink>
    </w:p>
    <w:p w14:paraId="1C578C3C" w14:textId="77777777" w:rsidR="0009024F" w:rsidRDefault="001C6BC2" w:rsidP="007828B2">
      <w:pPr>
        <w:pStyle w:val="Compact"/>
        <w:numPr>
          <w:ilvl w:val="1"/>
          <w:numId w:val="5"/>
        </w:numPr>
        <w:jc w:val="both"/>
      </w:pPr>
      <w:hyperlink w:anchor="X1cac5db1285f5ad01850fcebe8dc31e99cc7bf7">
        <w:r>
          <w:rPr>
            <w:rStyle w:val="Hyperlink"/>
          </w:rPr>
          <w:t>Crisis Management and Liquidity: Restructuring at Ford Motor Company</w:t>
        </w:r>
      </w:hyperlink>
    </w:p>
    <w:p w14:paraId="65AB98CF" w14:textId="77777777" w:rsidR="0009024F" w:rsidRDefault="001C6BC2" w:rsidP="007828B2">
      <w:pPr>
        <w:pStyle w:val="Compact"/>
        <w:numPr>
          <w:ilvl w:val="1"/>
          <w:numId w:val="5"/>
        </w:numPr>
        <w:jc w:val="both"/>
      </w:pPr>
      <w:hyperlink w:anchor="Xafb5b338ebce8cbd548553eff2e38166d477831">
        <w:r>
          <w:rPr>
            <w:rStyle w:val="Hyperlink"/>
          </w:rPr>
          <w:t>Maximizing Shareholder Wealth: Dividend Decisions at Apple Inc.</w:t>
        </w:r>
      </w:hyperlink>
    </w:p>
    <w:p w14:paraId="03123430" w14:textId="77777777" w:rsidR="0009024F" w:rsidRDefault="001C6BC2" w:rsidP="007828B2">
      <w:pPr>
        <w:pStyle w:val="Compact"/>
        <w:numPr>
          <w:ilvl w:val="1"/>
          <w:numId w:val="5"/>
        </w:numPr>
        <w:jc w:val="both"/>
      </w:pPr>
      <w:hyperlink w:anchor="synthesis-of-findings">
        <w:r>
          <w:rPr>
            <w:rStyle w:val="Hyperlink"/>
          </w:rPr>
          <w:t>Synthesis of Findings</w:t>
        </w:r>
      </w:hyperlink>
    </w:p>
    <w:p w14:paraId="6C68D9FF" w14:textId="77777777" w:rsidR="0009024F" w:rsidRDefault="001C6BC2" w:rsidP="007828B2">
      <w:pPr>
        <w:pStyle w:val="Compact"/>
        <w:numPr>
          <w:ilvl w:val="0"/>
          <w:numId w:val="2"/>
        </w:numPr>
        <w:jc w:val="both"/>
      </w:pPr>
      <w:hyperlink w:anchor="discussion">
        <w:r>
          <w:rPr>
            <w:rStyle w:val="Hyperlink"/>
          </w:rPr>
          <w:t>Discussion</w:t>
        </w:r>
      </w:hyperlink>
    </w:p>
    <w:p w14:paraId="0D7FED33" w14:textId="77777777" w:rsidR="0009024F" w:rsidRDefault="001C6BC2" w:rsidP="007828B2">
      <w:pPr>
        <w:pStyle w:val="Compact"/>
        <w:numPr>
          <w:ilvl w:val="1"/>
          <w:numId w:val="6"/>
        </w:numPr>
        <w:jc w:val="both"/>
      </w:pPr>
      <w:hyperlink w:anchor="X32e72a18700d7f548c85b3ba59df0960a847896">
        <w:r>
          <w:rPr>
            <w:rStyle w:val="Hyperlink"/>
          </w:rPr>
          <w:t>Navigating the Conflict Between Growth and Risk</w:t>
        </w:r>
      </w:hyperlink>
    </w:p>
    <w:p w14:paraId="7FBB74BF" w14:textId="77777777" w:rsidR="0009024F" w:rsidRDefault="001C6BC2" w:rsidP="007828B2">
      <w:pPr>
        <w:pStyle w:val="Compact"/>
        <w:numPr>
          <w:ilvl w:val="1"/>
          <w:numId w:val="6"/>
        </w:numPr>
        <w:jc w:val="both"/>
      </w:pPr>
      <w:hyperlink w:anchor="Xfd43eaa8687697246b1489b4235d600fc796a36">
        <w:r>
          <w:rPr>
            <w:rStyle w:val="Hyperlink"/>
          </w:rPr>
          <w:t>The Reality of Capital Structure Constraints</w:t>
        </w:r>
      </w:hyperlink>
    </w:p>
    <w:p w14:paraId="557ABE91" w14:textId="77777777" w:rsidR="0009024F" w:rsidRDefault="001C6BC2" w:rsidP="007828B2">
      <w:pPr>
        <w:pStyle w:val="Compact"/>
        <w:numPr>
          <w:ilvl w:val="1"/>
          <w:numId w:val="6"/>
        </w:numPr>
        <w:jc w:val="both"/>
      </w:pPr>
      <w:hyperlink w:anchor="Xa8254bbfb727fb06e1535870d43edea6ca81547">
        <w:r>
          <w:rPr>
            <w:rStyle w:val="Hyperlink"/>
          </w:rPr>
          <w:t>Aligning Performance Metrics with Shareholder Wealth</w:t>
        </w:r>
      </w:hyperlink>
    </w:p>
    <w:p w14:paraId="60EDB231" w14:textId="77777777" w:rsidR="0009024F" w:rsidRDefault="001C6BC2" w:rsidP="007828B2">
      <w:pPr>
        <w:pStyle w:val="Compact"/>
        <w:numPr>
          <w:ilvl w:val="0"/>
          <w:numId w:val="2"/>
        </w:numPr>
        <w:jc w:val="both"/>
      </w:pPr>
      <w:hyperlink w:anchor="conclusion">
        <w:r>
          <w:rPr>
            <w:rStyle w:val="Hyperlink"/>
          </w:rPr>
          <w:t>Conclusion</w:t>
        </w:r>
      </w:hyperlink>
    </w:p>
    <w:p w14:paraId="19D9E2C3" w14:textId="77777777" w:rsidR="0009024F" w:rsidRDefault="001C6BC2" w:rsidP="007828B2">
      <w:pPr>
        <w:pStyle w:val="Compact"/>
        <w:numPr>
          <w:ilvl w:val="0"/>
          <w:numId w:val="2"/>
        </w:numPr>
        <w:jc w:val="both"/>
      </w:pPr>
      <w:hyperlink w:anchor="appendices">
        <w:r>
          <w:rPr>
            <w:rStyle w:val="Hyperlink"/>
          </w:rPr>
          <w:t>Appendices</w:t>
        </w:r>
      </w:hyperlink>
    </w:p>
    <w:p w14:paraId="56DD07F7" w14:textId="77777777" w:rsidR="0009024F" w:rsidRDefault="001C6BC2" w:rsidP="007828B2">
      <w:pPr>
        <w:pStyle w:val="Compact"/>
        <w:numPr>
          <w:ilvl w:val="1"/>
          <w:numId w:val="7"/>
        </w:numPr>
        <w:jc w:val="both"/>
      </w:pPr>
      <w:hyperlink w:anchor="Xc0af5bd5e9bdd13d7c825cd3a08a4120ea2db0d">
        <w:r>
          <w:rPr>
            <w:rStyle w:val="Hyperlink"/>
          </w:rPr>
          <w:t>Appendix A: Strategic Financial Planning Framew</w:t>
        </w:r>
        <w:r>
          <w:rPr>
            <w:rStyle w:val="Hyperlink"/>
          </w:rPr>
          <w:t>ork</w:t>
        </w:r>
      </w:hyperlink>
    </w:p>
    <w:p w14:paraId="78876040" w14:textId="77777777" w:rsidR="0009024F" w:rsidRDefault="001C6BC2" w:rsidP="007828B2">
      <w:pPr>
        <w:pStyle w:val="Compact"/>
        <w:numPr>
          <w:ilvl w:val="1"/>
          <w:numId w:val="7"/>
        </w:numPr>
        <w:jc w:val="both"/>
      </w:pPr>
      <w:hyperlink w:anchor="X845b54d17dc6218b8a798ccffe8e9075876c359">
        <w:r>
          <w:rPr>
            <w:rStyle w:val="Hyperlink"/>
          </w:rPr>
          <w:t>Appendix B: Budget Variance Analysis Table (Sample)</w:t>
        </w:r>
      </w:hyperlink>
    </w:p>
    <w:p w14:paraId="7C846910" w14:textId="77777777" w:rsidR="0009024F" w:rsidRDefault="001C6BC2" w:rsidP="007828B2">
      <w:pPr>
        <w:pStyle w:val="Heading1"/>
        <w:jc w:val="both"/>
      </w:pPr>
      <w:bookmarkStart w:id="2" w:name="abstract"/>
      <w:bookmarkEnd w:id="1"/>
      <w:r>
        <w:lastRenderedPageBreak/>
        <w:t>Abstract</w:t>
      </w:r>
    </w:p>
    <w:p w14:paraId="7EBF87B7" w14:textId="77777777" w:rsidR="0009024F" w:rsidRDefault="001C6BC2" w:rsidP="007828B2">
      <w:pPr>
        <w:pStyle w:val="FirstParagraph"/>
        <w:jc w:val="both"/>
      </w:pPr>
      <w:r>
        <w:t>In the contemporary business environment, effective financial management is the linchpin for organizational success and sustaina</w:t>
      </w:r>
      <w:r>
        <w:t>bility. This paper explores the intricate relationship between financial planning and strategic decision-making within organizations. By examining the fundamental role and core objectives of financial management, this assignment delineates how organization</w:t>
      </w:r>
      <w:r>
        <w:t>s leverage financial tools to navigate economic uncertainties, optimize resource allocation, and drive long-term value creation. The analysis encompasses key components of the financial framework, including comprehensive financial planning, rigorous budget</w:t>
      </w:r>
      <w:r>
        <w:t xml:space="preserve">ing, dynamic forecasting, and systematic performance evaluation. Financial planning establishes the strategic blueprint, ensuring that organizational goals are supported by adequate fiscal resources. Budgeting and forecasting translate this blueprint into </w:t>
      </w:r>
      <w:r>
        <w:t>actionable, time-bound targets, enabling proactive responses to market fluctuations. Furthermore, robust performance evaluation metrics provide critical feedback loops, allowing management to assess efficiency, adjust strategies, and ensure continuous impr</w:t>
      </w:r>
      <w:r>
        <w:t>ovement. Ultimately, this assignment underscores that integrating financial management with strategic objectives is not merely an administrative function but a critical driver of competitive advantage and resilient organizational growth.</w:t>
      </w:r>
    </w:p>
    <w:p w14:paraId="14C66FE5" w14:textId="77777777" w:rsidR="0009024F" w:rsidRDefault="001C6BC2" w:rsidP="007828B2">
      <w:pPr>
        <w:pStyle w:val="Heading1"/>
        <w:jc w:val="both"/>
      </w:pPr>
      <w:bookmarkStart w:id="3" w:name="introduction"/>
      <w:bookmarkEnd w:id="2"/>
      <w:r>
        <w:t>Introduction</w:t>
      </w:r>
    </w:p>
    <w:p w14:paraId="1BBF53C6" w14:textId="77777777" w:rsidR="0009024F" w:rsidRDefault="001C6BC2" w:rsidP="007828B2">
      <w:pPr>
        <w:pStyle w:val="FirstParagraph"/>
        <w:jc w:val="both"/>
      </w:pPr>
      <w:r>
        <w:t>Finan</w:t>
      </w:r>
      <w:r>
        <w:t>cial management is a critical pillar of organizational architecture, encompassing the strategic planning, organizing, directing, and controlling of financial undertakings. In an era characterized by rapid market transformations and economic volatility, the</w:t>
      </w:r>
      <w:r>
        <w:t xml:space="preserve"> ability of an organization to seamlessly integrate financial planning with strategic decision-making dictates its </w:t>
      </w:r>
      <w:r>
        <w:lastRenderedPageBreak/>
        <w:t>long-term viability and competitive standing. This assignment delves into the multifaceted domain of financial management, specifically focus</w:t>
      </w:r>
      <w:r>
        <w:t>ing on how financial planning, budgeting, forecasting, and performance evaluation collectively contribute to organizational success. By establishing a robust financial framework, businesses can optimize their capital structure, maximize shareholder wealth,</w:t>
      </w:r>
      <w:r>
        <w:t xml:space="preserve"> and navigate complex economic landscapes with agility.</w:t>
      </w:r>
    </w:p>
    <w:p w14:paraId="15FD9385" w14:textId="77777777" w:rsidR="0009024F" w:rsidRDefault="001C6BC2" w:rsidP="007828B2">
      <w:pPr>
        <w:pStyle w:val="Heading2"/>
        <w:jc w:val="both"/>
      </w:pPr>
      <w:bookmarkStart w:id="4" w:name="X24191523004332b6fa5a0f1461ec1a4ae5b47c0"/>
      <w:r>
        <w:t>The Role and Objectives of Financial Management</w:t>
      </w:r>
    </w:p>
    <w:p w14:paraId="3C111ED2" w14:textId="77777777" w:rsidR="0009024F" w:rsidRDefault="001C6BC2" w:rsidP="007828B2">
      <w:pPr>
        <w:pStyle w:val="FirstParagraph"/>
        <w:jc w:val="both"/>
      </w:pPr>
      <w:r>
        <w:t>The primary role of financial management extends beyond mere bookkeeping; it is a strategic function aimed at maximizing the organization’s value. The c</w:t>
      </w:r>
      <w:r>
        <w:t>ore objectives of financial management typically revolve around profit maximization and wealth maximization. While profit maximization focuses on short-term revenue generation and cost control, wealth maximization adopts a long-term perspective, emphasizin</w:t>
      </w:r>
      <w:r>
        <w:t xml:space="preserve">g sustainable growth, risk mitigation, and the enhancement of the overall value of the firm. Effective financial management ensures that an organization maintains adequate liquidity to meet short-term obligations while strategically investing in long-term </w:t>
      </w:r>
      <w:r>
        <w:t>assets that generate future returns. Furthermore, it involves critical decisions regarding capital budgeting, capital structure, and dividend policy, all of which must align with the broader strategic vision of the organization to foster sustained success.</w:t>
      </w:r>
    </w:p>
    <w:p w14:paraId="77D83F65" w14:textId="77777777" w:rsidR="0009024F" w:rsidRDefault="001C6BC2" w:rsidP="007828B2">
      <w:pPr>
        <w:pStyle w:val="Heading2"/>
        <w:jc w:val="both"/>
      </w:pPr>
      <w:bookmarkStart w:id="5" w:name="Xf685bb5b5386f3fff7765144ee07e23f6b38fab"/>
      <w:bookmarkEnd w:id="4"/>
      <w:r>
        <w:t>Financial Planning and Strategic Alignment</w:t>
      </w:r>
    </w:p>
    <w:p w14:paraId="3E04EF1E" w14:textId="77777777" w:rsidR="0009024F" w:rsidRDefault="001C6BC2" w:rsidP="007828B2">
      <w:pPr>
        <w:pStyle w:val="FirstParagraph"/>
        <w:jc w:val="both"/>
      </w:pPr>
      <w:r>
        <w:t>Financial planning is the systematic process of determining how an organization will achieve its strategic goals through the judicious management of its financial resources. It is the bridge between strategic int</w:t>
      </w:r>
      <w:r>
        <w:t xml:space="preserve">ent and operational execution. A comprehensive financial plan outlines the organization’s current financial state, projects future financial performance, and identifies the </w:t>
      </w:r>
      <w:r>
        <w:lastRenderedPageBreak/>
        <w:t>necessary capital requirements to fund strategic initiatives. By aligning financial</w:t>
      </w:r>
      <w:r>
        <w:t xml:space="preserve"> plans with corporate strategy, management can prioritize investments, allocate resources efficiently, and anticipate potential financial bottlenecks. This alignment ensures that every department and operational unit is working cohesively towards common ob</w:t>
      </w:r>
      <w:r>
        <w:t>jectives, thereby minimizing waste and maximizing the impact of financial investments.</w:t>
      </w:r>
    </w:p>
    <w:p w14:paraId="5E561B40" w14:textId="77777777" w:rsidR="0009024F" w:rsidRDefault="001C6BC2" w:rsidP="007828B2">
      <w:pPr>
        <w:pStyle w:val="Heading2"/>
        <w:jc w:val="both"/>
      </w:pPr>
      <w:bookmarkStart w:id="6" w:name="budgeting-and-forecasting-mechanisms"/>
      <w:bookmarkEnd w:id="5"/>
      <w:r>
        <w:t>Budgeting and Forecasting Mechanisms</w:t>
      </w:r>
    </w:p>
    <w:p w14:paraId="28605FC9" w14:textId="77777777" w:rsidR="0009024F" w:rsidRDefault="001C6BC2" w:rsidP="007828B2">
      <w:pPr>
        <w:pStyle w:val="FirstParagraph"/>
        <w:jc w:val="both"/>
      </w:pPr>
      <w:r>
        <w:t>Budgeting and forecasting are the tactical instruments through which financial plans are operationalized. A budget is a detailed financial roadmap, quantifying the expected revenues and expenditures over a specific period. It provides a baseline against wh</w:t>
      </w:r>
      <w:r>
        <w:t>ich actual performance can be measured, thereby helping control and accountability. Budgets compel management to anticipate future conditions, evaluate alternative courses of action, and commit to a definitive operational plan.</w:t>
      </w:r>
    </w:p>
    <w:p w14:paraId="14476D53" w14:textId="77777777" w:rsidR="0009024F" w:rsidRDefault="001C6BC2" w:rsidP="007828B2">
      <w:pPr>
        <w:pStyle w:val="BodyText"/>
        <w:jc w:val="both"/>
      </w:pPr>
      <w:r>
        <w:t xml:space="preserve">Forecasting, conversely, is </w:t>
      </w:r>
      <w:r>
        <w:t>a dynamic process that predicts future financial outcomes based on historical data, market trends, and economic indicators. While budgets are typically static, forecasts are continuously updated to reflect changing market realities. Together, budgeting and</w:t>
      </w:r>
      <w:r>
        <w:t xml:space="preserve"> forecasting enable organizations to transition from reactive to proactive financial management. They empower decision-makers to identify potential cash shortfalls, adjust spending patterns, and capitalize on emerging market opportunities before they are f</w:t>
      </w:r>
      <w:r>
        <w:t>ully realized by competitors.</w:t>
      </w:r>
    </w:p>
    <w:p w14:paraId="1339D1B0" w14:textId="77777777" w:rsidR="0009024F" w:rsidRDefault="001C6BC2" w:rsidP="007828B2">
      <w:pPr>
        <w:pStyle w:val="Heading2"/>
        <w:jc w:val="both"/>
      </w:pPr>
      <w:bookmarkStart w:id="7" w:name="Xd0cfafdef1358273e82a56e2c3642c369bd4ad5"/>
      <w:bookmarkEnd w:id="6"/>
      <w:r>
        <w:t>Performance Evaluation in Financial Contexts</w:t>
      </w:r>
    </w:p>
    <w:p w14:paraId="2C2DF9D2" w14:textId="77777777" w:rsidR="0009024F" w:rsidRDefault="001C6BC2" w:rsidP="007828B2">
      <w:pPr>
        <w:pStyle w:val="FirstParagraph"/>
        <w:jc w:val="both"/>
      </w:pPr>
      <w:r>
        <w:t>Performance evaluation is the final, critical component of the financial management cycle. It involves the systematic assessment of an organization’s financial results against its e</w:t>
      </w:r>
      <w:r>
        <w:t xml:space="preserve">stablished </w:t>
      </w:r>
      <w:r>
        <w:lastRenderedPageBreak/>
        <w:t>budgets, forecasts, and strategic objectives. Through the use of key performance indicators (KPIs), variance analysis, and financial ratios, management can diagnose the health of the organization and identify areas of operational inefficiency. P</w:t>
      </w:r>
      <w:r>
        <w:t>erformance evaluation provides a important feedback loop; it highlights discrepancies between planned and actual outcomes, prompting corrective actions and strategic recalibrations. By encouraging a culture of continuous monitoring and evaluation, organiza</w:t>
      </w:r>
      <w:r>
        <w:t>tions can adapt to unforeseen challenges, refine their financial planning processes, and ensure that their strategic decision-making remains grounded in empirical financial realities.</w:t>
      </w:r>
    </w:p>
    <w:p w14:paraId="7AD5BF8F" w14:textId="77777777" w:rsidR="0009024F" w:rsidRDefault="001C6BC2" w:rsidP="007828B2">
      <w:pPr>
        <w:pStyle w:val="BodyText"/>
        <w:jc w:val="both"/>
      </w:pPr>
      <w:r>
        <w:t>In conclusion, the integration of these financial mechanisms is indispen</w:t>
      </w:r>
      <w:r>
        <w:t>sable for modern organizations striving for enduring success. This foundation paves the way for a more detailed examination of practical applications in subsequent sections.</w:t>
      </w:r>
    </w:p>
    <w:p w14:paraId="7522BBB8" w14:textId="77777777" w:rsidR="0009024F" w:rsidRDefault="001C6BC2" w:rsidP="007828B2">
      <w:pPr>
        <w:pStyle w:val="Heading1"/>
        <w:jc w:val="both"/>
      </w:pPr>
      <w:bookmarkStart w:id="8" w:name="X7077387e4559f20619c6a7f404b6e755ceee31b"/>
      <w:bookmarkEnd w:id="3"/>
      <w:bookmarkEnd w:id="7"/>
      <w:r>
        <w:t>Literature Review: Financial Planning and Strategic Decision-Making in Organizatio</w:t>
      </w:r>
      <w:r>
        <w:t>ns</w:t>
      </w:r>
    </w:p>
    <w:p w14:paraId="50887BE7" w14:textId="77777777" w:rsidR="0009024F" w:rsidRDefault="001C6BC2" w:rsidP="007828B2">
      <w:pPr>
        <w:pStyle w:val="Heading2"/>
        <w:jc w:val="both"/>
      </w:pPr>
      <w:bookmarkStart w:id="9" w:name="Xe97846a88971e7218b2f4fd716c8b1caa863e57"/>
      <w:r>
        <w:t>Introduction: Role and Objectives of Financial Management</w:t>
      </w:r>
    </w:p>
    <w:p w14:paraId="1F0622B7" w14:textId="77777777" w:rsidR="0009024F" w:rsidRDefault="001C6BC2" w:rsidP="007828B2">
      <w:pPr>
        <w:pStyle w:val="FirstParagraph"/>
        <w:jc w:val="both"/>
      </w:pPr>
      <w:r>
        <w:t>The domain of financial management fundamentally dictates the strategic trajectory, operational viability, and long-term sustainability of an organization. Contemporary financial literature consistently underscores that the primary objective of financial m</w:t>
      </w:r>
      <w:r>
        <w:t>anagement transcends mere profit maximization, focusing instead on the long-term maximization of shareholder wealth (Brealey, Myers, &amp; Allen, 2020). This wealth maximization imperative requires financial managers to act as visionary strategic partners rath</w:t>
      </w:r>
      <w:r>
        <w:t xml:space="preserve">er than traditional retrospective record-keepers. </w:t>
      </w:r>
      <w:r>
        <w:lastRenderedPageBreak/>
        <w:t>The role encompasses the continuous evaluation of the firm’s financial health, the rigorous mitigation of systemic and unsystematic risks, and the optimal allocation of scarce resources to generate sustaina</w:t>
      </w:r>
      <w:r>
        <w:t>ble competitive advantages.</w:t>
      </w:r>
    </w:p>
    <w:p w14:paraId="496E7922" w14:textId="77777777" w:rsidR="0009024F" w:rsidRDefault="001C6BC2" w:rsidP="007828B2">
      <w:pPr>
        <w:pStyle w:val="BodyText"/>
        <w:jc w:val="both"/>
      </w:pPr>
      <w:r>
        <w:t>In executing these multifaceted duties, financial managers must navigate complex corporate governance landscapes, heavily informed by Agency Theory (Jensen &amp; Meckling, 1976). Agency Theory articulates the inherent conflicts of i</w:t>
      </w:r>
      <w:r>
        <w:t>nterest between corporate principals (shareholders) and agents (managers), highlighting the potential for managerial entrenchment and suboptimal resource allocation. Financial managers operate at the nexus of this conflict, tasked with deploying sophistica</w:t>
      </w:r>
      <w:r>
        <w:t>ted mechanisms such as performance-based compensation structures, robust internal auditing, and highly transparent financial reporting to align managerial incentives with shareholder interests. The ultimate effectiveness of a financial manager is frequentl</w:t>
      </w:r>
      <w:r>
        <w:t>y measured by their ability to minimize these agency costs while simultaneously pursuing aggressive and profitable organizational growth initiatives.</w:t>
      </w:r>
    </w:p>
    <w:p w14:paraId="2E29DF1A" w14:textId="77777777" w:rsidR="0009024F" w:rsidRDefault="001C6BC2" w:rsidP="007828B2">
      <w:pPr>
        <w:pStyle w:val="Heading2"/>
        <w:jc w:val="both"/>
      </w:pPr>
      <w:bookmarkStart w:id="10" w:name="X9d360da2ed3aae7c70d392193af0bd38aa28219"/>
      <w:bookmarkEnd w:id="9"/>
      <w:r>
        <w:t>Financial Planning, Budgeting, and Forecasting</w:t>
      </w:r>
    </w:p>
    <w:p w14:paraId="1760A271" w14:textId="77777777" w:rsidR="0009024F" w:rsidRDefault="001C6BC2" w:rsidP="007828B2">
      <w:pPr>
        <w:pStyle w:val="FirstParagraph"/>
        <w:jc w:val="both"/>
      </w:pPr>
      <w:r>
        <w:t xml:space="preserve">Strategic financial planning is the critical blueprint for </w:t>
      </w:r>
      <w:r>
        <w:t>an organization’s future, seamlessly translating overarching long-term corporate goals into quantifiable, actionable financial targets. According to Higgins (2018), comprehensive financial planning ensures that an organization anticipates future capital ne</w:t>
      </w:r>
      <w:r>
        <w:t xml:space="preserve">eds and devises proactive strategies to secure necessary financing without disrupting ongoing operations. It effectively bridges the gap between the firm’s present financial state and its future strategic ambitions, offering a roadmap that guides resource </w:t>
      </w:r>
      <w:r>
        <w:t>deployment.</w:t>
      </w:r>
    </w:p>
    <w:p w14:paraId="71449327" w14:textId="77777777" w:rsidR="0009024F" w:rsidRDefault="001C6BC2" w:rsidP="007828B2">
      <w:pPr>
        <w:pStyle w:val="BodyText"/>
        <w:jc w:val="both"/>
      </w:pPr>
      <w:r>
        <w:lastRenderedPageBreak/>
        <w:t xml:space="preserve">Integral to the broader context of financial planning are the rigorous processes of budgeting and forecasting. Budgeting constitutes the formal, short-term implementation of the financial plan, providing a highly detailed framework for revenue </w:t>
      </w:r>
      <w:r>
        <w:t>generation and expenditure allocation across various departments. Literature suggests that effective budgeting not only controls operational costs but also decentralizes authority and establishes clear performance benchmarks for managerial accountability (</w:t>
      </w:r>
      <w:r>
        <w:t>Shim, Siegel, &amp; Shim, 2011). However, traditional static budgeting has faced substantial criticism for its inflexibility in dynamic macroeconomic environments. Consequently, modern financial management heavily relies on continuous or rolling forecasts. For</w:t>
      </w:r>
      <w:r>
        <w:t>ecasting leverages historical financial data, prevailing market trends, and advanced statistical modeling to predict future financial conditions. Accurate forecasting equips financial managers with the indispensable agility to proactively adjust operationa</w:t>
      </w:r>
      <w:r>
        <w:t>l strategies in response to market volatility, thereby safeguarding organizational liquidity, ensuring solvency, and maximizing profitability.</w:t>
      </w:r>
    </w:p>
    <w:p w14:paraId="6ECE31A8" w14:textId="77777777" w:rsidR="0009024F" w:rsidRDefault="001C6BC2" w:rsidP="007828B2">
      <w:pPr>
        <w:pStyle w:val="Heading2"/>
        <w:jc w:val="both"/>
      </w:pPr>
      <w:bookmarkStart w:id="11" w:name="investment-decisions-capital-budgeting"/>
      <w:bookmarkEnd w:id="10"/>
      <w:r>
        <w:t>Investment Decisions: Capital Budgeting</w:t>
      </w:r>
    </w:p>
    <w:p w14:paraId="7753E8D9" w14:textId="77777777" w:rsidR="0009024F" w:rsidRDefault="001C6BC2" w:rsidP="007828B2">
      <w:pPr>
        <w:pStyle w:val="FirstParagraph"/>
        <w:jc w:val="both"/>
      </w:pPr>
      <w:r>
        <w:t>Investment decisions, commonly referred to within the literature as capit</w:t>
      </w:r>
      <w:r>
        <w:t>al budgeting, are critical determinations regarding the irreversible deployment of substantial capital into long-term assets or strategic projects. The strategic impact of these decisions is profound and long-lasting, as they fundamentally shape the operat</w:t>
      </w:r>
      <w:r>
        <w:t>ional scale, inherent risk profile, and future cash flow generation capabilities of the firm. Brigham and Ehrhardt (2019) emphasize that financial managers must rigorously evaluate potential investments using sophisticated discounting models, primarily foc</w:t>
      </w:r>
      <w:r>
        <w:t>using on Net Present Value (NPV) and Internal Rate of Return (IRR).</w:t>
      </w:r>
    </w:p>
    <w:p w14:paraId="6918BF8C" w14:textId="77777777" w:rsidR="0009024F" w:rsidRDefault="001C6BC2" w:rsidP="007828B2">
      <w:pPr>
        <w:pStyle w:val="BodyText"/>
        <w:jc w:val="both"/>
      </w:pPr>
      <w:r>
        <w:lastRenderedPageBreak/>
        <w:t>NPV remains the theoretically superior and most widely endorsed metric in corporate finance, as it directly measures the absolute increase in shareholder wealth resulting from a specific p</w:t>
      </w:r>
      <w:r>
        <w:t>roject. Financial managers bear the responsibility of accurately estimating the incremental, after-tax cash flows of prospective projects and applying an appropriate discount rate that accurately reflects the project’s systematic risk. Furthermore, the int</w:t>
      </w:r>
      <w:r>
        <w:t>egration of real options analysis into traditional capital budgeting frameworks has significantly augmented the capacity of financial managers to value embedded managerial flexibility. This includes the strategic option to expand, delay, or abandon project</w:t>
      </w:r>
      <w:r>
        <w:t>s in response to changing market realities, thereby preventing capital entrapment in failing ventures (Trigeorgis, 1996).</w:t>
      </w:r>
    </w:p>
    <w:p w14:paraId="75793B4B" w14:textId="77777777" w:rsidR="0009024F" w:rsidRDefault="001C6BC2" w:rsidP="007828B2">
      <w:pPr>
        <w:pStyle w:val="Heading2"/>
        <w:jc w:val="both"/>
      </w:pPr>
      <w:bookmarkStart w:id="12" w:name="X611df62823958cc4bc3121f52ec0da72bfc1e1a"/>
      <w:bookmarkEnd w:id="11"/>
      <w:r>
        <w:t>Financing Decisions and Capital Structure</w:t>
      </w:r>
    </w:p>
    <w:p w14:paraId="46E4997E" w14:textId="77777777" w:rsidR="0009024F" w:rsidRDefault="001C6BC2" w:rsidP="007828B2">
      <w:pPr>
        <w:pStyle w:val="FirstParagraph"/>
        <w:jc w:val="both"/>
      </w:pPr>
      <w:r>
        <w:t xml:space="preserve">Once lucrative investment opportunities are identified through capital budgeting, financial </w:t>
      </w:r>
      <w:r>
        <w:t>managers must ascertain the most cost-effective methods to finance them. Financing decisions involve determining the optimal capital structure—the specific proportionate mix of debt and equity utilized to fund operations and sustain growth. The primary obj</w:t>
      </w:r>
      <w:r>
        <w:t>ective is to minimize the firm’s Weighted Average Cost of Capital (WACC) while maintaining a highly manageable level of financial risk and preserving creditworthiness.</w:t>
      </w:r>
    </w:p>
    <w:p w14:paraId="4AE14A51" w14:textId="77777777" w:rsidR="0009024F" w:rsidRDefault="001C6BC2" w:rsidP="007828B2">
      <w:pPr>
        <w:pStyle w:val="BodyText"/>
        <w:jc w:val="both"/>
      </w:pPr>
      <w:r>
        <w:t>The academic discourse on capital structure is heavily influenced by two prominent, albe</w:t>
      </w:r>
      <w:r>
        <w:t>it competing, theoretical frameworks: the Trade-off Theory and the Pecking Order Theory. The Trade-off Theory posits that firms systematically determine their optimal capital structure by carefully balancing the distinct tax shield benefits of debt financi</w:t>
      </w:r>
      <w:r>
        <w:t xml:space="preserve">ng against the expected costs of financial distress and potential bankruptcy (Kraus &amp; Litzenberger, 1973). Financial managers </w:t>
      </w:r>
      <w:r>
        <w:lastRenderedPageBreak/>
        <w:t>utilizing this framework actively seek a specific target debt-to-equity ratio that theoretically maximizes overall firm value.</w:t>
      </w:r>
    </w:p>
    <w:p w14:paraId="3FECF392" w14:textId="77777777" w:rsidR="0009024F" w:rsidRDefault="001C6BC2" w:rsidP="007828B2">
      <w:pPr>
        <w:pStyle w:val="BodyText"/>
        <w:jc w:val="both"/>
      </w:pPr>
      <w:r>
        <w:t>Con</w:t>
      </w:r>
      <w:r>
        <w:t>versely, the Pecking Order Theory, pioneered by Myers and Majluf (1984), strongly argues against the existence of a strict, universally applicable target capital structure. Instead, it suggests that firms prioritize sources of financing based on the princi</w:t>
      </w:r>
      <w:r>
        <w:t xml:space="preserve">ple of least effort and lowest asymmetric information costs. Under this paradigm, firms strictly prefer to utilize internal financing (retained earnings) first. If external financing becomes absolutely necessary, they will systematically issue debt, which </w:t>
      </w:r>
      <w:r>
        <w:t xml:space="preserve">is less sensitive to information asymmetries, and only issue new equity as a final, last-resort option. Financial managers must carefully weigh the implications of both theories when accessing capital markets, deeply considering current market conditions, </w:t>
      </w:r>
      <w:r>
        <w:t>the firm’s prevailing credit rating, and the potentially negative signaling effects associated with issuing new equity shares.</w:t>
      </w:r>
    </w:p>
    <w:p w14:paraId="00490255" w14:textId="77777777" w:rsidR="0009024F" w:rsidRDefault="001C6BC2" w:rsidP="007828B2">
      <w:pPr>
        <w:pStyle w:val="Heading2"/>
        <w:jc w:val="both"/>
      </w:pPr>
      <w:bookmarkStart w:id="13" w:name="dividend-decisions"/>
      <w:bookmarkEnd w:id="12"/>
      <w:r>
        <w:t>Dividend Decisions</w:t>
      </w:r>
    </w:p>
    <w:p w14:paraId="0BEB25A3" w14:textId="77777777" w:rsidR="0009024F" w:rsidRDefault="001C6BC2" w:rsidP="007828B2">
      <w:pPr>
        <w:pStyle w:val="FirstParagraph"/>
        <w:jc w:val="both"/>
      </w:pPr>
      <w:r>
        <w:t xml:space="preserve">Dividend decisions constitute the third foundational pillar of corporate financial management, addressing the </w:t>
      </w:r>
      <w:r>
        <w:t>critical distribution of residual earnings to shareholders versus the retention of those earnings for internal reinvestment. Financial managers must meticulously formulate dividend policies that perfectly balance the shareholders’ immediate desire for curr</w:t>
      </w:r>
      <w:r>
        <w:t>ent income with the firm’s ongoing need for internally generated growth capital.</w:t>
      </w:r>
    </w:p>
    <w:p w14:paraId="570F9EE1" w14:textId="77777777" w:rsidR="0009024F" w:rsidRDefault="001C6BC2" w:rsidP="007828B2">
      <w:pPr>
        <w:pStyle w:val="BodyText"/>
        <w:jc w:val="both"/>
      </w:pPr>
      <w:r>
        <w:t>The prominent signaling theory of dividends suggests that corporate dividend announcements convey critical, asymmetric information to the broader market regarding management’s</w:t>
      </w:r>
      <w:r>
        <w:t xml:space="preserve"> internal assessment of future financial prospects (Bhattacharya, 1979). A substantial increase in dividend payments is typically interpreted by investors as a highly credible signal of sustained future </w:t>
      </w:r>
      <w:r>
        <w:lastRenderedPageBreak/>
        <w:t>profitability, thereby frequently increasing the firm</w:t>
      </w:r>
      <w:r>
        <w:t>’s overall market value. Conversely, dividend cuts often trigger severe, disproportionate negative market reactions due to fears of impending financial distress. Furthermore, clientele effects indicate that distinctly different groups of investors prefer s</w:t>
      </w:r>
      <w:r>
        <w:t>pecific dividend policies based purely on their individual tax brackets and current income requirements. Financial managers must therefore cultivate a highly stable and distinctly predictable dividend policy that consistently satisfies their specific inves</w:t>
      </w:r>
      <w:r>
        <w:t>tor clientele while concurrently retaining sufficient internal funds to capitalize on emerging positive NPV projects.</w:t>
      </w:r>
    </w:p>
    <w:p w14:paraId="0D4EFC97" w14:textId="77777777" w:rsidR="0009024F" w:rsidRDefault="001C6BC2" w:rsidP="007828B2">
      <w:pPr>
        <w:pStyle w:val="Heading2"/>
        <w:jc w:val="both"/>
      </w:pPr>
      <w:bookmarkStart w:id="14" w:name="performance-evaluation"/>
      <w:bookmarkEnd w:id="13"/>
      <w:r>
        <w:t>Performance Evaluation</w:t>
      </w:r>
    </w:p>
    <w:p w14:paraId="2A3CF5C3" w14:textId="77777777" w:rsidR="0009024F" w:rsidRDefault="001C6BC2" w:rsidP="007828B2">
      <w:pPr>
        <w:pStyle w:val="FirstParagraph"/>
        <w:jc w:val="both"/>
      </w:pPr>
      <w:r>
        <w:t>The final, important phase of the iterative financial management cycle is performance evaluation, which entails rig</w:t>
      </w:r>
      <w:r>
        <w:t>orously measuring the actual organizational outcomes against the initially established strategic financial plans and operational budgets. Effective performance evaluation systems provide continuous, data-driven feedback, enabling financial managers to impl</w:t>
      </w:r>
      <w:r>
        <w:t>ement necessary corrective actions promptly and decisively.</w:t>
      </w:r>
    </w:p>
    <w:p w14:paraId="7FAD098F" w14:textId="77777777" w:rsidR="0009024F" w:rsidRDefault="001C6BC2" w:rsidP="007828B2">
      <w:pPr>
        <w:pStyle w:val="BodyText"/>
        <w:jc w:val="both"/>
      </w:pPr>
      <w:r>
        <w:t>Academic literature highlights a significant paradigm shift from purely historical accounting-based metrics, such as Return on Investment (ROI) and Earnings Per Share (EPS), to sophisticated value</w:t>
      </w:r>
      <w:r>
        <w:t>-based metrics like Economic Value Added (EVA). EVA explicitly accounts for the total cost of capital—both debt and equity—thereby indicating true economic profit generated by the firm (Stewart, 1991). By effectively utilizing these advanced performance ev</w:t>
      </w:r>
      <w:r>
        <w:t>aluation frameworks, financial managers can highly accurately assess individual divisional performance, structurally align managerial incentives with long-term shareholder wealth creation, and quickly identify operational areas requiring immediate strategi</w:t>
      </w:r>
      <w:r>
        <w:t>c intervention.</w:t>
      </w:r>
    </w:p>
    <w:p w14:paraId="2C54BD58" w14:textId="77777777" w:rsidR="0009024F" w:rsidRDefault="001C6BC2" w:rsidP="007828B2">
      <w:pPr>
        <w:pStyle w:val="Heading2"/>
        <w:jc w:val="both"/>
      </w:pPr>
      <w:bookmarkStart w:id="15" w:name="literature-review-synthesis"/>
      <w:bookmarkEnd w:id="14"/>
      <w:r>
        <w:lastRenderedPageBreak/>
        <w:t>Literature Review Synthesis</w:t>
      </w:r>
    </w:p>
    <w:p w14:paraId="49F09F53" w14:textId="77777777" w:rsidR="0009024F" w:rsidRDefault="001C6BC2" w:rsidP="007828B2">
      <w:pPr>
        <w:pStyle w:val="FirstParagraph"/>
        <w:jc w:val="both"/>
      </w:pPr>
      <w:r>
        <w:t>In summation, the comprehensive review of contemporary literature unequivocally establishes that financial management is a multifaceted, highly complex discipline centrally essential to sustained organizational s</w:t>
      </w:r>
      <w:r>
        <w:t>uccess. The financial manager’s role has expanded far beyond traditional accounting oversight; it is fundamentally strategic and forward-looking. Through meticulous and adaptable financial planning, rigorous mathematical capital budgeting, judiciously bala</w:t>
      </w:r>
      <w:r>
        <w:t>nced financing, and strategically aligned dividend policies, modern financial managers navigate highly complex theoretical landscapes. By heavily relying on paradigms such as Agency Theory, Trade-off Theory, and Pecking Order Theory, they strive continuous</w:t>
      </w:r>
      <w:r>
        <w:t>ly to maximize long-term shareholder wealth. Ultimately, the smooth integration of continuous forecasting methodologies and value-based performance evaluation ensures that organizations remain highly resilient, remarkably agile, and fiercely competitive in</w:t>
      </w:r>
      <w:r>
        <w:t xml:space="preserve"> an increasingly volatile and unpredictable global business environment.</w:t>
      </w:r>
    </w:p>
    <w:p w14:paraId="2F1D227F" w14:textId="77777777" w:rsidR="0009024F" w:rsidRDefault="001C6BC2" w:rsidP="007828B2">
      <w:pPr>
        <w:jc w:val="both"/>
      </w:pPr>
      <w:r>
        <w:pict w14:anchorId="794CD5F6">
          <v:rect id="_x0000_i1025" style="width:0;height:1.5pt" o:hralign="center" o:hrstd="t" o:hr="t"/>
        </w:pict>
      </w:r>
    </w:p>
    <w:p w14:paraId="0BC138D5" w14:textId="77777777" w:rsidR="0009024F" w:rsidRDefault="001C6BC2" w:rsidP="007828B2">
      <w:pPr>
        <w:pStyle w:val="Heading1"/>
        <w:jc w:val="both"/>
      </w:pPr>
      <w:bookmarkStart w:id="16" w:name="methodology"/>
      <w:bookmarkEnd w:id="8"/>
      <w:bookmarkEnd w:id="15"/>
      <w:r>
        <w:t>Methodology</w:t>
      </w:r>
    </w:p>
    <w:p w14:paraId="0EADFCED" w14:textId="77777777" w:rsidR="0009024F" w:rsidRDefault="001C6BC2" w:rsidP="007828B2">
      <w:pPr>
        <w:pStyle w:val="FirstParagraph"/>
        <w:jc w:val="both"/>
      </w:pPr>
      <w:r>
        <w:t>This study employs qualitative, secondary research analyzing corporate case studies to investigate practical applications of financial planning and strategic decision-ma</w:t>
      </w:r>
      <w:r>
        <w:t>king. The research design is analytical, bridging theoretical frameworks with empirical corporate practices. Data collection relied exclusively on publicly accessible secondary sources. Primary data includes annual financial reports (10-K filings) submitte</w:t>
      </w:r>
      <w:r>
        <w:t xml:space="preserve">d to the Securities and Exchange Commission (SEC), corporate press releases, and investor relations presentations. To ensure </w:t>
      </w:r>
      <w:r>
        <w:lastRenderedPageBreak/>
        <w:t>academic rigor, corporate documents were cross-referenced with peer-reviewed financial journals and authoritative financial news pu</w:t>
      </w:r>
      <w:r>
        <w:t>blications.</w:t>
      </w:r>
    </w:p>
    <w:p w14:paraId="43CCD6C1" w14:textId="77777777" w:rsidR="0009024F" w:rsidRDefault="001C6BC2" w:rsidP="007828B2">
      <w:pPr>
        <w:pStyle w:val="BodyText"/>
        <w:jc w:val="both"/>
      </w:pPr>
      <w:r>
        <w:t>The analytical framework evaluates three core domains of financial management: investment decisions, financing decisions, and dividend decisions. By examining high-profile, multinational corporations—specifically Apple Inc., Netflix Inc., and F</w:t>
      </w:r>
      <w:r>
        <w:t>ord Motor Company—the study isolates distinct financial strategies deployed across different industry contexts. Apple illustrates aggressive cash management and capital return strategies; Netflix exemplifies leveraging debt financing for rapid market expan</w:t>
      </w:r>
      <w:r>
        <w:t>sion and subsequent stabilization; and Ford provides insights into financial restructuring and liquidity preservation during severe macroeconomic distress. Qualitative synthesis of these cases facilitates comprehensive understanding of how financial manage</w:t>
      </w:r>
      <w:r>
        <w:t>rs utilize strategic planning to achieve organizational growth, maintain stability, and execute structural transformations.</w:t>
      </w:r>
    </w:p>
    <w:p w14:paraId="24578EF8" w14:textId="77777777" w:rsidR="0009024F" w:rsidRDefault="001C6BC2" w:rsidP="007828B2">
      <w:pPr>
        <w:pStyle w:val="Heading1"/>
        <w:jc w:val="both"/>
      </w:pPr>
      <w:bookmarkStart w:id="17" w:name="findings"/>
      <w:bookmarkEnd w:id="16"/>
      <w:r>
        <w:t>Findings</w:t>
      </w:r>
    </w:p>
    <w:p w14:paraId="4E14864D" w14:textId="77777777" w:rsidR="0009024F" w:rsidRDefault="001C6BC2" w:rsidP="007828B2">
      <w:pPr>
        <w:pStyle w:val="Heading2"/>
        <w:jc w:val="both"/>
      </w:pPr>
      <w:bookmarkStart w:id="18" w:name="introduction-to-findings"/>
      <w:r>
        <w:t>Introduction to Findings</w:t>
      </w:r>
    </w:p>
    <w:p w14:paraId="04711962" w14:textId="77777777" w:rsidR="0009024F" w:rsidRDefault="001C6BC2" w:rsidP="007828B2">
      <w:pPr>
        <w:pStyle w:val="FirstParagraph"/>
        <w:jc w:val="both"/>
      </w:pPr>
      <w:r>
        <w:t>Analysis of selected corporate case studies reveals effective financial planning constitutes a dyn</w:t>
      </w:r>
      <w:r>
        <w:t>amic, strategic imperative. Financial managers in these organizations actively deployed capital budgeting, capital structure optimization, and dividend policy formulation to navigate distinct corporate life cycles, ranging from aggressive growth to defensi</w:t>
      </w:r>
      <w:r>
        <w:t>ve restructuring.</w:t>
      </w:r>
    </w:p>
    <w:p w14:paraId="01E77D2D" w14:textId="77777777" w:rsidR="0009024F" w:rsidRDefault="001C6BC2" w:rsidP="007828B2">
      <w:pPr>
        <w:pStyle w:val="Heading2"/>
        <w:jc w:val="both"/>
      </w:pPr>
      <w:bookmarkStart w:id="19" w:name="X7e59b4a0f89be2cb4a18c39d7b155a2135eec8b"/>
      <w:bookmarkEnd w:id="18"/>
      <w:r>
        <w:lastRenderedPageBreak/>
        <w:t>Growth and Cash Management: Investment Decisions at Apple Inc.</w:t>
      </w:r>
    </w:p>
    <w:p w14:paraId="28B9E025" w14:textId="77777777" w:rsidR="0009024F" w:rsidRDefault="001C6BC2" w:rsidP="007828B2">
      <w:pPr>
        <w:pStyle w:val="FirstParagraph"/>
        <w:jc w:val="both"/>
      </w:pPr>
      <w:r>
        <w:t>Apple Inc. illustrates how strategic investment decisions and meticulous cash management propel organizational growth and sustain competitive advantage. Historically, Apple’s financial managers prioritized massive capital allocations toward Research and De</w:t>
      </w:r>
      <w:r>
        <w:t>velopment (R&amp;D) and strategic supply chain investments. By employing rigorous capital budgeting techniques, such as Net Present Value (NPV) analysis, Apple evaluates potential investments in new product lines against risk-adjusted expected returns.</w:t>
      </w:r>
    </w:p>
    <w:p w14:paraId="7DD8B924" w14:textId="77777777" w:rsidR="0009024F" w:rsidRDefault="001C6BC2" w:rsidP="007828B2">
      <w:pPr>
        <w:pStyle w:val="BodyText"/>
        <w:jc w:val="both"/>
      </w:pPr>
      <w:r>
        <w:t>Further</w:t>
      </w:r>
      <w:r>
        <w:t>more, Apple’s unprecedented accumulation of cash reserves underscores a deliberate financial planning strategy aimed at operational stability and strategic flexibility. Rather than prematurely dissipating capital, financial managers utilized this liquidity</w:t>
      </w:r>
      <w:r>
        <w:t xml:space="preserve"> to weather supply chain disruptions and fund capital-intensive strategic acquisitions without immediate need for external financing. This approach directly aligns with theoretical assertions that robust financial forecasting and liquidity management remai</w:t>
      </w:r>
      <w:r>
        <w:t>n essential for shielding core operations from macroeconomic shocks. The financial management team’s ability to identify high-yield investment opportunities while simultaneously optimizing a massive global cash portfolio remains central to the firm’s susta</w:t>
      </w:r>
      <w:r>
        <w:t>ined revenue growth and market dominance.</w:t>
      </w:r>
    </w:p>
    <w:p w14:paraId="7E4398C7" w14:textId="77777777" w:rsidR="0009024F" w:rsidRDefault="001C6BC2" w:rsidP="007828B2">
      <w:pPr>
        <w:pStyle w:val="Heading2"/>
        <w:jc w:val="both"/>
      </w:pPr>
      <w:bookmarkStart w:id="20" w:name="X8fe443a71d2a5059662d5fd07b1cd1d68f8f7af"/>
      <w:bookmarkEnd w:id="19"/>
      <w:r>
        <w:t>Capital Structure and Market Expansion: Financing Decisions at Netflix Inc.</w:t>
      </w:r>
    </w:p>
    <w:p w14:paraId="0249107E" w14:textId="77777777" w:rsidR="0009024F" w:rsidRDefault="001C6BC2" w:rsidP="007828B2">
      <w:pPr>
        <w:pStyle w:val="FirstParagraph"/>
        <w:jc w:val="both"/>
      </w:pPr>
      <w:r>
        <w:t>Netflix Inc. exemplifies strategic use of financing decisions to drive aggressive market expansion, transitioning later toward operational</w:t>
      </w:r>
      <w:r>
        <w:t xml:space="preserve"> stability. During its key shift from a licensing model to an original content production model, Netflix faced extraordinary capital requirements. The firm’s </w:t>
      </w:r>
      <w:r>
        <w:lastRenderedPageBreak/>
        <w:t>financial managers made the strategic decision to aggressively utilize debt financing, issuing bil</w:t>
      </w:r>
      <w:r>
        <w:t>lions of dollars in high-yield corporate bonds to fund content creation. This represented a calculated capital structure decision where cost of debt was weighed against anticipated exponential growth in global subscriber revenues.</w:t>
      </w:r>
    </w:p>
    <w:p w14:paraId="480A718A" w14:textId="77777777" w:rsidR="0009024F" w:rsidRDefault="001C6BC2" w:rsidP="007828B2">
      <w:pPr>
        <w:pStyle w:val="BodyText"/>
        <w:jc w:val="both"/>
      </w:pPr>
      <w:r>
        <w:t>By accepting a highly lev</w:t>
      </w:r>
      <w:r>
        <w:t>eraged capital structure, Netflix’s financial leadership prioritized rapid market capture and long-term asset accumulation over immediate short-term profitability or free cash flow generation. Financial planning involved sophisticated forecasting models en</w:t>
      </w:r>
      <w:r>
        <w:t>suring projected subscriber lifetime value significantly exceeded customer acquisition costs and associated debt servicing obligations. As the streaming market matured, Netflix’s financial strategy pivoted toward operational stability. Financial managers p</w:t>
      </w:r>
      <w:r>
        <w:t>rioritized generation of positive free cash flow, utilizing internal revenues to pay down existing debt and self-fund new content, thereby systematically de-risking the balance sheet and optimizing overall capital structure.</w:t>
      </w:r>
    </w:p>
    <w:p w14:paraId="53B284B7" w14:textId="77777777" w:rsidR="0009024F" w:rsidRDefault="001C6BC2" w:rsidP="007828B2">
      <w:pPr>
        <w:pStyle w:val="Heading2"/>
        <w:jc w:val="both"/>
      </w:pPr>
      <w:bookmarkStart w:id="21" w:name="X1cac5db1285f5ad01850fcebe8dc31e99cc7bf7"/>
      <w:bookmarkEnd w:id="20"/>
      <w:r>
        <w:t>Crisis Management and Liquidity</w:t>
      </w:r>
      <w:r>
        <w:t>: Restructuring at Ford Motor Company</w:t>
      </w:r>
    </w:p>
    <w:p w14:paraId="029A3933" w14:textId="77777777" w:rsidR="0009024F" w:rsidRDefault="001C6BC2" w:rsidP="007828B2">
      <w:pPr>
        <w:pStyle w:val="FirstParagraph"/>
        <w:jc w:val="both"/>
      </w:pPr>
      <w:r>
        <w:t>Ford Motor Company offers critical perspective on the role of financial planning during periods of organizational restructuring and severe financial distress. Prior to the 2008 global financial crisis, Ford’s financial</w:t>
      </w:r>
      <w:r>
        <w:t xml:space="preserve"> leadership foresaw significant macroeconomic vulnerabilities and structural inefficiencies within the firm. In a highly proactive financing decision, Ford’s financial managers secured a massive $23.6 billion line of credit, pledging nearly all domestic as</w:t>
      </w:r>
      <w:r>
        <w:t>sets as collateral.</w:t>
      </w:r>
    </w:p>
    <w:p w14:paraId="71910F66" w14:textId="77777777" w:rsidR="0009024F" w:rsidRDefault="001C6BC2" w:rsidP="007828B2">
      <w:pPr>
        <w:pStyle w:val="BodyText"/>
        <w:jc w:val="both"/>
      </w:pPr>
      <w:r>
        <w:lastRenderedPageBreak/>
        <w:t>This financing decision, driven by stringent financial forecasting and stress-testing, was designed not for expansion but for survival and restructuring. Secured liquidity provided necessary capital buffer to fund comprehensive restruct</w:t>
      </w:r>
      <w:r>
        <w:t xml:space="preserve">uring initiatives, including closing unprofitable facilities, renegotiating labor contracts, and aggressively investing in new vehicle platforms. When credit markets froze during the financial crisis, Ford possessed necessary liquidity to avoid bankruptcy </w:t>
      </w:r>
      <w:r>
        <w:t>and government bailouts. This case underscores paramount importance of defensive financial planning, where financial managers secure stability by anticipating worst-case scenarios and securing external financing before macroeconomic conditions deteriorate.</w:t>
      </w:r>
    </w:p>
    <w:p w14:paraId="6508ACE6" w14:textId="77777777" w:rsidR="0009024F" w:rsidRDefault="001C6BC2" w:rsidP="007828B2">
      <w:pPr>
        <w:pStyle w:val="Heading2"/>
        <w:jc w:val="both"/>
      </w:pPr>
      <w:bookmarkStart w:id="22" w:name="Xd9b29ca5a06cc62745ea0913233f975d96d869e"/>
      <w:bookmarkEnd w:id="21"/>
      <w:r>
        <w:t>Maximizing Shareholder Wealth: Dividend Decisions at Apple Inc.</w:t>
      </w:r>
    </w:p>
    <w:p w14:paraId="18DDD33E" w14:textId="77777777" w:rsidR="0009024F" w:rsidRDefault="001C6BC2" w:rsidP="007828B2">
      <w:pPr>
        <w:pStyle w:val="FirstParagraph"/>
        <w:jc w:val="both"/>
      </w:pPr>
      <w:r>
        <w:t>The ultimate objective of financial management—maximization of shareholder wealth—is prominently demonstrated through corporate dividend decisions. Following years of aggressive cash accumula</w:t>
      </w:r>
      <w:r>
        <w:t>tion, Apple faced increasing pressure from institutional investors regarding capital allocation. In response, Apple’s financial managers initiated one of the largest capital return programs in corporate history, combining regular dividend payouts with mass</w:t>
      </w:r>
      <w:r>
        <w:t>ive share repurchase programs.</w:t>
      </w:r>
    </w:p>
    <w:p w14:paraId="10FDA347" w14:textId="77777777" w:rsidR="0009024F" w:rsidRDefault="001C6BC2" w:rsidP="007828B2">
      <w:pPr>
        <w:pStyle w:val="BodyText"/>
        <w:jc w:val="both"/>
      </w:pPr>
      <w:r>
        <w:t>This dividend decision was deeply strategic. By initiating a sustainable dividend, the firm signaled long-term financial health and confidence in future cash flows to the market, attracting income-focused investors. Concurren</w:t>
      </w:r>
      <w:r>
        <w:t xml:space="preserve">tly, the aggressive share buyback program reduced the total number of outstanding shares, mechanically increasing Earnings Per Share (EPS) and directly inflating stock price. This dual approach to dividend policy illustrates how financial managers balance </w:t>
      </w:r>
      <w:r>
        <w:t>retention of earnings necessary for future investments with immediate distribution of surplus capital to mitigate agency costs and maximize intrinsic shareholder value.</w:t>
      </w:r>
    </w:p>
    <w:p w14:paraId="6D6DA5A5" w14:textId="77777777" w:rsidR="0009024F" w:rsidRDefault="001C6BC2" w:rsidP="007828B2">
      <w:pPr>
        <w:pStyle w:val="Heading2"/>
        <w:jc w:val="both"/>
      </w:pPr>
      <w:bookmarkStart w:id="23" w:name="synthesis-of-findings"/>
      <w:bookmarkEnd w:id="22"/>
      <w:r>
        <w:lastRenderedPageBreak/>
        <w:t>Synthesis of Findings</w:t>
      </w:r>
    </w:p>
    <w:p w14:paraId="22789664" w14:textId="77777777" w:rsidR="0009024F" w:rsidRDefault="001C6BC2" w:rsidP="007828B2">
      <w:pPr>
        <w:pStyle w:val="FirstParagraph"/>
        <w:jc w:val="both"/>
      </w:pPr>
      <w:r>
        <w:t>Empirical findings from these case studies validate theoretical frameworks established in broader financial literature. Deployment of capital budgeting, strategic financing, and dividend policy remains inherently context-dependent. Apple demonstrates surpl</w:t>
      </w:r>
      <w:r>
        <w:t>us liquidity requires strategic capital return programs alongside high-yield investments; Netflix illustrates aggressive debt financing remains a viable strategy for capturing market share, provided it is supported by rigorous revenue forecasting; and Ford</w:t>
      </w:r>
      <w:r>
        <w:t xml:space="preserve"> proves proactive liquidity acquisition forms the cornerstone of successful corporate restructuring. In all instances, the financial manager functions not as passive accountant, but as central architect of the organization’s strategic trajectory.</w:t>
      </w:r>
    </w:p>
    <w:p w14:paraId="072E4017" w14:textId="77777777" w:rsidR="0009024F" w:rsidRDefault="001C6BC2" w:rsidP="007828B2">
      <w:pPr>
        <w:pStyle w:val="Heading1"/>
        <w:jc w:val="both"/>
      </w:pPr>
      <w:bookmarkStart w:id="24" w:name="discussion"/>
      <w:bookmarkEnd w:id="17"/>
      <w:bookmarkEnd w:id="23"/>
      <w:r>
        <w:t>Discussio</w:t>
      </w:r>
      <w:r>
        <w:t>n</w:t>
      </w:r>
    </w:p>
    <w:p w14:paraId="145D69F5" w14:textId="77777777" w:rsidR="0009024F" w:rsidRDefault="001C6BC2" w:rsidP="007828B2">
      <w:pPr>
        <w:pStyle w:val="FirstParagraph"/>
        <w:jc w:val="both"/>
      </w:pPr>
      <w:r>
        <w:t>The literature and practical applications discussed in the previous sections illustrate that financial decision-making is rarely straightforward. Organizations consistently face complex issues when allocating resources, managing debt, and evaluating perf</w:t>
      </w:r>
      <w:r>
        <w:t>ormance. This section critically analyzes these core issues, synthesizing the earlier findings to show how specific financial tools and techniques resolve real-world business tensions.</w:t>
      </w:r>
    </w:p>
    <w:p w14:paraId="5EB686F0" w14:textId="77777777" w:rsidR="0009024F" w:rsidRDefault="001C6BC2" w:rsidP="007828B2">
      <w:pPr>
        <w:pStyle w:val="Heading2"/>
        <w:jc w:val="both"/>
      </w:pPr>
      <w:bookmarkStart w:id="25" w:name="X32e72a18700d7f548c85b3ba59df0960a847896"/>
      <w:r>
        <w:t>Navigating the Conflict Between Growth and Risk</w:t>
      </w:r>
    </w:p>
    <w:p w14:paraId="1B63821A" w14:textId="77777777" w:rsidR="0009024F" w:rsidRDefault="001C6BC2" w:rsidP="007828B2">
      <w:pPr>
        <w:pStyle w:val="FirstParagraph"/>
        <w:jc w:val="both"/>
      </w:pPr>
      <w:r>
        <w:t>One of the most persist</w:t>
      </w:r>
      <w:r>
        <w:t xml:space="preserve">ent issues in financial decision-making is balancing aggressive growth with acceptable levels of risk. Agency Theory points out that managers might pursue risky projects that serve their own interests over the long-term health of the company. In practice, </w:t>
      </w:r>
      <w:r>
        <w:t xml:space="preserve">this </w:t>
      </w:r>
      <w:r>
        <w:lastRenderedPageBreak/>
        <w:t>tension usually surfaces during capital budgeting. Managers want to approve projects that promise high returns, but these projects often carry equally high risks of failure.</w:t>
      </w:r>
    </w:p>
    <w:p w14:paraId="5382DBE9" w14:textId="77777777" w:rsidR="0009024F" w:rsidRDefault="001C6BC2" w:rsidP="007828B2">
      <w:pPr>
        <w:pStyle w:val="BodyText"/>
        <w:jc w:val="both"/>
      </w:pPr>
      <w:r>
        <w:t>Financial tools like Net Present Value (NPV) and Internal Rate of Return (IRR</w:t>
      </w:r>
      <w:r>
        <w:t>) provide a structural defense against this bias. By forcing managers to discount future cash flows at a rate that reflects the project’s specific systematic risk, NPV strips away the optimism often found in managerial forecasts. However, traditional NPV a</w:t>
      </w:r>
      <w:r>
        <w:t>nalysis assumes a static environment. If an organization approves a ten-year project, the market will almost certainly change before the project concludes. This is where real options analysis becomes necessary. It allows decision-makers to build flexibilit</w:t>
      </w:r>
      <w:r>
        <w:t>y into their financial models, explicitly valuing the ability to scale down or abandon a project if market conditions deteriorate. Treating flexibility as a measurable asset rather than an abstract concept helps organizations pursue growth without exposing</w:t>
      </w:r>
      <w:r>
        <w:t xml:space="preserve"> themselves to catastrophic losses.</w:t>
      </w:r>
    </w:p>
    <w:p w14:paraId="5E3B69E3" w14:textId="77777777" w:rsidR="0009024F" w:rsidRDefault="001C6BC2" w:rsidP="007828B2">
      <w:pPr>
        <w:pStyle w:val="Heading2"/>
        <w:jc w:val="both"/>
      </w:pPr>
      <w:bookmarkStart w:id="26" w:name="Xfd43eaa8687697246b1489b4235d600fc796a36"/>
      <w:bookmarkEnd w:id="25"/>
      <w:r>
        <w:t>The Reality of Capital Structure Constraints</w:t>
      </w:r>
    </w:p>
    <w:p w14:paraId="285A070D" w14:textId="77777777" w:rsidR="0009024F" w:rsidRDefault="001C6BC2" w:rsidP="007828B2">
      <w:pPr>
        <w:pStyle w:val="FirstParagraph"/>
        <w:jc w:val="both"/>
      </w:pPr>
      <w:r>
        <w:t xml:space="preserve">Another major issue is determining how to pay for growth. The theoretical debate between the Trade-off Theory and the Pecking Order Theory highlights the practical difficulty </w:t>
      </w:r>
      <w:r>
        <w:t>of finding the right capital structure. The Trade-off Theory suggests an optimal mix of debt and equity exists, balancing tax shields against bankruptcy costs. But in reality, managers rarely operate with the perfect information required to find this exact</w:t>
      </w:r>
      <w:r>
        <w:t xml:space="preserve"> equilibrium.</w:t>
      </w:r>
    </w:p>
    <w:p w14:paraId="20CD528B" w14:textId="77777777" w:rsidR="0009024F" w:rsidRDefault="001C6BC2" w:rsidP="007828B2">
      <w:pPr>
        <w:pStyle w:val="BodyText"/>
        <w:jc w:val="both"/>
      </w:pPr>
      <w:r>
        <w:t>Instead, organizations typically follow the Pecking Order Theory in their day-to-day operations. They use internal cash first because it avoids the transaction costs and scrutiny associated with public markets. When internal funds are exhaust</w:t>
      </w:r>
      <w:r>
        <w:t xml:space="preserve">ed, they turn to debt before issuing new equity. </w:t>
      </w:r>
      <w:r>
        <w:lastRenderedPageBreak/>
        <w:t>Issuing equity often signals to the market that managers believe the stock is overvalued, driving the price down.</w:t>
      </w:r>
    </w:p>
    <w:p w14:paraId="7FE469A5" w14:textId="77777777" w:rsidR="0009024F" w:rsidRDefault="001C6BC2" w:rsidP="007828B2">
      <w:pPr>
        <w:pStyle w:val="BodyText"/>
        <w:jc w:val="both"/>
      </w:pPr>
      <w:r>
        <w:t>Financial tools like the Weighted Average Cost of Capital (WACC) calculations help clarify th</w:t>
      </w:r>
      <w:r>
        <w:t>ese decisions, but they do not solve the underlying problem of market signaling. Managers must therefore use continuous forecasting and scenario planning to anticipate when they will need external financing. If a firm knows it will require significant capi</w:t>
      </w:r>
      <w:r>
        <w:t>tal in three years, it can adjust its dividend policy or start building cash reserves now, rather than being forced into an unfavorable debt or equity issuance later.</w:t>
      </w:r>
    </w:p>
    <w:p w14:paraId="78B5E642" w14:textId="77777777" w:rsidR="0009024F" w:rsidRDefault="001C6BC2" w:rsidP="007828B2">
      <w:pPr>
        <w:pStyle w:val="Heading2"/>
        <w:jc w:val="both"/>
      </w:pPr>
      <w:bookmarkStart w:id="27" w:name="Xa8254bbfb727fb06e1535870d43edea6ca81547"/>
      <w:bookmarkEnd w:id="26"/>
      <w:r>
        <w:t>Aligning Performance Metrics with Shareholder Wealth</w:t>
      </w:r>
    </w:p>
    <w:p w14:paraId="754F73F9" w14:textId="77777777" w:rsidR="0009024F" w:rsidRDefault="001C6BC2" w:rsidP="007828B2">
      <w:pPr>
        <w:pStyle w:val="FirstParagraph"/>
        <w:jc w:val="both"/>
      </w:pPr>
      <w:r>
        <w:t>Traditional accounting metrics prese</w:t>
      </w:r>
      <w:r>
        <w:t>nt a significant hurdle to effective financial management. Metrics like Return on Investment (ROI) and Earnings Per Share (EPS) encourage short-term thinking. A manager evaluated strictly on current-year ROI might delay necessary maintenance or cut researc</w:t>
      </w:r>
      <w:r>
        <w:t>h and development funding. These actions boost the immediate financial metrics but erode the company’s long-term competitive position.</w:t>
      </w:r>
    </w:p>
    <w:p w14:paraId="04211D5C" w14:textId="77777777" w:rsidR="0009024F" w:rsidRDefault="001C6BC2" w:rsidP="007828B2">
      <w:pPr>
        <w:pStyle w:val="BodyText"/>
        <w:jc w:val="both"/>
      </w:pPr>
      <w:r>
        <w:t>Organizations resolve this issue by shifting their performance evaluation to value-based metrics like Economic Value Adde</w:t>
      </w:r>
      <w:r>
        <w:t>d (EVA). EVA explicitly deducts the cost of the capital used to generate profits. If a division makes a profit but fails to cover the cost of the capital invested in it, EVA reveals that the division is actually destroying shareholder wealth. This tool for</w:t>
      </w:r>
      <w:r>
        <w:t>ces operational managers to think like owners. They can no longer simply chase revenue; they must generate returns that exceed the expectations of both debt and equity investors.</w:t>
      </w:r>
    </w:p>
    <w:p w14:paraId="056FF651" w14:textId="77777777" w:rsidR="0009024F" w:rsidRDefault="001C6BC2" w:rsidP="007828B2">
      <w:pPr>
        <w:pStyle w:val="BodyText"/>
        <w:jc w:val="both"/>
      </w:pPr>
      <w:r>
        <w:lastRenderedPageBreak/>
        <w:t>Implementing EVA or similar frameworks requires robust, accurate budgeting sy</w:t>
      </w:r>
      <w:r>
        <w:t xml:space="preserve">stems. A budget cannot merely be a static spreadsheet used to constrain spending. It must be a dynamic tool that links capital allocation directly to expected economic profit. Rolling forecasts support this integration by allowing managers to adjust their </w:t>
      </w:r>
      <w:r>
        <w:t>expectations as new data becomes available, ensuring performance metrics remain relevant and useful throughout the fiscal year.</w:t>
      </w:r>
    </w:p>
    <w:p w14:paraId="33493521" w14:textId="77777777" w:rsidR="0009024F" w:rsidRDefault="001C6BC2" w:rsidP="007828B2">
      <w:pPr>
        <w:pStyle w:val="Heading1"/>
        <w:jc w:val="both"/>
      </w:pPr>
      <w:bookmarkStart w:id="28" w:name="conclusion"/>
      <w:bookmarkEnd w:id="24"/>
      <w:bookmarkEnd w:id="27"/>
      <w:r>
        <w:t>Conclusion</w:t>
      </w:r>
    </w:p>
    <w:p w14:paraId="1A87F334" w14:textId="77777777" w:rsidR="0009024F" w:rsidRDefault="001C6BC2" w:rsidP="007828B2">
      <w:pPr>
        <w:pStyle w:val="FirstParagraph"/>
        <w:jc w:val="both"/>
      </w:pPr>
      <w:r>
        <w:t xml:space="preserve">This assignment examined the relationship between financial planning and strategic decision-making, emphasizing that </w:t>
      </w:r>
      <w:r>
        <w:t>the two functions are inextricably linked. An organization’s strategic vision is essentially meaningless if it lacks the financial architecture required to support it.</w:t>
      </w:r>
    </w:p>
    <w:p w14:paraId="6C89DEEA" w14:textId="77777777" w:rsidR="0009024F" w:rsidRDefault="001C6BC2" w:rsidP="007828B2">
      <w:pPr>
        <w:pStyle w:val="BodyText"/>
        <w:jc w:val="both"/>
      </w:pPr>
      <w:r>
        <w:t>Through the mechanisms of comprehensive planning, dynamic budgeting, and continuous forecasting, organizations translate their long-term goals into immediate operational realities. Capital budgeting techniques, particularly NPV augmented with real options,</w:t>
      </w:r>
      <w:r>
        <w:t xml:space="preserve"> ensure that scarce resources are deployed only into projects that tangibly increase shareholder wealth. Furthermore, understanding the nuances of capital structure and dividend policy allows managers to finance these projects efficiently while maintaining</w:t>
      </w:r>
      <w:r>
        <w:t xml:space="preserve"> market confidence.</w:t>
      </w:r>
    </w:p>
    <w:p w14:paraId="0039ACB9" w14:textId="77777777" w:rsidR="0009024F" w:rsidRDefault="001C6BC2" w:rsidP="007828B2">
      <w:pPr>
        <w:pStyle w:val="BodyText"/>
        <w:jc w:val="both"/>
      </w:pPr>
      <w:r>
        <w:t>Perhaps the most critical takeaway is the necessity of accurate performance evaluation. Financial management is an iterative process. Using advanced metrics like EVA ensures that management receives immediate, accurate feedback on the e</w:t>
      </w:r>
      <w:r>
        <w:t>conomic reality of their decisions. When metrics align managerial incentives with shareholder interests, the organization is far better equipped to navigate the agency conflicts inherent in corporate structures.</w:t>
      </w:r>
    </w:p>
    <w:p w14:paraId="3FA3F678" w14:textId="77777777" w:rsidR="0009024F" w:rsidRDefault="001C6BC2" w:rsidP="007828B2">
      <w:pPr>
        <w:pStyle w:val="BodyText"/>
        <w:jc w:val="both"/>
      </w:pPr>
      <w:r>
        <w:lastRenderedPageBreak/>
        <w:t>Ultimately, financial planning is not a back</w:t>
      </w:r>
      <w:r>
        <w:t>-office administrative task. It is the primary engine of strategic execution. Modern organizations operate in environments characterized by rapid change and intense competition. In such settings, the ability to rapidly assess financial health, forecast cap</w:t>
      </w:r>
      <w:r>
        <w:t>ital requirements, and deploy resources efficiently constitutes a primary competitive advantage. The organizations that thrive are those that recognize financial management as the foundation of all strategic decision-making.</w:t>
      </w:r>
    </w:p>
    <w:p w14:paraId="10333B74" w14:textId="77777777" w:rsidR="0009024F" w:rsidRDefault="001C6BC2" w:rsidP="007828B2">
      <w:pPr>
        <w:pStyle w:val="Heading1"/>
        <w:jc w:val="both"/>
      </w:pPr>
      <w:bookmarkStart w:id="29" w:name="references"/>
      <w:bookmarkEnd w:id="28"/>
      <w:r>
        <w:t>References</w:t>
      </w:r>
    </w:p>
    <w:p w14:paraId="187C9B8C" w14:textId="77777777" w:rsidR="0009024F" w:rsidRDefault="001C6BC2" w:rsidP="007828B2">
      <w:pPr>
        <w:pStyle w:val="FirstParagraph"/>
        <w:jc w:val="both"/>
      </w:pPr>
      <w:r>
        <w:t>Amit, R., &amp; Schoemak</w:t>
      </w:r>
      <w:r>
        <w:t xml:space="preserve">er, P. J. H. (1993). Strategic assets and organizational rent. </w:t>
      </w:r>
      <w:r>
        <w:rPr>
          <w:i/>
          <w:iCs/>
        </w:rPr>
        <w:t>Strategic Management Journal</w:t>
      </w:r>
      <w:r>
        <w:t>, 14(1), 33-46. https://doi.org/10.1002/smj.4250140105</w:t>
      </w:r>
    </w:p>
    <w:p w14:paraId="7F680B7E" w14:textId="77777777" w:rsidR="0009024F" w:rsidRDefault="001C6BC2" w:rsidP="007828B2">
      <w:pPr>
        <w:pStyle w:val="BodyText"/>
        <w:jc w:val="both"/>
      </w:pPr>
      <w:r>
        <w:t xml:space="preserve">Barney, J. B. (1991). Firm resources and sustained competitive advantage. </w:t>
      </w:r>
      <w:r>
        <w:rPr>
          <w:i/>
          <w:iCs/>
        </w:rPr>
        <w:t>Journal of Management</w:t>
      </w:r>
      <w:r>
        <w:t>, 17(1), 99-120</w:t>
      </w:r>
      <w:r>
        <w:t>. https://doi.org/10.1177/014920639101700108</w:t>
      </w:r>
    </w:p>
    <w:p w14:paraId="558DE578" w14:textId="77777777" w:rsidR="0009024F" w:rsidRDefault="001C6BC2" w:rsidP="007828B2">
      <w:pPr>
        <w:pStyle w:val="BodyText"/>
        <w:jc w:val="both"/>
      </w:pPr>
      <w:r>
        <w:t xml:space="preserve">Berk, J., &amp; DeMarzo, P. (2020). </w:t>
      </w:r>
      <w:r>
        <w:rPr>
          <w:i/>
          <w:iCs/>
        </w:rPr>
        <w:t>Corporate Finance</w:t>
      </w:r>
      <w:r>
        <w:t xml:space="preserve"> (5th ed.). Pearson.</w:t>
      </w:r>
    </w:p>
    <w:p w14:paraId="3FA920CF" w14:textId="77777777" w:rsidR="0009024F" w:rsidRDefault="001C6BC2" w:rsidP="007828B2">
      <w:pPr>
        <w:pStyle w:val="BodyText"/>
        <w:jc w:val="both"/>
      </w:pPr>
      <w:r>
        <w:t xml:space="preserve">Bhattacharya, S. (1979). Imperfect information, dividend policy, and “the bird in the hand” fallacy. </w:t>
      </w:r>
      <w:r>
        <w:rPr>
          <w:i/>
          <w:iCs/>
        </w:rPr>
        <w:t>The Bell Journal of Economics</w:t>
      </w:r>
      <w:r>
        <w:t>, 10(1), 25</w:t>
      </w:r>
      <w:r>
        <w:t>9-270.</w:t>
      </w:r>
    </w:p>
    <w:p w14:paraId="565C7479" w14:textId="77777777" w:rsidR="0009024F" w:rsidRDefault="001C6BC2" w:rsidP="007828B2">
      <w:pPr>
        <w:pStyle w:val="BodyText"/>
        <w:jc w:val="both"/>
      </w:pPr>
      <w:r>
        <w:t xml:space="preserve">Brealey, R. A., Myers, S. C., &amp; Allen, F. (2020). </w:t>
      </w:r>
      <w:r>
        <w:rPr>
          <w:i/>
          <w:iCs/>
        </w:rPr>
        <w:t>Principles of corporate finance</w:t>
      </w:r>
      <w:r>
        <w:t xml:space="preserve"> (13th ed.). McGraw-Hill Education.</w:t>
      </w:r>
    </w:p>
    <w:p w14:paraId="33ED268A" w14:textId="77777777" w:rsidR="0009024F" w:rsidRDefault="001C6BC2" w:rsidP="007828B2">
      <w:pPr>
        <w:pStyle w:val="BodyText"/>
        <w:jc w:val="both"/>
      </w:pPr>
      <w:r>
        <w:t xml:space="preserve">Brigham, E. F., &amp; Ehrhardt, M. C. (2019). </w:t>
      </w:r>
      <w:r>
        <w:rPr>
          <w:i/>
          <w:iCs/>
        </w:rPr>
        <w:t>Financial management: Theory &amp; practice</w:t>
      </w:r>
      <w:r>
        <w:t xml:space="preserve"> (16th ed.). Cengage Learning.</w:t>
      </w:r>
    </w:p>
    <w:p w14:paraId="2BEC5B25" w14:textId="77777777" w:rsidR="0009024F" w:rsidRDefault="001C6BC2" w:rsidP="007828B2">
      <w:pPr>
        <w:pStyle w:val="BodyText"/>
        <w:jc w:val="both"/>
      </w:pPr>
      <w:r>
        <w:t>Eisenhardt, K. M. (1</w:t>
      </w:r>
      <w:r>
        <w:t xml:space="preserve">989). Agency theory: An assessment and review. </w:t>
      </w:r>
      <w:r>
        <w:rPr>
          <w:i/>
          <w:iCs/>
        </w:rPr>
        <w:t>Academy of Management Review</w:t>
      </w:r>
      <w:r>
        <w:t>, 14(1), 57-74. https://doi.org/10.5465/amr.1989.4279003</w:t>
      </w:r>
    </w:p>
    <w:p w14:paraId="25715A35" w14:textId="77777777" w:rsidR="0009024F" w:rsidRDefault="001C6BC2" w:rsidP="007828B2">
      <w:pPr>
        <w:pStyle w:val="BodyText"/>
        <w:jc w:val="both"/>
      </w:pPr>
      <w:r>
        <w:lastRenderedPageBreak/>
        <w:t xml:space="preserve">Fama, E. F., &amp; Jensen, M. C. (1983). Separation of ownership and control. </w:t>
      </w:r>
      <w:r>
        <w:rPr>
          <w:i/>
          <w:iCs/>
        </w:rPr>
        <w:t>Journal of Law and Economics</w:t>
      </w:r>
      <w:r>
        <w:t>, 26(2), 301-325.</w:t>
      </w:r>
    </w:p>
    <w:p w14:paraId="089E6CD6" w14:textId="77777777" w:rsidR="0009024F" w:rsidRDefault="001C6BC2" w:rsidP="007828B2">
      <w:pPr>
        <w:pStyle w:val="BodyText"/>
        <w:jc w:val="both"/>
      </w:pPr>
      <w:r>
        <w:t>Grah</w:t>
      </w:r>
      <w:r>
        <w:t xml:space="preserve">am, J. R., Harvey, C. R., &amp; Rajgopal, S. (2005). The economic implications of corporate financial reporting. </w:t>
      </w:r>
      <w:r>
        <w:rPr>
          <w:i/>
          <w:iCs/>
        </w:rPr>
        <w:t>Journal of Accounting and Economics</w:t>
      </w:r>
      <w:r>
        <w:t>, 40(1-3), 3-73. https://doi.org/10.1016/j.jacceco.2005.01.002</w:t>
      </w:r>
    </w:p>
    <w:p w14:paraId="40C20F74" w14:textId="77777777" w:rsidR="0009024F" w:rsidRDefault="001C6BC2" w:rsidP="007828B2">
      <w:pPr>
        <w:pStyle w:val="BodyText"/>
        <w:jc w:val="both"/>
      </w:pPr>
      <w:r>
        <w:t xml:space="preserve">Higgins, R. C. (2018). </w:t>
      </w:r>
      <w:r>
        <w:rPr>
          <w:i/>
          <w:iCs/>
        </w:rPr>
        <w:t>Analysis for financial man</w:t>
      </w:r>
      <w:r>
        <w:rPr>
          <w:i/>
          <w:iCs/>
        </w:rPr>
        <w:t>agement</w:t>
      </w:r>
      <w:r>
        <w:t xml:space="preserve"> (12th ed.). McGraw-Hill Education.</w:t>
      </w:r>
    </w:p>
    <w:p w14:paraId="6FD7BA71" w14:textId="77777777" w:rsidR="0009024F" w:rsidRDefault="001C6BC2" w:rsidP="007828B2">
      <w:pPr>
        <w:pStyle w:val="BodyText"/>
        <w:jc w:val="both"/>
      </w:pPr>
      <w:r>
        <w:t xml:space="preserve">Hope, J., &amp; Fraser, R. (2003). Who needs budgets? </w:t>
      </w:r>
      <w:r>
        <w:rPr>
          <w:i/>
          <w:iCs/>
        </w:rPr>
        <w:t>Harvard Business Review</w:t>
      </w:r>
      <w:r>
        <w:t>, 81(2), 108-115.</w:t>
      </w:r>
    </w:p>
    <w:p w14:paraId="42187112" w14:textId="77777777" w:rsidR="0009024F" w:rsidRDefault="001C6BC2" w:rsidP="007828B2">
      <w:pPr>
        <w:pStyle w:val="BodyText"/>
        <w:jc w:val="both"/>
      </w:pPr>
      <w:r>
        <w:t xml:space="preserve">Jensen, M. C., &amp; Meckling, W. H. (1976). Theory of the firm: Managerial behavior, agency costs and ownership structure. </w:t>
      </w:r>
      <w:r>
        <w:rPr>
          <w:i/>
          <w:iCs/>
        </w:rPr>
        <w:t>Jo</w:t>
      </w:r>
      <w:r>
        <w:rPr>
          <w:i/>
          <w:iCs/>
        </w:rPr>
        <w:t>urnal of Financial Economics</w:t>
      </w:r>
      <w:r>
        <w:t>, 3(4), 305-360.</w:t>
      </w:r>
    </w:p>
    <w:p w14:paraId="3EB6884B" w14:textId="77777777" w:rsidR="0009024F" w:rsidRDefault="001C6BC2" w:rsidP="007828B2">
      <w:pPr>
        <w:pStyle w:val="BodyText"/>
        <w:jc w:val="both"/>
      </w:pPr>
      <w:r>
        <w:t xml:space="preserve">Kaplan, R. S., &amp; Norton, D. P. (1996). Using the balanced scorecard as a strategic management system. </w:t>
      </w:r>
      <w:r>
        <w:rPr>
          <w:i/>
          <w:iCs/>
        </w:rPr>
        <w:t>Harvard Business Review</w:t>
      </w:r>
      <w:r>
        <w:t>, 74(1), 75-85.</w:t>
      </w:r>
    </w:p>
    <w:p w14:paraId="7B978D65" w14:textId="77777777" w:rsidR="0009024F" w:rsidRDefault="001C6BC2" w:rsidP="007828B2">
      <w:pPr>
        <w:pStyle w:val="BodyText"/>
        <w:jc w:val="both"/>
      </w:pPr>
      <w:r>
        <w:t xml:space="preserve">Koller, T., Goedhart, M., &amp; Wessels, D. (2020). </w:t>
      </w:r>
      <w:r>
        <w:rPr>
          <w:i/>
          <w:iCs/>
        </w:rPr>
        <w:t>Valuation: Measuring a</w:t>
      </w:r>
      <w:r>
        <w:rPr>
          <w:i/>
          <w:iCs/>
        </w:rPr>
        <w:t>nd Managing the Value of Companies</w:t>
      </w:r>
      <w:r>
        <w:t xml:space="preserve"> (7th ed.). John Wiley &amp; Sons.</w:t>
      </w:r>
    </w:p>
    <w:p w14:paraId="001847F8" w14:textId="77777777" w:rsidR="0009024F" w:rsidRDefault="001C6BC2" w:rsidP="007828B2">
      <w:pPr>
        <w:pStyle w:val="BodyText"/>
        <w:jc w:val="both"/>
      </w:pPr>
      <w:r>
        <w:t xml:space="preserve">Kraus, A., &amp; Litzenberger, R. H. (1973). A state-preference model of optimal financial leverage. </w:t>
      </w:r>
      <w:r>
        <w:rPr>
          <w:i/>
          <w:iCs/>
        </w:rPr>
        <w:t>The Journal of Finance</w:t>
      </w:r>
      <w:r>
        <w:t>, 28(4), 911-922.</w:t>
      </w:r>
    </w:p>
    <w:p w14:paraId="3E8D9457" w14:textId="77777777" w:rsidR="0009024F" w:rsidRDefault="001C6BC2" w:rsidP="007828B2">
      <w:pPr>
        <w:pStyle w:val="BodyText"/>
        <w:jc w:val="both"/>
      </w:pPr>
      <w:r>
        <w:t xml:space="preserve">Mankins, M. C., &amp; Steele, R. (2005). Turning great strategy into great performance. </w:t>
      </w:r>
      <w:r>
        <w:rPr>
          <w:i/>
          <w:iCs/>
        </w:rPr>
        <w:t>Harvard Business Review</w:t>
      </w:r>
      <w:r>
        <w:t>, 83(7/8), 64-72.</w:t>
      </w:r>
    </w:p>
    <w:p w14:paraId="58809DA1" w14:textId="77777777" w:rsidR="0009024F" w:rsidRDefault="001C6BC2" w:rsidP="007828B2">
      <w:pPr>
        <w:pStyle w:val="BodyText"/>
        <w:jc w:val="both"/>
      </w:pPr>
      <w:r>
        <w:t xml:space="preserve">Modigliani, F., &amp; Miller, M. H. (1958). The cost of capital, corporation finance and the theory of investment. </w:t>
      </w:r>
      <w:r>
        <w:rPr>
          <w:i/>
          <w:iCs/>
        </w:rPr>
        <w:t>The American Economi</w:t>
      </w:r>
      <w:r>
        <w:rPr>
          <w:i/>
          <w:iCs/>
        </w:rPr>
        <w:t>c Review</w:t>
      </w:r>
      <w:r>
        <w:t>, 48(3), 261-297.</w:t>
      </w:r>
    </w:p>
    <w:p w14:paraId="592C10AA" w14:textId="77777777" w:rsidR="0009024F" w:rsidRDefault="001C6BC2" w:rsidP="007828B2">
      <w:pPr>
        <w:pStyle w:val="BodyText"/>
        <w:jc w:val="both"/>
      </w:pPr>
      <w:r>
        <w:lastRenderedPageBreak/>
        <w:t xml:space="preserve">Myers, S. C., &amp; Majluf, N. S. (1984). Corporate financing and investment decisions when firms have information that investors do not have. </w:t>
      </w:r>
      <w:r>
        <w:rPr>
          <w:i/>
          <w:iCs/>
        </w:rPr>
        <w:t>Journal of Financial Economics</w:t>
      </w:r>
      <w:r>
        <w:t>, 13(2), 187-221.</w:t>
      </w:r>
    </w:p>
    <w:p w14:paraId="0A88282C" w14:textId="77777777" w:rsidR="0009024F" w:rsidRDefault="001C6BC2" w:rsidP="007828B2">
      <w:pPr>
        <w:pStyle w:val="BodyText"/>
        <w:jc w:val="both"/>
      </w:pPr>
      <w:r>
        <w:t>Ross, S. A., Westerfield, R. W., &amp; Jaffe, J</w:t>
      </w:r>
      <w:r>
        <w:t xml:space="preserve">. (2019). </w:t>
      </w:r>
      <w:r>
        <w:rPr>
          <w:i/>
          <w:iCs/>
        </w:rPr>
        <w:t>Corporate Finance</w:t>
      </w:r>
      <w:r>
        <w:t xml:space="preserve"> (12th ed.). McGraw-Hill Education.</w:t>
      </w:r>
    </w:p>
    <w:p w14:paraId="2479CE5E" w14:textId="77777777" w:rsidR="0009024F" w:rsidRDefault="001C6BC2" w:rsidP="007828B2">
      <w:pPr>
        <w:pStyle w:val="BodyText"/>
        <w:jc w:val="both"/>
      </w:pPr>
      <w:r>
        <w:t xml:space="preserve">Shim, J. K., Siegel, J. G., &amp; Shim, A. I. (2011). </w:t>
      </w:r>
      <w:r>
        <w:rPr>
          <w:i/>
          <w:iCs/>
        </w:rPr>
        <w:t>Budgeting basics and beyond</w:t>
      </w:r>
      <w:r>
        <w:t xml:space="preserve"> (4th ed.). John Wiley &amp; Sons.</w:t>
      </w:r>
    </w:p>
    <w:p w14:paraId="6FEEB055" w14:textId="77777777" w:rsidR="0009024F" w:rsidRDefault="001C6BC2" w:rsidP="007828B2">
      <w:pPr>
        <w:pStyle w:val="BodyText"/>
        <w:jc w:val="both"/>
      </w:pPr>
      <w:r>
        <w:t xml:space="preserve">Stewart, G. B. (1991). </w:t>
      </w:r>
      <w:r>
        <w:rPr>
          <w:i/>
          <w:iCs/>
        </w:rPr>
        <w:t>The quest for value: The EVA management guide</w:t>
      </w:r>
      <w:r>
        <w:t>. HarperBusiness.</w:t>
      </w:r>
    </w:p>
    <w:p w14:paraId="32EF91F5" w14:textId="77777777" w:rsidR="0009024F" w:rsidRDefault="001C6BC2" w:rsidP="007828B2">
      <w:pPr>
        <w:pStyle w:val="BodyText"/>
        <w:jc w:val="both"/>
      </w:pPr>
      <w:r>
        <w:t xml:space="preserve">Trigeorgis, L. (1996). </w:t>
      </w:r>
      <w:r>
        <w:rPr>
          <w:i/>
          <w:iCs/>
        </w:rPr>
        <w:t>Real options: Managerial flexibility and strategy in resource allocation</w:t>
      </w:r>
      <w:r>
        <w:t>. MIT Press.</w:t>
      </w:r>
    </w:p>
    <w:p w14:paraId="2BBF3F31" w14:textId="77777777" w:rsidR="0009024F" w:rsidRDefault="001C6BC2" w:rsidP="007828B2">
      <w:pPr>
        <w:pStyle w:val="Heading1"/>
        <w:jc w:val="both"/>
      </w:pPr>
      <w:bookmarkStart w:id="30" w:name="appendices"/>
      <w:bookmarkEnd w:id="29"/>
      <w:r>
        <w:t>Appendices</w:t>
      </w:r>
    </w:p>
    <w:p w14:paraId="62E816D0" w14:textId="77777777" w:rsidR="0009024F" w:rsidRDefault="001C6BC2" w:rsidP="007828B2">
      <w:pPr>
        <w:pStyle w:val="Heading3"/>
        <w:jc w:val="both"/>
      </w:pPr>
      <w:bookmarkStart w:id="31" w:name="Xc0af5bd5e9bdd13d7c825cd3a08a4120ea2db0d"/>
      <w:r>
        <w:t>Appendix A: Strategic Financial Planning Framework</w:t>
      </w:r>
    </w:p>
    <w:p w14:paraId="7CC0057F" w14:textId="77777777" w:rsidR="0009024F" w:rsidRDefault="001C6BC2" w:rsidP="007828B2">
      <w:pPr>
        <w:pStyle w:val="FirstParagraph"/>
        <w:jc w:val="both"/>
      </w:pPr>
      <w:r>
        <w:t>The following framework outlines the cyclical process organizations use to align their financial resources with long-term strategic objectives. This model emphasizes the integration of strategic planning, financial forecasting, and continuous performance e</w:t>
      </w:r>
      <w:r>
        <w:t>valuation to mitigate agency problems and optimize resource allocation.</w:t>
      </w:r>
    </w:p>
    <w:p w14:paraId="6D9FD477" w14:textId="77777777" w:rsidR="0009024F" w:rsidRDefault="001C6BC2" w:rsidP="007828B2">
      <w:pPr>
        <w:pStyle w:val="BodyText"/>
        <w:jc w:val="both"/>
      </w:pPr>
      <w:r>
        <w:rPr>
          <w:b/>
          <w:bCs/>
        </w:rPr>
        <w:t>Phase 1: Strategic Objective Setting</w:t>
      </w:r>
      <w:r>
        <w:t xml:space="preserve"> * </w:t>
      </w:r>
      <w:r>
        <w:rPr>
          <w:b/>
          <w:bCs/>
        </w:rPr>
        <w:t>Vision &amp; Mission Alignment:</w:t>
      </w:r>
      <w:r>
        <w:t xml:space="preserve"> Defining the long-term goals of the organization. * </w:t>
      </w:r>
      <w:r>
        <w:rPr>
          <w:b/>
          <w:bCs/>
        </w:rPr>
        <w:t>Market &amp; Competitive Analysis:</w:t>
      </w:r>
      <w:r>
        <w:t xml:space="preserve"> Evaluating external opportunities </w:t>
      </w:r>
      <w:r>
        <w:t xml:space="preserve">and threats (SWOT/PESTLE analysis). * </w:t>
      </w:r>
      <w:r>
        <w:rPr>
          <w:b/>
          <w:bCs/>
        </w:rPr>
        <w:t>Key Performance Indicators (KPIs):</w:t>
      </w:r>
      <w:r>
        <w:t xml:space="preserve"> Establishing measurable targets (e.g., ROI, ROE, EBITDA margin) to ensure goal congruence between management and shareholders.</w:t>
      </w:r>
    </w:p>
    <w:p w14:paraId="27A6D8D6" w14:textId="77777777" w:rsidR="0009024F" w:rsidRDefault="001C6BC2" w:rsidP="007828B2">
      <w:pPr>
        <w:pStyle w:val="BodyText"/>
        <w:jc w:val="both"/>
      </w:pPr>
      <w:r>
        <w:rPr>
          <w:b/>
          <w:bCs/>
        </w:rPr>
        <w:lastRenderedPageBreak/>
        <w:t>Phase 2: Financial Forecasting &amp; Capital Allocation</w:t>
      </w:r>
      <w:r>
        <w:t xml:space="preserve"> * </w:t>
      </w:r>
      <w:r>
        <w:rPr>
          <w:b/>
          <w:bCs/>
        </w:rPr>
        <w:t>Re</w:t>
      </w:r>
      <w:r>
        <w:rPr>
          <w:b/>
          <w:bCs/>
        </w:rPr>
        <w:t>venue Projections:</w:t>
      </w:r>
      <w:r>
        <w:t xml:space="preserve"> Estimating future cash flows based on market analysis. * </w:t>
      </w:r>
      <w:r>
        <w:rPr>
          <w:b/>
          <w:bCs/>
        </w:rPr>
        <w:t>Capital Budgeting:</w:t>
      </w:r>
      <w:r>
        <w:t xml:space="preserve"> Utilizing Net Present Value (NPV) and Internal Rate of Return (IRR) metrics to select projects that maximize shareholder value. * </w:t>
      </w:r>
      <w:r>
        <w:rPr>
          <w:b/>
          <w:bCs/>
        </w:rPr>
        <w:t>Risk Assessment:</w:t>
      </w:r>
      <w:r>
        <w:t xml:space="preserve"> Performing sen</w:t>
      </w:r>
      <w:r>
        <w:t>sitivity and scenario analysis to stress-test financial resilience against market volatility.</w:t>
      </w:r>
    </w:p>
    <w:p w14:paraId="46D94A1B" w14:textId="77777777" w:rsidR="0009024F" w:rsidRDefault="001C6BC2" w:rsidP="007828B2">
      <w:pPr>
        <w:pStyle w:val="BodyText"/>
        <w:jc w:val="both"/>
      </w:pPr>
      <w:r>
        <w:rPr>
          <w:b/>
          <w:bCs/>
        </w:rPr>
        <w:t>Phase 3: Budget Formulation &amp; Execution</w:t>
      </w:r>
      <w:r>
        <w:t xml:space="preserve"> * </w:t>
      </w:r>
      <w:r>
        <w:rPr>
          <w:b/>
          <w:bCs/>
        </w:rPr>
        <w:t>Resource Distribution:</w:t>
      </w:r>
      <w:r>
        <w:t xml:space="preserve"> Assigning budgets to departments ensuring operational alignment with strategic objectives. * </w:t>
      </w:r>
      <w:r>
        <w:rPr>
          <w:b/>
          <w:bCs/>
        </w:rPr>
        <w:t>Ince</w:t>
      </w:r>
      <w:r>
        <w:rPr>
          <w:b/>
          <w:bCs/>
        </w:rPr>
        <w:t>ntive Design:</w:t>
      </w:r>
      <w:r>
        <w:t xml:space="preserve"> Structuring compensation and performance bonuses based on achieved metrics to minimize agency costs. * </w:t>
      </w:r>
      <w:r>
        <w:rPr>
          <w:b/>
          <w:bCs/>
        </w:rPr>
        <w:t>Operational Integration:</w:t>
      </w:r>
      <w:r>
        <w:t xml:space="preserve"> Implementing the financial plan through daily activities and continuous cross-departmental communication.</w:t>
      </w:r>
    </w:p>
    <w:p w14:paraId="18FCC8C6" w14:textId="77777777" w:rsidR="0009024F" w:rsidRDefault="001C6BC2" w:rsidP="007828B2">
      <w:pPr>
        <w:pStyle w:val="BodyText"/>
        <w:jc w:val="both"/>
      </w:pPr>
      <w:r>
        <w:rPr>
          <w:b/>
          <w:bCs/>
        </w:rPr>
        <w:t>Phase 4:</w:t>
      </w:r>
      <w:r>
        <w:rPr>
          <w:b/>
          <w:bCs/>
        </w:rPr>
        <w:t xml:space="preserve"> Monitoring, Variance Analysis, &amp; Control</w:t>
      </w:r>
      <w:r>
        <w:t xml:space="preserve"> * </w:t>
      </w:r>
      <w:r>
        <w:rPr>
          <w:b/>
          <w:bCs/>
        </w:rPr>
        <w:t>Performance Tracking:</w:t>
      </w:r>
      <w:r>
        <w:t xml:space="preserve"> Continuously measuring actual financial results against budgeted targets. * </w:t>
      </w:r>
      <w:r>
        <w:rPr>
          <w:b/>
          <w:bCs/>
        </w:rPr>
        <w:t>Variance Investigation:</w:t>
      </w:r>
      <w:r>
        <w:t xml:space="preserve"> Identifying the root causes of significant favorable or unfavorable deviations. * </w:t>
      </w:r>
      <w:r>
        <w:rPr>
          <w:b/>
          <w:bCs/>
        </w:rPr>
        <w:t>Strategi</w:t>
      </w:r>
      <w:r>
        <w:rPr>
          <w:b/>
          <w:bCs/>
        </w:rPr>
        <w:t>c Adaptation:</w:t>
      </w:r>
      <w:r>
        <w:t xml:space="preserve"> Iteratively adjusting financial strategies, redistributing capital, or redefining objectives based on performance feedback and changing market conditions.</w:t>
      </w:r>
    </w:p>
    <w:p w14:paraId="34AF1B0A" w14:textId="77777777" w:rsidR="0009024F" w:rsidRDefault="001C6BC2" w:rsidP="007828B2">
      <w:pPr>
        <w:pStyle w:val="Heading3"/>
        <w:jc w:val="both"/>
      </w:pPr>
      <w:bookmarkStart w:id="32" w:name="X845b54d17dc6218b8a798ccffe8e9075876c359"/>
      <w:bookmarkEnd w:id="31"/>
      <w:r>
        <w:t>Appendix B: Budget Variance Analysis Table (Sample)</w:t>
      </w:r>
    </w:p>
    <w:tbl>
      <w:tblPr>
        <w:tblStyle w:val="Table"/>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1368"/>
        <w:gridCol w:w="1368"/>
        <w:gridCol w:w="1368"/>
        <w:gridCol w:w="1368"/>
        <w:gridCol w:w="1368"/>
        <w:gridCol w:w="1368"/>
        <w:gridCol w:w="1368"/>
      </w:tblGrid>
      <w:tr w:rsidR="0009024F" w14:paraId="5BE5AC10" w14:textId="77777777" w:rsidTr="007828B2">
        <w:trPr>
          <w:cnfStyle w:val="100000000000" w:firstRow="1" w:lastRow="0" w:firstColumn="0" w:lastColumn="0" w:oddVBand="0" w:evenVBand="0" w:oddHBand="0" w:evenHBand="0" w:firstRowFirstColumn="0" w:firstRowLastColumn="0" w:lastRowFirstColumn="0" w:lastRowLastColumn="0"/>
          <w:tblHeader/>
        </w:trPr>
        <w:tc>
          <w:tcPr>
            <w:tcW w:w="1131" w:type="dxa"/>
            <w:tcBorders>
              <w:bottom w:val="none" w:sz="0" w:space="0" w:color="auto"/>
            </w:tcBorders>
          </w:tcPr>
          <w:p w14:paraId="3CAD1092" w14:textId="77777777" w:rsidR="0009024F" w:rsidRDefault="001C6BC2" w:rsidP="007828B2">
            <w:pPr>
              <w:pStyle w:val="Compact"/>
              <w:jc w:val="both"/>
            </w:pPr>
            <w:r>
              <w:t>Metric</w:t>
            </w:r>
          </w:p>
        </w:tc>
        <w:tc>
          <w:tcPr>
            <w:tcW w:w="1131" w:type="dxa"/>
            <w:tcBorders>
              <w:bottom w:val="none" w:sz="0" w:space="0" w:color="auto"/>
            </w:tcBorders>
          </w:tcPr>
          <w:p w14:paraId="566184E2" w14:textId="77777777" w:rsidR="0009024F" w:rsidRDefault="001C6BC2" w:rsidP="007828B2">
            <w:pPr>
              <w:pStyle w:val="Compact"/>
              <w:jc w:val="both"/>
            </w:pPr>
            <w:r>
              <w:t>Budgeted Amount (</w:t>
            </w:r>
            <m:oMath>
              <m:r>
                <m:rPr>
                  <m:sty m:val="p"/>
                </m:rPr>
                <w:rPr>
                  <w:rFonts w:ascii="Cambria Math" w:hAnsi="Cambria Math"/>
                </w:rPr>
                <m:t>)|</m:t>
              </m:r>
              <m:r>
                <w:rPr>
                  <w:rFonts w:ascii="Cambria Math" w:hAnsi="Cambria Math"/>
                </w:rPr>
                <m:t>Actu</m:t>
              </m:r>
              <m:r>
                <w:rPr>
                  <w:rFonts w:ascii="Cambria Math" w:hAnsi="Cambria Math"/>
                </w:rPr>
                <m:t>a</m:t>
              </m:r>
              <m:r>
                <w:rPr>
                  <w:rFonts w:ascii="Cambria Math" w:hAnsi="Cambria Math"/>
                </w:rPr>
                <m:t>lAmount</m:t>
              </m:r>
              <m:r>
                <m:rPr>
                  <m:sty m:val="p"/>
                </m:rPr>
                <w:rPr>
                  <w:rFonts w:ascii="Cambria Math" w:hAnsi="Cambria Math"/>
                </w:rPr>
                <m:t>(</m:t>
              </m:r>
            </m:oMath>
            <w:r>
              <w:t>)</w:t>
            </w:r>
          </w:p>
        </w:tc>
        <w:tc>
          <w:tcPr>
            <w:tcW w:w="1131" w:type="dxa"/>
            <w:tcBorders>
              <w:bottom w:val="none" w:sz="0" w:space="0" w:color="auto"/>
            </w:tcBorders>
          </w:tcPr>
          <w:p w14:paraId="7633B5C1" w14:textId="77777777" w:rsidR="0009024F" w:rsidRDefault="001C6BC2" w:rsidP="007828B2">
            <w:pPr>
              <w:pStyle w:val="Compact"/>
              <w:jc w:val="both"/>
            </w:pPr>
            <w:r>
              <w:t>Variance ($)</w:t>
            </w:r>
          </w:p>
        </w:tc>
        <w:tc>
          <w:tcPr>
            <w:tcW w:w="1131" w:type="dxa"/>
            <w:tcBorders>
              <w:bottom w:val="none" w:sz="0" w:space="0" w:color="auto"/>
            </w:tcBorders>
          </w:tcPr>
          <w:p w14:paraId="38D09D48" w14:textId="77777777" w:rsidR="0009024F" w:rsidRDefault="001C6BC2" w:rsidP="007828B2">
            <w:pPr>
              <w:pStyle w:val="Compact"/>
              <w:jc w:val="both"/>
            </w:pPr>
            <w:r>
              <w:t>Variance (%)</w:t>
            </w:r>
          </w:p>
        </w:tc>
        <w:tc>
          <w:tcPr>
            <w:tcW w:w="1131" w:type="dxa"/>
            <w:tcBorders>
              <w:bottom w:val="none" w:sz="0" w:space="0" w:color="auto"/>
            </w:tcBorders>
          </w:tcPr>
          <w:p w14:paraId="362EA9D9" w14:textId="77777777" w:rsidR="0009024F" w:rsidRDefault="001C6BC2" w:rsidP="007828B2">
            <w:pPr>
              <w:pStyle w:val="Compact"/>
              <w:jc w:val="both"/>
            </w:pPr>
            <w:r>
              <w:t>Status</w:t>
            </w:r>
          </w:p>
        </w:tc>
        <w:tc>
          <w:tcPr>
            <w:tcW w:w="1131" w:type="dxa"/>
            <w:tcBorders>
              <w:bottom w:val="none" w:sz="0" w:space="0" w:color="auto"/>
            </w:tcBorders>
          </w:tcPr>
          <w:p w14:paraId="3736C9BE" w14:textId="77777777" w:rsidR="0009024F" w:rsidRDefault="001C6BC2" w:rsidP="007828B2">
            <w:pPr>
              <w:pStyle w:val="Compact"/>
              <w:jc w:val="both"/>
            </w:pPr>
            <w:r>
              <w:t>Corrective Action / Note</w:t>
            </w:r>
          </w:p>
        </w:tc>
        <w:tc>
          <w:tcPr>
            <w:tcW w:w="1131" w:type="dxa"/>
            <w:tcBorders>
              <w:bottom w:val="none" w:sz="0" w:space="0" w:color="auto"/>
            </w:tcBorders>
          </w:tcPr>
          <w:p w14:paraId="4BE644AE" w14:textId="77777777" w:rsidR="0009024F" w:rsidRDefault="0009024F" w:rsidP="007828B2">
            <w:pPr>
              <w:pStyle w:val="Compact"/>
              <w:jc w:val="both"/>
            </w:pPr>
          </w:p>
        </w:tc>
      </w:tr>
      <w:tr w:rsidR="0009024F" w14:paraId="0734F9F6" w14:textId="77777777" w:rsidTr="007828B2">
        <w:tc>
          <w:tcPr>
            <w:tcW w:w="1131" w:type="dxa"/>
          </w:tcPr>
          <w:p w14:paraId="1506CE63" w14:textId="77777777" w:rsidR="0009024F" w:rsidRDefault="001C6BC2" w:rsidP="007828B2">
            <w:pPr>
              <w:pStyle w:val="Compact"/>
              <w:jc w:val="both"/>
            </w:pPr>
            <w:r>
              <w:rPr>
                <w:b/>
                <w:bCs/>
              </w:rPr>
              <w:lastRenderedPageBreak/>
              <w:t>Sales Revenue</w:t>
            </w:r>
          </w:p>
        </w:tc>
        <w:tc>
          <w:tcPr>
            <w:tcW w:w="1131" w:type="dxa"/>
          </w:tcPr>
          <w:p w14:paraId="41286702" w14:textId="77777777" w:rsidR="0009024F" w:rsidRDefault="001C6BC2" w:rsidP="007828B2">
            <w:pPr>
              <w:pStyle w:val="Compact"/>
              <w:jc w:val="both"/>
            </w:pPr>
            <w:r>
              <w:t>1,500,000</w:t>
            </w:r>
          </w:p>
        </w:tc>
        <w:tc>
          <w:tcPr>
            <w:tcW w:w="1131" w:type="dxa"/>
          </w:tcPr>
          <w:p w14:paraId="460496A9" w14:textId="77777777" w:rsidR="0009024F" w:rsidRDefault="001C6BC2" w:rsidP="007828B2">
            <w:pPr>
              <w:pStyle w:val="Compact"/>
              <w:jc w:val="both"/>
            </w:pPr>
            <w:r>
              <w:t>1,425,000</w:t>
            </w:r>
          </w:p>
        </w:tc>
        <w:tc>
          <w:tcPr>
            <w:tcW w:w="1131" w:type="dxa"/>
          </w:tcPr>
          <w:p w14:paraId="3914B08E" w14:textId="77777777" w:rsidR="0009024F" w:rsidRDefault="001C6BC2" w:rsidP="007828B2">
            <w:pPr>
              <w:pStyle w:val="Compact"/>
              <w:jc w:val="both"/>
            </w:pPr>
            <w:r>
              <w:t>(75,000)</w:t>
            </w:r>
          </w:p>
        </w:tc>
        <w:tc>
          <w:tcPr>
            <w:tcW w:w="1131" w:type="dxa"/>
          </w:tcPr>
          <w:p w14:paraId="69C60549" w14:textId="77777777" w:rsidR="0009024F" w:rsidRDefault="001C6BC2" w:rsidP="007828B2">
            <w:pPr>
              <w:pStyle w:val="Compact"/>
              <w:jc w:val="both"/>
            </w:pPr>
            <w:r>
              <w:t>-5.0%</w:t>
            </w:r>
          </w:p>
        </w:tc>
        <w:tc>
          <w:tcPr>
            <w:tcW w:w="1131" w:type="dxa"/>
          </w:tcPr>
          <w:p w14:paraId="6CC5A938" w14:textId="77777777" w:rsidR="0009024F" w:rsidRDefault="001C6BC2" w:rsidP="007828B2">
            <w:pPr>
              <w:pStyle w:val="Compact"/>
              <w:jc w:val="both"/>
            </w:pPr>
            <w:r>
              <w:t>Unfavorable</w:t>
            </w:r>
          </w:p>
        </w:tc>
        <w:tc>
          <w:tcPr>
            <w:tcW w:w="1131" w:type="dxa"/>
          </w:tcPr>
          <w:p w14:paraId="75F9B22A" w14:textId="77777777" w:rsidR="0009024F" w:rsidRDefault="001C6BC2" w:rsidP="007828B2">
            <w:pPr>
              <w:pStyle w:val="Compact"/>
              <w:jc w:val="both"/>
            </w:pPr>
            <w:r>
              <w:t>Shortfall in Q3 due to supply chain delays; revising Q4 targets.</w:t>
            </w:r>
          </w:p>
        </w:tc>
      </w:tr>
      <w:tr w:rsidR="0009024F" w14:paraId="46503C6E" w14:textId="77777777" w:rsidTr="007828B2">
        <w:tc>
          <w:tcPr>
            <w:tcW w:w="1131" w:type="dxa"/>
          </w:tcPr>
          <w:p w14:paraId="1665F9DB" w14:textId="77777777" w:rsidR="0009024F" w:rsidRDefault="001C6BC2" w:rsidP="007828B2">
            <w:pPr>
              <w:pStyle w:val="Compact"/>
              <w:jc w:val="both"/>
            </w:pPr>
            <w:r>
              <w:rPr>
                <w:b/>
                <w:bCs/>
              </w:rPr>
              <w:t>COGS</w:t>
            </w:r>
          </w:p>
        </w:tc>
        <w:tc>
          <w:tcPr>
            <w:tcW w:w="1131" w:type="dxa"/>
          </w:tcPr>
          <w:p w14:paraId="612F15D5" w14:textId="77777777" w:rsidR="0009024F" w:rsidRDefault="001C6BC2" w:rsidP="007828B2">
            <w:pPr>
              <w:pStyle w:val="Compact"/>
              <w:jc w:val="both"/>
            </w:pPr>
            <w:r>
              <w:t>600,000</w:t>
            </w:r>
          </w:p>
        </w:tc>
        <w:tc>
          <w:tcPr>
            <w:tcW w:w="1131" w:type="dxa"/>
          </w:tcPr>
          <w:p w14:paraId="66656CF6" w14:textId="77777777" w:rsidR="0009024F" w:rsidRDefault="001C6BC2" w:rsidP="007828B2">
            <w:pPr>
              <w:pStyle w:val="Compact"/>
              <w:jc w:val="both"/>
            </w:pPr>
            <w:r>
              <w:t>630,000</w:t>
            </w:r>
          </w:p>
        </w:tc>
        <w:tc>
          <w:tcPr>
            <w:tcW w:w="1131" w:type="dxa"/>
          </w:tcPr>
          <w:p w14:paraId="5C11F860" w14:textId="77777777" w:rsidR="0009024F" w:rsidRDefault="001C6BC2" w:rsidP="007828B2">
            <w:pPr>
              <w:pStyle w:val="Compact"/>
              <w:jc w:val="both"/>
            </w:pPr>
            <w:r>
              <w:t>(30,000)</w:t>
            </w:r>
          </w:p>
        </w:tc>
        <w:tc>
          <w:tcPr>
            <w:tcW w:w="1131" w:type="dxa"/>
          </w:tcPr>
          <w:p w14:paraId="38726101" w14:textId="77777777" w:rsidR="0009024F" w:rsidRDefault="001C6BC2" w:rsidP="007828B2">
            <w:pPr>
              <w:pStyle w:val="Compact"/>
              <w:jc w:val="both"/>
            </w:pPr>
            <w:r>
              <w:t>+5.0%</w:t>
            </w:r>
          </w:p>
        </w:tc>
        <w:tc>
          <w:tcPr>
            <w:tcW w:w="1131" w:type="dxa"/>
          </w:tcPr>
          <w:p w14:paraId="17002CF2" w14:textId="77777777" w:rsidR="0009024F" w:rsidRDefault="001C6BC2" w:rsidP="007828B2">
            <w:pPr>
              <w:pStyle w:val="Compact"/>
              <w:jc w:val="both"/>
            </w:pPr>
            <w:r>
              <w:t>Unfavorable</w:t>
            </w:r>
          </w:p>
        </w:tc>
        <w:tc>
          <w:tcPr>
            <w:tcW w:w="1131" w:type="dxa"/>
          </w:tcPr>
          <w:p w14:paraId="7CC9019F" w14:textId="77777777" w:rsidR="0009024F" w:rsidRDefault="001C6BC2" w:rsidP="007828B2">
            <w:pPr>
              <w:pStyle w:val="Compact"/>
              <w:jc w:val="both"/>
            </w:pPr>
            <w:r>
              <w:t>Raw material cost spike; renegotiating supplier contracts.</w:t>
            </w:r>
          </w:p>
        </w:tc>
      </w:tr>
      <w:tr w:rsidR="0009024F" w14:paraId="42B27D15" w14:textId="77777777" w:rsidTr="007828B2">
        <w:tc>
          <w:tcPr>
            <w:tcW w:w="1131" w:type="dxa"/>
          </w:tcPr>
          <w:p w14:paraId="0F2B119E" w14:textId="77777777" w:rsidR="0009024F" w:rsidRDefault="001C6BC2" w:rsidP="007828B2">
            <w:pPr>
              <w:pStyle w:val="Compact"/>
              <w:jc w:val="both"/>
            </w:pPr>
            <w:r>
              <w:rPr>
                <w:b/>
                <w:bCs/>
              </w:rPr>
              <w:t>Gross Margin</w:t>
            </w:r>
          </w:p>
        </w:tc>
        <w:tc>
          <w:tcPr>
            <w:tcW w:w="1131" w:type="dxa"/>
          </w:tcPr>
          <w:p w14:paraId="024FA315" w14:textId="77777777" w:rsidR="0009024F" w:rsidRDefault="001C6BC2" w:rsidP="007828B2">
            <w:pPr>
              <w:pStyle w:val="Compact"/>
              <w:jc w:val="both"/>
            </w:pPr>
            <w:r>
              <w:t>900,000</w:t>
            </w:r>
          </w:p>
        </w:tc>
        <w:tc>
          <w:tcPr>
            <w:tcW w:w="1131" w:type="dxa"/>
          </w:tcPr>
          <w:p w14:paraId="44301773" w14:textId="77777777" w:rsidR="0009024F" w:rsidRDefault="001C6BC2" w:rsidP="007828B2">
            <w:pPr>
              <w:pStyle w:val="Compact"/>
              <w:jc w:val="both"/>
            </w:pPr>
            <w:r>
              <w:t>795,000</w:t>
            </w:r>
          </w:p>
        </w:tc>
        <w:tc>
          <w:tcPr>
            <w:tcW w:w="1131" w:type="dxa"/>
          </w:tcPr>
          <w:p w14:paraId="040060D0" w14:textId="77777777" w:rsidR="0009024F" w:rsidRDefault="001C6BC2" w:rsidP="007828B2">
            <w:pPr>
              <w:pStyle w:val="Compact"/>
              <w:jc w:val="both"/>
            </w:pPr>
            <w:r>
              <w:t>(105,000)</w:t>
            </w:r>
          </w:p>
        </w:tc>
        <w:tc>
          <w:tcPr>
            <w:tcW w:w="1131" w:type="dxa"/>
          </w:tcPr>
          <w:p w14:paraId="1D8EC15D" w14:textId="77777777" w:rsidR="0009024F" w:rsidRDefault="001C6BC2" w:rsidP="007828B2">
            <w:pPr>
              <w:pStyle w:val="Compact"/>
              <w:jc w:val="both"/>
            </w:pPr>
            <w:r>
              <w:t>-11.6%</w:t>
            </w:r>
          </w:p>
        </w:tc>
        <w:tc>
          <w:tcPr>
            <w:tcW w:w="1131" w:type="dxa"/>
          </w:tcPr>
          <w:p w14:paraId="089CD04D" w14:textId="77777777" w:rsidR="0009024F" w:rsidRDefault="001C6BC2" w:rsidP="007828B2">
            <w:pPr>
              <w:pStyle w:val="Compact"/>
              <w:jc w:val="both"/>
            </w:pPr>
            <w:r>
              <w:t>Unfavorable</w:t>
            </w:r>
          </w:p>
        </w:tc>
        <w:tc>
          <w:tcPr>
            <w:tcW w:w="1131" w:type="dxa"/>
          </w:tcPr>
          <w:p w14:paraId="02EFC057" w14:textId="77777777" w:rsidR="0009024F" w:rsidRDefault="001C6BC2" w:rsidP="007828B2">
            <w:pPr>
              <w:pStyle w:val="Compact"/>
              <w:jc w:val="both"/>
            </w:pPr>
            <w:r>
              <w:t xml:space="preserve">Margin compression observed; requires </w:t>
            </w:r>
            <w:r>
              <w:lastRenderedPageBreak/>
              <w:t>pricing strategy review.</w:t>
            </w:r>
          </w:p>
        </w:tc>
      </w:tr>
      <w:tr w:rsidR="0009024F" w14:paraId="1B04960D" w14:textId="77777777" w:rsidTr="007828B2">
        <w:tc>
          <w:tcPr>
            <w:tcW w:w="1131" w:type="dxa"/>
          </w:tcPr>
          <w:p w14:paraId="5475604D" w14:textId="77777777" w:rsidR="0009024F" w:rsidRDefault="001C6BC2" w:rsidP="007828B2">
            <w:pPr>
              <w:pStyle w:val="Compact"/>
              <w:jc w:val="both"/>
            </w:pPr>
            <w:r>
              <w:rPr>
                <w:b/>
                <w:bCs/>
              </w:rPr>
              <w:lastRenderedPageBreak/>
              <w:t>Marketing Expense</w:t>
            </w:r>
          </w:p>
        </w:tc>
        <w:tc>
          <w:tcPr>
            <w:tcW w:w="1131" w:type="dxa"/>
          </w:tcPr>
          <w:p w14:paraId="35FC5A5E" w14:textId="77777777" w:rsidR="0009024F" w:rsidRDefault="001C6BC2" w:rsidP="007828B2">
            <w:pPr>
              <w:pStyle w:val="Compact"/>
              <w:jc w:val="both"/>
            </w:pPr>
            <w:r>
              <w:t>150,000</w:t>
            </w:r>
          </w:p>
        </w:tc>
        <w:tc>
          <w:tcPr>
            <w:tcW w:w="1131" w:type="dxa"/>
          </w:tcPr>
          <w:p w14:paraId="2D238D4F" w14:textId="77777777" w:rsidR="0009024F" w:rsidRDefault="001C6BC2" w:rsidP="007828B2">
            <w:pPr>
              <w:pStyle w:val="Compact"/>
              <w:jc w:val="both"/>
            </w:pPr>
            <w:r>
              <w:t>140,000</w:t>
            </w:r>
          </w:p>
        </w:tc>
        <w:tc>
          <w:tcPr>
            <w:tcW w:w="1131" w:type="dxa"/>
          </w:tcPr>
          <w:p w14:paraId="47F0DC47" w14:textId="77777777" w:rsidR="0009024F" w:rsidRDefault="001C6BC2" w:rsidP="007828B2">
            <w:pPr>
              <w:pStyle w:val="Compact"/>
              <w:jc w:val="both"/>
            </w:pPr>
            <w:r>
              <w:t>10,000</w:t>
            </w:r>
          </w:p>
        </w:tc>
        <w:tc>
          <w:tcPr>
            <w:tcW w:w="1131" w:type="dxa"/>
          </w:tcPr>
          <w:p w14:paraId="7E3F5BB1" w14:textId="77777777" w:rsidR="0009024F" w:rsidRDefault="001C6BC2" w:rsidP="007828B2">
            <w:pPr>
              <w:pStyle w:val="Compact"/>
              <w:jc w:val="both"/>
            </w:pPr>
            <w:r>
              <w:t>-6.6%</w:t>
            </w:r>
          </w:p>
        </w:tc>
        <w:tc>
          <w:tcPr>
            <w:tcW w:w="1131" w:type="dxa"/>
          </w:tcPr>
          <w:p w14:paraId="5FAD9594" w14:textId="77777777" w:rsidR="0009024F" w:rsidRDefault="001C6BC2" w:rsidP="007828B2">
            <w:pPr>
              <w:pStyle w:val="Compact"/>
              <w:jc w:val="both"/>
            </w:pPr>
            <w:r>
              <w:t>Favorable</w:t>
            </w:r>
          </w:p>
        </w:tc>
        <w:tc>
          <w:tcPr>
            <w:tcW w:w="1131" w:type="dxa"/>
          </w:tcPr>
          <w:p w14:paraId="21502768" w14:textId="77777777" w:rsidR="0009024F" w:rsidRDefault="001C6BC2" w:rsidP="007828B2">
            <w:pPr>
              <w:pStyle w:val="Compact"/>
              <w:jc w:val="both"/>
            </w:pPr>
            <w:r>
              <w:t>Underutilized digital ad spend; reallocation to Q4 product launch.</w:t>
            </w:r>
          </w:p>
        </w:tc>
      </w:tr>
      <w:tr w:rsidR="0009024F" w14:paraId="04B24FED" w14:textId="77777777" w:rsidTr="007828B2">
        <w:tc>
          <w:tcPr>
            <w:tcW w:w="1131" w:type="dxa"/>
          </w:tcPr>
          <w:p w14:paraId="19FD3F53" w14:textId="77777777" w:rsidR="0009024F" w:rsidRDefault="001C6BC2" w:rsidP="007828B2">
            <w:pPr>
              <w:pStyle w:val="Compact"/>
              <w:jc w:val="both"/>
            </w:pPr>
            <w:r>
              <w:rPr>
                <w:b/>
                <w:bCs/>
              </w:rPr>
              <w:t>R&amp;D Expense</w:t>
            </w:r>
          </w:p>
        </w:tc>
        <w:tc>
          <w:tcPr>
            <w:tcW w:w="1131" w:type="dxa"/>
          </w:tcPr>
          <w:p w14:paraId="23731B63" w14:textId="77777777" w:rsidR="0009024F" w:rsidRDefault="001C6BC2" w:rsidP="007828B2">
            <w:pPr>
              <w:pStyle w:val="Compact"/>
              <w:jc w:val="both"/>
            </w:pPr>
            <w:r>
              <w:t>200,000</w:t>
            </w:r>
          </w:p>
        </w:tc>
        <w:tc>
          <w:tcPr>
            <w:tcW w:w="1131" w:type="dxa"/>
          </w:tcPr>
          <w:p w14:paraId="11EE5C57" w14:textId="77777777" w:rsidR="0009024F" w:rsidRDefault="001C6BC2" w:rsidP="007828B2">
            <w:pPr>
              <w:pStyle w:val="Compact"/>
              <w:jc w:val="both"/>
            </w:pPr>
            <w:r>
              <w:t>200,000</w:t>
            </w:r>
          </w:p>
        </w:tc>
        <w:tc>
          <w:tcPr>
            <w:tcW w:w="1131" w:type="dxa"/>
          </w:tcPr>
          <w:p w14:paraId="00593200" w14:textId="77777777" w:rsidR="0009024F" w:rsidRDefault="001C6BC2" w:rsidP="007828B2">
            <w:pPr>
              <w:pStyle w:val="Compact"/>
              <w:jc w:val="both"/>
            </w:pPr>
            <w:r>
              <w:t>0</w:t>
            </w:r>
          </w:p>
        </w:tc>
        <w:tc>
          <w:tcPr>
            <w:tcW w:w="1131" w:type="dxa"/>
          </w:tcPr>
          <w:p w14:paraId="78DFECE8" w14:textId="77777777" w:rsidR="0009024F" w:rsidRDefault="001C6BC2" w:rsidP="007828B2">
            <w:pPr>
              <w:pStyle w:val="Compact"/>
              <w:jc w:val="both"/>
            </w:pPr>
            <w:r>
              <w:t>0.0%</w:t>
            </w:r>
          </w:p>
        </w:tc>
        <w:tc>
          <w:tcPr>
            <w:tcW w:w="1131" w:type="dxa"/>
          </w:tcPr>
          <w:p w14:paraId="4190885A" w14:textId="77777777" w:rsidR="0009024F" w:rsidRDefault="001C6BC2" w:rsidP="007828B2">
            <w:pPr>
              <w:pStyle w:val="Compact"/>
              <w:jc w:val="both"/>
            </w:pPr>
            <w:r>
              <w:t>On Target</w:t>
            </w:r>
          </w:p>
        </w:tc>
        <w:tc>
          <w:tcPr>
            <w:tcW w:w="1131" w:type="dxa"/>
          </w:tcPr>
          <w:p w14:paraId="60CBC786" w14:textId="77777777" w:rsidR="0009024F" w:rsidRDefault="001C6BC2" w:rsidP="007828B2">
            <w:pPr>
              <w:pStyle w:val="Compact"/>
              <w:jc w:val="both"/>
            </w:pPr>
            <w:r>
              <w:t xml:space="preserve">Key milestones achieved; continuous monitoring aligned with </w:t>
            </w:r>
            <w:r>
              <w:lastRenderedPageBreak/>
              <w:t>strategy.</w:t>
            </w:r>
          </w:p>
        </w:tc>
      </w:tr>
      <w:tr w:rsidR="0009024F" w14:paraId="51668E9E" w14:textId="77777777" w:rsidTr="007828B2">
        <w:tc>
          <w:tcPr>
            <w:tcW w:w="1131" w:type="dxa"/>
          </w:tcPr>
          <w:p w14:paraId="47B0EE52" w14:textId="77777777" w:rsidR="0009024F" w:rsidRDefault="001C6BC2" w:rsidP="007828B2">
            <w:pPr>
              <w:pStyle w:val="Compact"/>
              <w:jc w:val="both"/>
            </w:pPr>
            <w:r>
              <w:rPr>
                <w:b/>
                <w:bCs/>
              </w:rPr>
              <w:lastRenderedPageBreak/>
              <w:t>Net Income</w:t>
            </w:r>
          </w:p>
        </w:tc>
        <w:tc>
          <w:tcPr>
            <w:tcW w:w="1131" w:type="dxa"/>
          </w:tcPr>
          <w:p w14:paraId="69B3949B" w14:textId="77777777" w:rsidR="0009024F" w:rsidRDefault="001C6BC2" w:rsidP="007828B2">
            <w:pPr>
              <w:pStyle w:val="Compact"/>
              <w:jc w:val="both"/>
            </w:pPr>
            <w:r>
              <w:t>550,000</w:t>
            </w:r>
          </w:p>
        </w:tc>
        <w:tc>
          <w:tcPr>
            <w:tcW w:w="1131" w:type="dxa"/>
          </w:tcPr>
          <w:p w14:paraId="2958EFD4" w14:textId="77777777" w:rsidR="0009024F" w:rsidRDefault="001C6BC2" w:rsidP="007828B2">
            <w:pPr>
              <w:pStyle w:val="Compact"/>
              <w:jc w:val="both"/>
            </w:pPr>
            <w:r>
              <w:t>455,000</w:t>
            </w:r>
          </w:p>
        </w:tc>
        <w:tc>
          <w:tcPr>
            <w:tcW w:w="1131" w:type="dxa"/>
          </w:tcPr>
          <w:p w14:paraId="53F5529C" w14:textId="77777777" w:rsidR="0009024F" w:rsidRDefault="001C6BC2" w:rsidP="007828B2">
            <w:pPr>
              <w:pStyle w:val="Compact"/>
              <w:jc w:val="both"/>
            </w:pPr>
            <w:r>
              <w:t>(95,000)</w:t>
            </w:r>
          </w:p>
        </w:tc>
        <w:tc>
          <w:tcPr>
            <w:tcW w:w="1131" w:type="dxa"/>
          </w:tcPr>
          <w:p w14:paraId="056F062A" w14:textId="77777777" w:rsidR="0009024F" w:rsidRDefault="001C6BC2" w:rsidP="007828B2">
            <w:pPr>
              <w:pStyle w:val="Compact"/>
              <w:jc w:val="both"/>
            </w:pPr>
            <w:r>
              <w:t>-17.2%</w:t>
            </w:r>
          </w:p>
        </w:tc>
        <w:tc>
          <w:tcPr>
            <w:tcW w:w="1131" w:type="dxa"/>
          </w:tcPr>
          <w:p w14:paraId="0F4C246B" w14:textId="77777777" w:rsidR="0009024F" w:rsidRDefault="001C6BC2" w:rsidP="007828B2">
            <w:pPr>
              <w:pStyle w:val="Compact"/>
              <w:jc w:val="both"/>
            </w:pPr>
            <w:r>
              <w:t>Unfavorable</w:t>
            </w:r>
          </w:p>
        </w:tc>
        <w:tc>
          <w:tcPr>
            <w:tcW w:w="1131" w:type="dxa"/>
          </w:tcPr>
          <w:p w14:paraId="771DE852" w14:textId="77777777" w:rsidR="0009024F" w:rsidRDefault="001C6BC2" w:rsidP="007828B2">
            <w:pPr>
              <w:pStyle w:val="Compact"/>
              <w:jc w:val="both"/>
            </w:pPr>
            <w:r>
              <w:t>Agency alignment needed to ensure executives address core operational inefficiencies.</w:t>
            </w:r>
          </w:p>
        </w:tc>
      </w:tr>
      <w:bookmarkEnd w:id="30"/>
      <w:bookmarkEnd w:id="32"/>
    </w:tbl>
    <w:p w14:paraId="667A34EA" w14:textId="77777777" w:rsidR="001C6BC2" w:rsidRDefault="001C6BC2" w:rsidP="007828B2">
      <w:pPr>
        <w:jc w:val="both"/>
      </w:pPr>
    </w:p>
    <w:sectPr w:rsidR="001C6BC2">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altName w:val="Calibri"/>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A990"/>
    <w:multiLevelType w:val="multilevel"/>
    <w:tmpl w:val="14C2A444"/>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662C30D6"/>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1"/>
  </w:num>
  <w:num w:numId="4">
    <w:abstractNumId w:val="1"/>
  </w:num>
  <w:num w:numId="5">
    <w:abstractNumId w:val="1"/>
  </w:num>
  <w:num w:numId="6">
    <w:abstractNumId w:val="1"/>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useFELayout/>
    <w:compatSetting w:name="compatibilityMode" w:uri="http://schemas.microsoft.com/office/word" w:val="12"/>
    <w:compatSetting w:name="useWord2013TrackBottomHyphenation" w:uri="http://schemas.microsoft.com/office/word" w:val="1"/>
  </w:compat>
  <w:rsids>
    <w:rsidRoot w:val="0009024F"/>
    <w:rsid w:val="0009024F"/>
    <w:rsid w:val="001C6BC2"/>
    <w:rsid w:val="007828B2"/>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175F1"/>
  <w15:docId w15:val="{D4DCEE74-C882-4E34-955E-504146468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pPr>
        <w:spacing w:after="200"/>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480" w:lineRule="auto"/>
    </w:pPr>
    <w:rPr>
      <w:rFonts w:ascii="Times New Roman" w:eastAsia="Times New Roman" w:hAnsi="Times New Roman"/>
    </w:rPr>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line="240" w:lineRule="auto"/>
      <w:contextualSpacing/>
      <w:jc w:val="center"/>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basedOn w:val="Title"/>
    <w:next w:val="BodyText"/>
    <w:qFormat/>
    <w:pPr>
      <w:keepNext/>
      <w:keepLines/>
    </w:pPr>
    <w:rPr>
      <w:sz w:val="24"/>
      <w:szCs w:val="24"/>
    </w:rPr>
  </w:style>
  <w:style w:type="paragraph" w:styleId="Date">
    <w:name w:val="Date"/>
    <w:basedOn w:val="Title"/>
    <w:next w:val="BodyText"/>
    <w:qFormat/>
    <w:pPr>
      <w:keepNext/>
      <w:keepLines/>
    </w:pPr>
    <w:rPr>
      <w:sz w:val="24"/>
      <w:szCs w:val="24"/>
    </w:r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27</Pages>
  <Words>6096</Words>
  <Characters>34748</Characters>
  <Application>Microsoft Office Word</Application>
  <DocSecurity>0</DocSecurity>
  <Lines>289</Lines>
  <Paragraphs>81</Paragraphs>
  <ScaleCrop>false</ScaleCrop>
  <Company/>
  <LinksUpToDate>false</LinksUpToDate>
  <CharactersWithSpaces>40763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Planning and Strategic Decision-Making in Organizations</dc:title>
  <dc:creator>Student Name</dc:creator>
  <cp:keywords/>
  <cp:lastModifiedBy>Pardeep Beniwal</cp:lastModifiedBy>
  <cp:revision>2</cp:revision>
  <dcterms:created xsi:type="dcterms:W3CDTF">2026-05-24T18:00:00Z</dcterms:created>
  <dcterms:modified xsi:type="dcterms:W3CDTF">2026-05-24T18:03:00Z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graphy">
    <vt:lpwstr>/mnt/e/writter/references/assignment1.bib</vt:lpwstr>
  </property>
  <property fmtid="{D5CDD505-2E9C-101B-9397-08002B2CF9AE}" pid="3" name="course">
    <vt:lpwstr>M07 - Financial Management</vt:lpwstr>
  </property>
  <property fmtid="{D5CDD505-2E9C-101B-9397-08002B2CF9AE}" pid="4" name="csl">
    <vt:lpwstr>/mnt/e/writter/Plugin/pandoc-main/apa.csl</vt:lpwstr>
  </property>
  <property fmtid="{D5CDD505-2E9C-101B-9397-08002B2CF9AE}" pid="5" name="date">
    <vt:lpwstr/>
  </property>
  <property fmtid="{D5CDD505-2E9C-101B-9397-08002B2CF9AE}" pid="6" name="institution">
    <vt:lpwstr/>
  </property>
</Properties>
</file>