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1D41D0DA" w14:textId="77777777" w:rsidR="005F3523" w:rsidRPr="005F3523" w:rsidRDefault="005F3523" w:rsidP="005F3523">
      <w:pPr>
        <w:pStyle w:val="ListParagraph"/>
        <w:jc w:val="both"/>
        <w:rPr>
          <w:b/>
          <w:bCs/>
          <w:lang w:val="en-GB"/>
        </w:rPr>
      </w:pPr>
      <w:r w:rsidRPr="005F3523">
        <w:rPr>
          <w:b/>
          <w:bCs/>
          <w:lang w:val="en-GB"/>
        </w:rPr>
        <w:lastRenderedPageBreak/>
        <w:t>Visitor Management at Petra, Jordan: Managing Tourism at an Archaeological Heritage Site</w:t>
      </w:r>
    </w:p>
    <w:p w14:paraId="00F60B4C" w14:textId="77777777" w:rsidR="005F3523" w:rsidRPr="005F3523" w:rsidRDefault="005F3523" w:rsidP="005F3523">
      <w:pPr>
        <w:pStyle w:val="ListParagraph"/>
        <w:jc w:val="both"/>
        <w:rPr>
          <w:b/>
          <w:bCs/>
          <w:lang w:val="en-GB"/>
        </w:rPr>
      </w:pPr>
      <w:r w:rsidRPr="005F3523">
        <w:rPr>
          <w:b/>
          <w:bCs/>
          <w:lang w:val="en-GB"/>
        </w:rPr>
        <w:t>Introduction to the Selected Site</w:t>
      </w:r>
    </w:p>
    <w:p w14:paraId="7A1C1CC0" w14:textId="77777777" w:rsidR="005F3523" w:rsidRPr="005F3523" w:rsidRDefault="005F3523" w:rsidP="005F3523">
      <w:pPr>
        <w:pStyle w:val="ListParagraph"/>
        <w:jc w:val="both"/>
        <w:rPr>
          <w:lang w:val="en-GB"/>
        </w:rPr>
      </w:pPr>
      <w:r w:rsidRPr="005F3523">
        <w:rPr>
          <w:lang w:val="en-GB"/>
        </w:rPr>
        <w:t>Petra, located in southern Jordan, is an ancient archaeological city and UNESCO World Heritage Site known for its rock-cut architecture and historical importance as a trading centre of the Nabataean civilisation. The site attracts international visitors due to its cultural, historical, and architectural significance (UNESCO, 2024). Increasing tourism has created both economic opportunities and conservation challenges.</w:t>
      </w:r>
    </w:p>
    <w:p w14:paraId="2387F028" w14:textId="77777777" w:rsidR="005F3523" w:rsidRPr="005F3523" w:rsidRDefault="005F3523" w:rsidP="005F3523">
      <w:pPr>
        <w:pStyle w:val="ListParagraph"/>
        <w:jc w:val="both"/>
        <w:rPr>
          <w:b/>
          <w:bCs/>
          <w:lang w:val="en-GB"/>
        </w:rPr>
      </w:pPr>
      <w:r w:rsidRPr="005F3523">
        <w:rPr>
          <w:b/>
          <w:bCs/>
          <w:lang w:val="en-GB"/>
        </w:rPr>
        <w:t>Visitor Management</w:t>
      </w:r>
    </w:p>
    <w:p w14:paraId="3114FE08" w14:textId="77777777" w:rsidR="005F3523" w:rsidRPr="005F3523" w:rsidRDefault="005F3523" w:rsidP="005F3523">
      <w:pPr>
        <w:pStyle w:val="ListParagraph"/>
        <w:jc w:val="both"/>
        <w:rPr>
          <w:lang w:val="en-GB"/>
        </w:rPr>
      </w:pPr>
      <w:r w:rsidRPr="005F3523">
        <w:rPr>
          <w:lang w:val="en-GB"/>
        </w:rPr>
        <w:t>Visitor management at Petra focuses on protecting archaeological remains while providing meaningful tourism experiences. The Petra Development and Tourism Regional Authority manages visitor access through entrance ticketing, designated pathways, guided tours, conservation programs, and visitor education initiatives.</w:t>
      </w:r>
    </w:p>
    <w:p w14:paraId="0D624809" w14:textId="77777777" w:rsidR="005F3523" w:rsidRPr="005F3523" w:rsidRDefault="005F3523" w:rsidP="005F3523">
      <w:pPr>
        <w:pStyle w:val="ListParagraph"/>
        <w:jc w:val="both"/>
        <w:rPr>
          <w:lang w:val="en-GB"/>
        </w:rPr>
      </w:pPr>
      <w:r w:rsidRPr="005F3523">
        <w:rPr>
          <w:lang w:val="en-GB"/>
        </w:rPr>
        <w:t>Authorities encourage visitors to follow specific routes and avoid touching fragile structures. Site interpretation programs help tourists understand Petra’s historical importance and promote responsible behaviour. Monitoring visitor movement helps reduce pressure on sensitive archaeological areas.</w:t>
      </w:r>
    </w:p>
    <w:p w14:paraId="0E722D8E" w14:textId="77777777" w:rsidR="005F3523" w:rsidRPr="005F3523" w:rsidRDefault="005F3523" w:rsidP="005F3523">
      <w:pPr>
        <w:pStyle w:val="ListParagraph"/>
        <w:jc w:val="both"/>
        <w:rPr>
          <w:lang w:val="en-GB"/>
        </w:rPr>
      </w:pPr>
      <w:r w:rsidRPr="005F3523">
        <w:rPr>
          <w:lang w:val="en-GB"/>
        </w:rPr>
        <w:t>Conservation projects are also undertaken to protect monuments from weathering, erosion, and human impacts.</w:t>
      </w:r>
    </w:p>
    <w:p w14:paraId="4D4A6179" w14:textId="77777777" w:rsidR="005F3523" w:rsidRPr="005F3523" w:rsidRDefault="005F3523" w:rsidP="005F3523">
      <w:pPr>
        <w:pStyle w:val="ListParagraph"/>
        <w:jc w:val="both"/>
        <w:rPr>
          <w:b/>
          <w:bCs/>
          <w:lang w:val="en-GB"/>
        </w:rPr>
      </w:pPr>
      <w:r w:rsidRPr="005F3523">
        <w:rPr>
          <w:b/>
          <w:bCs/>
          <w:lang w:val="en-GB"/>
        </w:rPr>
        <w:t>Visitor Management Challenges</w:t>
      </w:r>
    </w:p>
    <w:p w14:paraId="398A4456" w14:textId="77777777" w:rsidR="005F3523" w:rsidRPr="005F3523" w:rsidRDefault="005F3523" w:rsidP="005F3523">
      <w:pPr>
        <w:pStyle w:val="ListParagraph"/>
        <w:jc w:val="both"/>
        <w:rPr>
          <w:lang w:val="en-GB"/>
        </w:rPr>
      </w:pPr>
      <w:r w:rsidRPr="005F3523">
        <w:rPr>
          <w:lang w:val="en-GB"/>
        </w:rPr>
        <w:t>The main challenge at Petra is managing large numbers of tourists while protecting fragile archaeological resources. Foot traffic, dust, erosion, and physical contact with monuments can contribute to deterioration.</w:t>
      </w:r>
    </w:p>
    <w:p w14:paraId="086C67DE" w14:textId="77777777" w:rsidR="005F3523" w:rsidRPr="005F3523" w:rsidRDefault="005F3523" w:rsidP="005F3523">
      <w:pPr>
        <w:pStyle w:val="ListParagraph"/>
        <w:jc w:val="both"/>
        <w:rPr>
          <w:lang w:val="en-GB"/>
        </w:rPr>
      </w:pPr>
      <w:r w:rsidRPr="005F3523">
        <w:rPr>
          <w:lang w:val="en-GB"/>
        </w:rPr>
        <w:t>Another challenge is balancing tourism development with local community interests. Many residents depend on tourism-related activities, including guiding, handicrafts, transport, and hospitality services. Therefore, restrictions must consider both conservation needs and economic livelihoods.</w:t>
      </w:r>
    </w:p>
    <w:p w14:paraId="41D97435" w14:textId="77777777" w:rsidR="005F3523" w:rsidRPr="005F3523" w:rsidRDefault="005F3523" w:rsidP="005F3523">
      <w:pPr>
        <w:pStyle w:val="ListParagraph"/>
        <w:jc w:val="both"/>
        <w:rPr>
          <w:lang w:val="en-GB"/>
        </w:rPr>
      </w:pPr>
      <w:r w:rsidRPr="005F3523">
        <w:rPr>
          <w:lang w:val="en-GB"/>
        </w:rPr>
        <w:t>Environmental conditions, including extreme temperatures and limited water resources, create additional challenges for sustainable destination management.</w:t>
      </w:r>
    </w:p>
    <w:p w14:paraId="4E4BF6CF" w14:textId="77777777" w:rsidR="005F3523" w:rsidRPr="005F3523" w:rsidRDefault="005F3523" w:rsidP="005F3523">
      <w:pPr>
        <w:pStyle w:val="ListParagraph"/>
        <w:jc w:val="both"/>
        <w:rPr>
          <w:b/>
          <w:bCs/>
          <w:lang w:val="en-GB"/>
        </w:rPr>
      </w:pPr>
      <w:r w:rsidRPr="005F3523">
        <w:rPr>
          <w:b/>
          <w:bCs/>
          <w:lang w:val="en-GB"/>
        </w:rPr>
        <w:t>Impacts of Visitors on the Site, Local Community and Visitor Experience</w:t>
      </w:r>
    </w:p>
    <w:p w14:paraId="53485012" w14:textId="77777777" w:rsidR="005F3523" w:rsidRPr="005F3523" w:rsidRDefault="005F3523" w:rsidP="005F3523">
      <w:pPr>
        <w:pStyle w:val="ListParagraph"/>
        <w:jc w:val="both"/>
        <w:rPr>
          <w:lang w:val="en-GB"/>
        </w:rPr>
      </w:pPr>
      <w:r w:rsidRPr="005F3523">
        <w:rPr>
          <w:lang w:val="en-GB"/>
        </w:rPr>
        <w:t>Tourism provides significant economic benefits to Jordan by supporting employment and generating income for local communities. Petra has become a major contributor to cultural tourism development in the region.</w:t>
      </w:r>
    </w:p>
    <w:p w14:paraId="18349975" w14:textId="77777777" w:rsidR="005F3523" w:rsidRPr="005F3523" w:rsidRDefault="005F3523" w:rsidP="005F3523">
      <w:pPr>
        <w:pStyle w:val="ListParagraph"/>
        <w:jc w:val="both"/>
        <w:rPr>
          <w:lang w:val="en-GB"/>
        </w:rPr>
      </w:pPr>
      <w:r w:rsidRPr="005F3523">
        <w:rPr>
          <w:lang w:val="en-GB"/>
        </w:rPr>
        <w:t>However, excessive visitation can increase environmental pressure, waste production, and deterioration of archaeological structures. Over-commercialisation may also influence the authenticity of the visitor experience.</w:t>
      </w:r>
    </w:p>
    <w:p w14:paraId="34EFEBF4" w14:textId="77777777" w:rsidR="005F3523" w:rsidRPr="005F3523" w:rsidRDefault="005F3523" w:rsidP="005F3523">
      <w:pPr>
        <w:pStyle w:val="ListParagraph"/>
        <w:jc w:val="both"/>
        <w:rPr>
          <w:lang w:val="en-GB"/>
        </w:rPr>
      </w:pPr>
      <w:r w:rsidRPr="005F3523">
        <w:rPr>
          <w:lang w:val="en-GB"/>
        </w:rPr>
        <w:t>For tourists, overcrowding may reduce opportunities for peaceful exploration and appreciation of the site. Effective visitor management helps maintain safety, accessibility, and cultural understanding.</w:t>
      </w:r>
    </w:p>
    <w:p w14:paraId="733BD04C" w14:textId="77777777" w:rsidR="005F3523" w:rsidRPr="005F3523" w:rsidRDefault="005F3523" w:rsidP="005F3523">
      <w:pPr>
        <w:pStyle w:val="ListParagraph"/>
        <w:jc w:val="both"/>
        <w:rPr>
          <w:lang w:val="en-GB"/>
        </w:rPr>
      </w:pPr>
      <w:r w:rsidRPr="005F3523">
        <w:rPr>
          <w:lang w:val="en-GB"/>
        </w:rPr>
        <w:t>In conclusion, Petra demonstrates the need for sustainable approaches to managing heritage tourism. Conservation policies, community involvement, and responsible visitor behaviour are essential for protecting the site for future generations.</w:t>
      </w:r>
    </w:p>
    <w:p w14:paraId="58B2D996" w14:textId="7FAA9E18" w:rsidR="005F3523" w:rsidRDefault="005F3523" w:rsidP="005F3523">
      <w:pPr>
        <w:pStyle w:val="ListParagraph"/>
        <w:jc w:val="both"/>
        <w:rPr>
          <w:lang w:val="en-GB"/>
        </w:rPr>
      </w:pPr>
    </w:p>
    <w:p w14:paraId="7E0A028B" w14:textId="77777777" w:rsidR="005F3523" w:rsidRDefault="005F3523" w:rsidP="005F3523">
      <w:pPr>
        <w:pStyle w:val="ListParagraph"/>
        <w:jc w:val="both"/>
        <w:rPr>
          <w:lang w:val="en-GB"/>
        </w:rPr>
      </w:pPr>
    </w:p>
    <w:p w14:paraId="50B877F2" w14:textId="77777777" w:rsidR="005F3523" w:rsidRDefault="005F3523" w:rsidP="005F3523">
      <w:pPr>
        <w:pStyle w:val="ListParagraph"/>
        <w:jc w:val="both"/>
        <w:rPr>
          <w:lang w:val="en-GB"/>
        </w:rPr>
      </w:pPr>
    </w:p>
    <w:p w14:paraId="22FF3342" w14:textId="77777777" w:rsidR="005F3523" w:rsidRDefault="005F3523" w:rsidP="005F3523">
      <w:pPr>
        <w:pStyle w:val="ListParagraph"/>
        <w:jc w:val="both"/>
        <w:rPr>
          <w:lang w:val="en-GB"/>
        </w:rPr>
      </w:pPr>
    </w:p>
    <w:p w14:paraId="3E866582" w14:textId="77777777" w:rsidR="005F3523" w:rsidRPr="005F3523" w:rsidRDefault="005F3523" w:rsidP="005F3523">
      <w:pPr>
        <w:pStyle w:val="ListParagraph"/>
        <w:jc w:val="both"/>
        <w:rPr>
          <w:lang w:val="en-GB"/>
        </w:rPr>
      </w:pPr>
    </w:p>
    <w:p w14:paraId="60523192" w14:textId="77777777" w:rsidR="005F3523" w:rsidRPr="005F3523" w:rsidRDefault="005F3523" w:rsidP="005F3523">
      <w:pPr>
        <w:pStyle w:val="ListParagraph"/>
        <w:jc w:val="both"/>
        <w:rPr>
          <w:b/>
          <w:bCs/>
          <w:lang w:val="en-GB"/>
        </w:rPr>
      </w:pPr>
      <w:r w:rsidRPr="005F3523">
        <w:rPr>
          <w:b/>
          <w:bCs/>
          <w:lang w:val="en-GB"/>
        </w:rPr>
        <w:lastRenderedPageBreak/>
        <w:t>References (APA 7th)</w:t>
      </w:r>
    </w:p>
    <w:p w14:paraId="4C44A553" w14:textId="77777777" w:rsidR="005F3523" w:rsidRPr="005F3523" w:rsidRDefault="005F3523" w:rsidP="005F3523">
      <w:pPr>
        <w:pStyle w:val="ListParagraph"/>
        <w:jc w:val="both"/>
        <w:rPr>
          <w:lang w:val="en-GB"/>
        </w:rPr>
      </w:pPr>
      <w:r w:rsidRPr="005F3523">
        <w:rPr>
          <w:lang w:val="en-GB"/>
        </w:rPr>
        <w:t xml:space="preserve">Petra Development and Tourism Regional Authority. (2024). </w:t>
      </w:r>
      <w:r w:rsidRPr="005F3523">
        <w:rPr>
          <w:i/>
          <w:iCs/>
          <w:lang w:val="en-GB"/>
        </w:rPr>
        <w:t>Petra visitor management and conservation initiatives</w:t>
      </w:r>
      <w:r w:rsidRPr="005F3523">
        <w:rPr>
          <w:lang w:val="en-GB"/>
        </w:rPr>
        <w:t>.</w:t>
      </w:r>
    </w:p>
    <w:p w14:paraId="00874197" w14:textId="77777777" w:rsidR="005F3523" w:rsidRPr="005F3523" w:rsidRDefault="005F3523" w:rsidP="005F3523">
      <w:pPr>
        <w:pStyle w:val="ListParagraph"/>
        <w:jc w:val="both"/>
        <w:rPr>
          <w:lang w:val="en-GB"/>
        </w:rPr>
      </w:pPr>
      <w:r w:rsidRPr="005F3523">
        <w:rPr>
          <w:lang w:val="en-GB"/>
        </w:rPr>
        <w:t xml:space="preserve">UNESCO. (2024). </w:t>
      </w:r>
      <w:r w:rsidRPr="005F3523">
        <w:rPr>
          <w:i/>
          <w:iCs/>
          <w:lang w:val="en-GB"/>
        </w:rPr>
        <w:t>Petra</w:t>
      </w:r>
      <w:r w:rsidRPr="005F3523">
        <w:rPr>
          <w:lang w:val="en-GB"/>
        </w:rPr>
        <w:t xml:space="preserve">. World Heritage Centre. </w:t>
      </w:r>
      <w:hyperlink r:id="rId6" w:tgtFrame="_new" w:history="1">
        <w:r w:rsidRPr="005F3523">
          <w:rPr>
            <w:rStyle w:val="Hyperlink"/>
            <w:lang w:val="en-GB"/>
          </w:rPr>
          <w:t>https://whc.unesco.org/en/list/326</w:t>
        </w:r>
      </w:hyperlink>
    </w:p>
    <w:p w14:paraId="5FEBE890" w14:textId="77777777" w:rsidR="005F3523" w:rsidRPr="005F3523" w:rsidRDefault="005F3523" w:rsidP="005F3523">
      <w:pPr>
        <w:pStyle w:val="ListParagraph"/>
        <w:jc w:val="both"/>
        <w:rPr>
          <w:lang w:val="en-GB"/>
        </w:rPr>
      </w:pPr>
      <w:r w:rsidRPr="005F3523">
        <w:rPr>
          <w:lang w:val="en-GB"/>
        </w:rPr>
        <w:t xml:space="preserve">Timothy, D. J. (2021). </w:t>
      </w:r>
      <w:r w:rsidRPr="005F3523">
        <w:rPr>
          <w:i/>
          <w:iCs/>
          <w:lang w:val="en-GB"/>
        </w:rPr>
        <w:t>Cultural heritage and tourism: An introduction</w:t>
      </w:r>
      <w:r w:rsidRPr="005F3523">
        <w:rPr>
          <w:lang w:val="en-GB"/>
        </w:rPr>
        <w:t>. Channel View Publications.</w:t>
      </w:r>
    </w:p>
    <w:p w14:paraId="70FEE2E3" w14:textId="77777777" w:rsidR="005F3523" w:rsidRPr="009E0599" w:rsidRDefault="005F3523" w:rsidP="00153F82">
      <w:pPr>
        <w:pStyle w:val="ListParagraph"/>
        <w:jc w:val="both"/>
        <w:rPr>
          <w:lang w:val="en-US"/>
        </w:rPr>
      </w:pPr>
    </w:p>
    <w:sectPr w:rsidR="005F3523"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0C5538D-5A32-450C-B814-2F31A798A0B7}"/>
    <w:embedBold r:id="rId2" w:fontKey="{BD440F32-4F3A-4391-8227-BBE3949EE4FE}"/>
    <w:embedItalic r:id="rId3" w:fontKey="{1FB73D67-348E-49B8-BAB2-E10627076F9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FE5A25A-46CA-4D7A-9B6E-115C95494DB5}"/>
  </w:font>
  <w:font w:name="Calibri Light">
    <w:panose1 w:val="020F0302020204030204"/>
    <w:charset w:val="00"/>
    <w:family w:val="swiss"/>
    <w:pitch w:val="variable"/>
    <w:sig w:usb0="E4002EFF" w:usb1="C000247B" w:usb2="00000009" w:usb3="00000000" w:csb0="000001FF" w:csb1="00000000"/>
    <w:embedRegular r:id="rId5" w:fontKey="{AD298CF9-BE4D-4335-9C5F-3D8E253AEED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53F82"/>
    <w:rsid w:val="001700EC"/>
    <w:rsid w:val="0017025C"/>
    <w:rsid w:val="00174BB1"/>
    <w:rsid w:val="00224FD9"/>
    <w:rsid w:val="002F4AE0"/>
    <w:rsid w:val="00384E8A"/>
    <w:rsid w:val="003C5D74"/>
    <w:rsid w:val="003D1074"/>
    <w:rsid w:val="00426865"/>
    <w:rsid w:val="00477CAA"/>
    <w:rsid w:val="00502E29"/>
    <w:rsid w:val="005E458B"/>
    <w:rsid w:val="005F3523"/>
    <w:rsid w:val="00672345"/>
    <w:rsid w:val="006A1079"/>
    <w:rsid w:val="006E036E"/>
    <w:rsid w:val="00734584"/>
    <w:rsid w:val="00762633"/>
    <w:rsid w:val="00844EC2"/>
    <w:rsid w:val="008516FE"/>
    <w:rsid w:val="008F6557"/>
    <w:rsid w:val="009761BC"/>
    <w:rsid w:val="0099651A"/>
    <w:rsid w:val="009C1D0A"/>
    <w:rsid w:val="009E0599"/>
    <w:rsid w:val="00A044F7"/>
    <w:rsid w:val="00A8150E"/>
    <w:rsid w:val="00AA76A1"/>
    <w:rsid w:val="00B20343"/>
    <w:rsid w:val="00B85EA7"/>
    <w:rsid w:val="00B96FD2"/>
    <w:rsid w:val="00BE65DD"/>
    <w:rsid w:val="00C612A4"/>
    <w:rsid w:val="00C95670"/>
    <w:rsid w:val="00CC4D54"/>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32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566</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2026-09-24T03:20:00Z</dcterms:created>
  <dcterms:modified xsi:type="dcterms:W3CDTF">2026-09-24T03:20:00Z</dcterms:modified>
</cp:coreProperties>
</file>