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163356" w14:textId="4B138BA4" w:rsidR="000E68B1" w:rsidRPr="00F21481" w:rsidRDefault="000E68B1" w:rsidP="000E68B1">
      <w:pPr>
        <w:rPr>
          <w:b/>
          <w:bCs/>
          <w:sz w:val="30"/>
          <w:szCs w:val="30"/>
        </w:rPr>
      </w:pPr>
      <w:r w:rsidRPr="00F21481">
        <w:rPr>
          <w:noProof/>
          <w:sz w:val="30"/>
          <w:szCs w:val="30"/>
        </w:rPr>
        <w:drawing>
          <wp:anchor distT="0" distB="0" distL="114300" distR="114300" simplePos="0" relativeHeight="251659264" behindDoc="1" locked="0" layoutInCell="1" allowOverlap="1" wp14:anchorId="78545E80" wp14:editId="57BA45A4">
            <wp:simplePos x="0" y="0"/>
            <wp:positionH relativeFrom="column">
              <wp:posOffset>4462145</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r w:rsidRPr="00F21481">
        <w:rPr>
          <w:b/>
          <w:bCs/>
          <w:sz w:val="30"/>
          <w:szCs w:val="30"/>
        </w:rPr>
        <w:t>Introduction to the Hospitality Industry</w:t>
      </w:r>
    </w:p>
    <w:p w14:paraId="17BC4582" w14:textId="77777777" w:rsidR="000E68B1" w:rsidRDefault="000E68B1" w:rsidP="000E68B1">
      <w:r w:rsidRPr="0019504D">
        <w:t>Ass</w:t>
      </w:r>
      <w:r>
        <w:t xml:space="preserve">ignment </w:t>
      </w:r>
      <w:r w:rsidR="001674E1">
        <w:t>8</w:t>
      </w:r>
    </w:p>
    <w:p w14:paraId="5ACE5E49" w14:textId="77777777" w:rsidR="00426865" w:rsidRDefault="00426865"/>
    <w:p w14:paraId="3996CC7F" w14:textId="77777777" w:rsidR="00786B99" w:rsidRDefault="00786B99" w:rsidP="00786B99">
      <w:r>
        <w:t xml:space="preserve">Student Name: </w:t>
      </w:r>
      <w:r w:rsidRPr="00786B99">
        <w:rPr>
          <w:b/>
          <w:bCs/>
        </w:rPr>
        <w:t>Gourav Kumar</w:t>
      </w:r>
    </w:p>
    <w:p w14:paraId="31FA013B" w14:textId="3419E30B" w:rsidR="000E68B1" w:rsidRDefault="00786B99" w:rsidP="008F504C">
      <w:r>
        <w:t xml:space="preserve">Student ID: </w:t>
      </w:r>
      <w:r w:rsidRPr="00786B99">
        <w:rPr>
          <w:b/>
          <w:bCs/>
        </w:rPr>
        <w:t>DE240423</w:t>
      </w:r>
    </w:p>
    <w:p w14:paraId="2EF58926" w14:textId="7451ED88" w:rsidR="00F21481" w:rsidRPr="00F21481" w:rsidRDefault="00F21481" w:rsidP="00F21481">
      <w:pPr>
        <w:pStyle w:val="Heading1"/>
        <w:rPr>
          <w:bCs/>
        </w:rPr>
      </w:pPr>
      <w:r w:rsidRPr="00F21481">
        <w:rPr>
          <w:bCs/>
        </w:rPr>
        <w:t>Food and Beverage Leadership, Operational Sizing, and Function Room Layouts</w:t>
      </w:r>
    </w:p>
    <w:p w14:paraId="79927DBA" w14:textId="78C4BF8D" w:rsidR="00F21481" w:rsidRPr="00F21481" w:rsidRDefault="00F21481" w:rsidP="00F21481">
      <w:pPr>
        <w:pStyle w:val="Heading1"/>
      </w:pPr>
      <w:r w:rsidRPr="00F21481">
        <w:t>Core Responsibilities of the Director of Food and Beverage</w:t>
      </w:r>
    </w:p>
    <w:p w14:paraId="03EE3C43" w14:textId="77777777" w:rsidR="00F21481" w:rsidRPr="00F21481" w:rsidRDefault="00F21481" w:rsidP="00F21481">
      <w:pPr>
        <w:spacing w:line="276" w:lineRule="auto"/>
      </w:pPr>
      <w:r w:rsidRPr="00F21481">
        <w:t>The Director of Food and Beverage functions as the senior executive accountable for the overall operational management, quality standards, and profitability of all culinary and beverage outlets across a hotel property (Ninemeier &amp; Hayes, 2006). Reporting to the General Manager, this role bridges business strategy and daily operations across outlets like main restaurants, specialty dining venues, room service, lounges, and event catering (Walker, 2021).</w:t>
      </w:r>
    </w:p>
    <w:p w14:paraId="658A9B32" w14:textId="77777777" w:rsidR="00F21481" w:rsidRPr="00F21481" w:rsidRDefault="00F21481" w:rsidP="00F21481">
      <w:pPr>
        <w:spacing w:line="276" w:lineRule="auto"/>
        <w:rPr>
          <w:b/>
          <w:bCs/>
        </w:rPr>
      </w:pPr>
      <w:r w:rsidRPr="00F21481">
        <w:rPr>
          <w:b/>
          <w:bCs/>
        </w:rPr>
        <w:t>Financial Strategy and Inventory Control</w:t>
      </w:r>
    </w:p>
    <w:p w14:paraId="1170CA99" w14:textId="77777777" w:rsidR="00F21481" w:rsidRPr="00F21481" w:rsidRDefault="00F21481" w:rsidP="00F21481">
      <w:pPr>
        <w:spacing w:line="276" w:lineRule="auto"/>
      </w:pPr>
      <w:r w:rsidRPr="00F21481">
        <w:t>A main focus of the role is maintaining financial health and meeting profit targets across all outlets (Cullen, 2010). Because food and beverage divisions deal with high labor costs and perishable inventories, tight oversight is necessary (Medlik &amp; Ingram, 2000). The director prepares annual operating budgets, forecasts monthly revenue, and sets target percentages for food and beverage costs (Ninemeier &amp; Hayes, 2006).</w:t>
      </w:r>
    </w:p>
    <w:p w14:paraId="2F19059B" w14:textId="77777777" w:rsidR="00F21481" w:rsidRPr="00F21481" w:rsidRDefault="00F21481" w:rsidP="00F21481">
      <w:pPr>
        <w:spacing w:line="276" w:lineRule="auto"/>
      </w:pPr>
      <w:r w:rsidRPr="00F21481">
        <w:t>Daily tasks include reviewing point of sale sales reports, auditing inventory turnover, and monitoring cost variances (Cullen, 2010). Working alongside the Executive Chef, the director helps design menus that optimize profit margins, manage ingredient expenses, and reduce kitchen waste (Walker, 2021). The director also adjusts operational labor schedules based on projected guest covers to control payroll costs (Bowie et al., 2016).</w:t>
      </w:r>
    </w:p>
    <w:p w14:paraId="6DF8E3B9" w14:textId="77777777" w:rsidR="00F21481" w:rsidRPr="00F21481" w:rsidRDefault="00F21481" w:rsidP="00F21481">
      <w:pPr>
        <w:spacing w:line="276" w:lineRule="auto"/>
        <w:rPr>
          <w:b/>
          <w:bCs/>
        </w:rPr>
      </w:pPr>
      <w:r w:rsidRPr="00F21481">
        <w:rPr>
          <w:b/>
          <w:bCs/>
        </w:rPr>
        <w:t>Quality Assurance and Operational Oversight</w:t>
      </w:r>
    </w:p>
    <w:p w14:paraId="004516F0" w14:textId="77777777" w:rsidR="00F21481" w:rsidRPr="00F21481" w:rsidRDefault="00F21481" w:rsidP="00F21481">
      <w:pPr>
        <w:spacing w:line="276" w:lineRule="auto"/>
      </w:pPr>
      <w:r w:rsidRPr="00F21481">
        <w:t>Operational oversight requires maintaining service quality and food presentation across all service points (Walker, 2021). The director conducts regular checks of kitchens, storage areas, service pantries, and dining rooms to verify full compliance with health regulations, sanitation protocols, and international safety standards (Cullen, 2010).</w:t>
      </w:r>
    </w:p>
    <w:p w14:paraId="758DA9DC" w14:textId="77777777" w:rsidR="00F21481" w:rsidRPr="00F21481" w:rsidRDefault="00F21481" w:rsidP="00F21481">
      <w:pPr>
        <w:spacing w:line="276" w:lineRule="auto"/>
      </w:pPr>
      <w:r w:rsidRPr="00F21481">
        <w:t>In beverage management, the director oversees wine selections, bar menus, liquor stock tracking, and legal compliance for responsible alcohol service (Walker, 2021). By implementing standard operating procedures, the director ensures consistent guest experiences whether guests are using quick breakfast service or attending a formal plated event (Medlik &amp; Ingram, 2000).</w:t>
      </w:r>
    </w:p>
    <w:p w14:paraId="56BA515C" w14:textId="77777777" w:rsidR="00F21481" w:rsidRPr="00F21481" w:rsidRDefault="00F21481" w:rsidP="00F21481">
      <w:pPr>
        <w:spacing w:line="276" w:lineRule="auto"/>
        <w:rPr>
          <w:b/>
          <w:bCs/>
        </w:rPr>
      </w:pPr>
      <w:r w:rsidRPr="00F21481">
        <w:rPr>
          <w:b/>
          <w:bCs/>
        </w:rPr>
        <w:t>Team Leadership and Workforce Development</w:t>
      </w:r>
    </w:p>
    <w:p w14:paraId="44D028FD" w14:textId="77777777" w:rsidR="00F21481" w:rsidRPr="00F21481" w:rsidRDefault="00F21481" w:rsidP="00F21481">
      <w:pPr>
        <w:spacing w:line="276" w:lineRule="auto"/>
      </w:pPr>
      <w:r w:rsidRPr="00F21481">
        <w:t xml:space="preserve">Because hospitality depends directly on personal service interactions, managing human resources effectively is a primary duty (Bowie et al., 2016). The director manages </w:t>
      </w:r>
      <w:r w:rsidRPr="00F21481">
        <w:lastRenderedPageBreak/>
        <w:t>recruitment, hiring, onboarding, and ongoing performance reviews for both front of house service staff and back of house kitchen teams (Ninemeier &amp; Hayes, 2006).</w:t>
      </w:r>
    </w:p>
    <w:p w14:paraId="00C14157" w14:textId="77777777" w:rsidR="00F21481" w:rsidRPr="00F21481" w:rsidRDefault="00F21481" w:rsidP="00F21481">
      <w:pPr>
        <w:spacing w:line="276" w:lineRule="auto"/>
      </w:pPr>
      <w:r w:rsidRPr="00F21481">
        <w:t>Establishing continuous employee training programs is a central focus (Walker, 2021). The director ensures staff receive practical training in table service routines, product knowledge, guest upselling, allergen safety, and handling customer feedback (Cullen, 2010). Maintaining a supportive work environment helps lower employee turnover and improve team productivity (Ninemeier &amp; Hayes, 2006).</w:t>
      </w:r>
    </w:p>
    <w:p w14:paraId="10F44867" w14:textId="77777777" w:rsidR="00F21481" w:rsidRPr="00F21481" w:rsidRDefault="00F21481" w:rsidP="00F21481">
      <w:pPr>
        <w:spacing w:line="276" w:lineRule="auto"/>
        <w:rPr>
          <w:b/>
          <w:bCs/>
        </w:rPr>
      </w:pPr>
      <w:r w:rsidRPr="00F21481">
        <w:rPr>
          <w:b/>
          <w:bCs/>
        </w:rPr>
        <w:t>Strategic Marketing and Guest Satisfaction</w:t>
      </w:r>
    </w:p>
    <w:p w14:paraId="068A47D4" w14:textId="77777777" w:rsidR="00F21481" w:rsidRPr="00F21481" w:rsidRDefault="00F21481" w:rsidP="00F21481">
      <w:pPr>
        <w:spacing w:line="276" w:lineRule="auto"/>
      </w:pPr>
      <w:r w:rsidRPr="00F21481">
        <w:t>The director actively contributes to guest retention and revenue expansion (Kotler et al., 2017). Partnering with the marketing department, the director plans seasonal food promotions, dining events, and menu updates designed to attract both hotel guests and local residents (Bowie et al., 2016).</w:t>
      </w:r>
    </w:p>
    <w:p w14:paraId="402D2D4C" w14:textId="0883672D" w:rsidR="008F504C" w:rsidRPr="00F21481" w:rsidRDefault="00F21481" w:rsidP="00F21481">
      <w:pPr>
        <w:spacing w:line="276" w:lineRule="auto"/>
      </w:pPr>
      <w:r w:rsidRPr="00F21481">
        <w:t>The director also manages guest relations and service recovery (Walker, 2021). By monitoring guest feedback from review platforms and comment forms, the director addresses operational bottlenecks and updates service delivery to maintain high satisfaction scores (Kotler et al., 2017).</w:t>
      </w:r>
    </w:p>
    <w:p w14:paraId="4401B24E" w14:textId="202F95ED" w:rsidR="00F21481" w:rsidRPr="00F21481" w:rsidRDefault="00F21481" w:rsidP="008F504C">
      <w:pPr>
        <w:pStyle w:val="Heading1"/>
      </w:pPr>
      <w:r w:rsidRPr="00F21481">
        <w:t>Right-Sizing in Hotel Food and Beverage Operations</w:t>
      </w:r>
    </w:p>
    <w:p w14:paraId="10223FFB" w14:textId="77777777" w:rsidR="00F21481" w:rsidRPr="00F21481" w:rsidRDefault="00F21481" w:rsidP="00F21481">
      <w:pPr>
        <w:spacing w:line="276" w:lineRule="auto"/>
      </w:pPr>
      <w:r w:rsidRPr="00F21481">
        <w:t>Right-sizing in hotel food and beverage operations refers to matching an outlet's physical capacity, operating hours, menu choices, and staffing levels directly with actual guest demand (Walker, 2021). Historically, hotels built large dining rooms and extensive banquet halls on the assumption that most hotel guests would eat all meals on site (Medlik &amp; Ingram, 2000). Over time, external restaurant competition and rising labor expenses made these oversized facilities difficult to run profitably (Bowie et al., 2016). Right-sizing restructures these spaces to align with current market realities.</w:t>
      </w:r>
    </w:p>
    <w:p w14:paraId="0CFD469F" w14:textId="77777777" w:rsidR="00F21481" w:rsidRPr="00F21481" w:rsidRDefault="00F21481" w:rsidP="00F21481">
      <w:pPr>
        <w:spacing w:line="276" w:lineRule="auto"/>
        <w:rPr>
          <w:b/>
          <w:bCs/>
        </w:rPr>
      </w:pPr>
      <w:r w:rsidRPr="00F21481">
        <w:rPr>
          <w:b/>
          <w:bCs/>
        </w:rPr>
        <w:t>Strategic Goals and Financial Impact</w:t>
      </w:r>
    </w:p>
    <w:p w14:paraId="6B8AEB58" w14:textId="77777777" w:rsidR="00F21481" w:rsidRPr="00F21481" w:rsidRDefault="00F21481" w:rsidP="00F21481">
      <w:pPr>
        <w:spacing w:line="276" w:lineRule="auto"/>
      </w:pPr>
      <w:r w:rsidRPr="00F21481">
        <w:t>The core objective of right-sizing is transforming underutilized dining spaces into efficient, self sustaining profit centers (Ninemeier &amp; Hayes, 2006). Oversized dining rooms incur unnecessary heating, lighting, maintenance, and staffing costs while often feeling empty to guests (Walker, 2021). Downsizing or reallocating these spaces lowers fixed costs and increases financial yield per square meter (Cullen, 2010).</w:t>
      </w:r>
    </w:p>
    <w:p w14:paraId="4B7387E7" w14:textId="77777777" w:rsidR="00F21481" w:rsidRPr="00F21481" w:rsidRDefault="00F21481" w:rsidP="00F21481">
      <w:pPr>
        <w:spacing w:line="276" w:lineRule="auto"/>
      </w:pPr>
      <w:r w:rsidRPr="00F21481">
        <w:t>Financially, right-sizing allows properties to reassign physical space to higher margin activities (Bowie et al., 2016). A hotel might replace an underused two hundred seat restaurant with a compact seventy five seat bistro, converting the remaining area into flexible meeting rooms, retail space, or an executive lounge (Walker, 2021).</w:t>
      </w:r>
    </w:p>
    <w:p w14:paraId="2A31895A" w14:textId="77777777" w:rsidR="00F21481" w:rsidRPr="00F21481" w:rsidRDefault="00F21481" w:rsidP="00F21481">
      <w:pPr>
        <w:spacing w:line="276" w:lineRule="auto"/>
        <w:rPr>
          <w:b/>
          <w:bCs/>
        </w:rPr>
      </w:pPr>
      <w:r w:rsidRPr="00F21481">
        <w:rPr>
          <w:b/>
          <w:bCs/>
        </w:rPr>
        <w:t>Operational Approaches to Right-Sizing</w:t>
      </w:r>
    </w:p>
    <w:p w14:paraId="496F12C4" w14:textId="77777777" w:rsidR="00F21481" w:rsidRPr="00F21481" w:rsidRDefault="00F21481" w:rsidP="00F21481">
      <w:pPr>
        <w:spacing w:line="276" w:lineRule="auto"/>
      </w:pPr>
      <w:r w:rsidRPr="00F21481">
        <w:t>Right-sizing involves structural and operational changes across the department (Ninemeier &amp; Hayes, 2006). Physically, hotels introduce flexible floor plans with partition walls and dual purpose fixtures, allowing a space to transition from a morning breakfast setup to an evening bar or event venue (Cullen, 2010; Walker, 2021).</w:t>
      </w:r>
    </w:p>
    <w:p w14:paraId="452FD793" w14:textId="77777777" w:rsidR="00F21481" w:rsidRPr="00F21481" w:rsidRDefault="00F21481" w:rsidP="00F21481">
      <w:pPr>
        <w:spacing w:line="276" w:lineRule="auto"/>
      </w:pPr>
      <w:r w:rsidRPr="00F21481">
        <w:lastRenderedPageBreak/>
        <w:t>Culinary operations focus on concise, high quality menus (Bowie et al., 2016). Shortening menus reduces kitchen prep time, ingredient storage requirements, spoilage, and labor needs (Walker, 2021).</w:t>
      </w:r>
    </w:p>
    <w:p w14:paraId="5960F818" w14:textId="41A5962C" w:rsidR="00F21481" w:rsidRPr="00F21481" w:rsidRDefault="00F21481" w:rsidP="00F21481">
      <w:pPr>
        <w:spacing w:line="276" w:lineRule="auto"/>
      </w:pPr>
      <w:r w:rsidRPr="00F21481">
        <w:t>Labor scheduling is also streamlined (Ninemeier &amp; Hayes, 2006). By analyzing customer traffic trends, hotels can adjust operating hours during slow periods or introduce grab and go pantries, reducing labor costs without sacrificing essential guest service (Bowie et al., 2016).</w:t>
      </w:r>
    </w:p>
    <w:p w14:paraId="2EE6258E" w14:textId="781A9665" w:rsidR="00F21481" w:rsidRPr="00F21481" w:rsidRDefault="00F21481" w:rsidP="00F21481">
      <w:pPr>
        <w:pStyle w:val="Heading1"/>
      </w:pPr>
      <w:r w:rsidRPr="00F21481">
        <w:t>Comparative Analysis of Meeting Room Setups</w:t>
      </w:r>
    </w:p>
    <w:p w14:paraId="4E3B7A5F" w14:textId="77777777" w:rsidR="00F21481" w:rsidRPr="00F21481" w:rsidRDefault="00F21481" w:rsidP="00F21481">
      <w:pPr>
        <w:spacing w:line="276" w:lineRule="auto"/>
      </w:pPr>
      <w:r w:rsidRPr="00F21481">
        <w:t>Event planning relies on selecting room setups that match the specific goals of an event, expected interaction levels, audio visual requirements, and floor space (Montague et al., 2012; Walker, 2021). Below is a comparative narrative of three standard function room layouts: Theater Style, Classroom Style, and Horseshoe Style.</w:t>
      </w:r>
    </w:p>
    <w:p w14:paraId="5AD27AC8" w14:textId="77777777" w:rsidR="00F21481" w:rsidRPr="00F21481" w:rsidRDefault="00F21481" w:rsidP="00F21481">
      <w:pPr>
        <w:spacing w:line="276" w:lineRule="auto"/>
        <w:rPr>
          <w:b/>
          <w:bCs/>
        </w:rPr>
      </w:pPr>
      <w:r w:rsidRPr="00F21481">
        <w:rPr>
          <w:b/>
          <w:bCs/>
        </w:rPr>
        <w:t>Theater Style Setup</w:t>
      </w:r>
    </w:p>
    <w:p w14:paraId="57BD368D" w14:textId="77777777" w:rsidR="00F21481" w:rsidRPr="00F21481" w:rsidRDefault="00F21481" w:rsidP="00F21481">
      <w:pPr>
        <w:spacing w:line="276" w:lineRule="auto"/>
      </w:pPr>
      <w:r w:rsidRPr="00F21481">
        <w:t>In a Theater Style setup, chairs are arranged in straight or curved rows facing a stage, screen, or presenter at the front of the room (Montague et al., 2012). No tables are used, and aisles are provided for access and safety (Walker, 2021).</w:t>
      </w:r>
    </w:p>
    <w:p w14:paraId="10E2AEA5" w14:textId="77777777" w:rsidR="00F21481" w:rsidRPr="00F21481" w:rsidRDefault="00F21481" w:rsidP="00F21481">
      <w:pPr>
        <w:spacing w:line="276" w:lineRule="auto"/>
        <w:rPr>
          <w:b/>
          <w:bCs/>
        </w:rPr>
      </w:pPr>
      <w:r w:rsidRPr="00F21481">
        <w:rPr>
          <w:b/>
          <w:bCs/>
        </w:rPr>
        <w:t>Seating Arrangement</w:t>
      </w:r>
    </w:p>
    <w:p w14:paraId="6352A73D" w14:textId="77777777" w:rsidR="00F21481" w:rsidRPr="00F21481" w:rsidRDefault="00F21481" w:rsidP="00F21481">
      <w:pPr>
        <w:spacing w:line="276" w:lineRule="auto"/>
      </w:pPr>
      <w:r w:rsidRPr="00F21481">
        <w:t>Chairs are positioned close together in parallel rows facing forward toward the main focal point, with central and side aisles for movement (Montague et al., 2012).</w:t>
      </w:r>
    </w:p>
    <w:p w14:paraId="74E6AAF2" w14:textId="453AB592" w:rsidR="00F21481" w:rsidRPr="00F21481" w:rsidRDefault="00F21481" w:rsidP="00F21481">
      <w:pPr>
        <w:spacing w:line="276" w:lineRule="auto"/>
        <w:rPr>
          <w:b/>
          <w:bCs/>
        </w:rPr>
      </w:pPr>
      <w:r w:rsidRPr="00F21481">
        <w:rPr>
          <w:b/>
          <w:bCs/>
        </w:rPr>
        <w:t>Advantages</w:t>
      </w:r>
    </w:p>
    <w:p w14:paraId="5038F34F" w14:textId="77777777" w:rsidR="00F21481" w:rsidRPr="00F21481" w:rsidRDefault="00F21481" w:rsidP="00F21481">
      <w:pPr>
        <w:spacing w:line="276" w:lineRule="auto"/>
      </w:pPr>
      <w:r w:rsidRPr="00F21481">
        <w:t>This layout maximizes total room capacity because it omits tables entirely (Montague et al., 2012). It concentrates audience attention directly forward toward the speaker or presentation screen (Walker, 2021).</w:t>
      </w:r>
    </w:p>
    <w:p w14:paraId="33DAFF08" w14:textId="77777777" w:rsidR="00F21481" w:rsidRPr="00F21481" w:rsidRDefault="00F21481" w:rsidP="00F21481">
      <w:pPr>
        <w:spacing w:line="276" w:lineRule="auto"/>
        <w:rPr>
          <w:b/>
          <w:bCs/>
        </w:rPr>
      </w:pPr>
      <w:r w:rsidRPr="00F21481">
        <w:rPr>
          <w:b/>
          <w:bCs/>
        </w:rPr>
        <w:t>Typical Uses</w:t>
      </w:r>
    </w:p>
    <w:p w14:paraId="7376ADDF" w14:textId="77777777" w:rsidR="00F21481" w:rsidRPr="00F21481" w:rsidRDefault="00F21481" w:rsidP="00F21481">
      <w:pPr>
        <w:spacing w:line="276" w:lineRule="auto"/>
      </w:pPr>
      <w:r w:rsidRPr="00F21481">
        <w:t>Theater Style works well for one way presentations where audience note taking is minimal, such as corporate general meetings, keynote speeches, award ceremonies, and product unveilings (Montague et al., 2012; Walker, 2021).</w:t>
      </w:r>
    </w:p>
    <w:p w14:paraId="2AF9274B" w14:textId="77777777" w:rsidR="00F21481" w:rsidRPr="00F21481" w:rsidRDefault="00F21481" w:rsidP="00F21481">
      <w:pPr>
        <w:spacing w:line="276" w:lineRule="auto"/>
        <w:rPr>
          <w:b/>
          <w:bCs/>
        </w:rPr>
      </w:pPr>
      <w:r w:rsidRPr="00F21481">
        <w:rPr>
          <w:b/>
          <w:bCs/>
        </w:rPr>
        <w:t>Space Requirements</w:t>
      </w:r>
    </w:p>
    <w:p w14:paraId="336535A6" w14:textId="77777777" w:rsidR="00F21481" w:rsidRPr="00F21481" w:rsidRDefault="00F21481" w:rsidP="00F21481">
      <w:pPr>
        <w:spacing w:line="276" w:lineRule="auto"/>
      </w:pPr>
      <w:r w:rsidRPr="00F21481">
        <w:t>This is the most compact meeting layout, requiring roughly 0.8 to 1.0 square meters (9 to 11 square feet) per person (Montague et al., 2012).</w:t>
      </w:r>
    </w:p>
    <w:p w14:paraId="4CC7ED22" w14:textId="77777777" w:rsidR="00F21481" w:rsidRPr="00F21481" w:rsidRDefault="00F21481" w:rsidP="00F21481">
      <w:pPr>
        <w:spacing w:line="276" w:lineRule="auto"/>
        <w:rPr>
          <w:b/>
          <w:bCs/>
        </w:rPr>
      </w:pPr>
      <w:r w:rsidRPr="00F21481">
        <w:rPr>
          <w:b/>
          <w:bCs/>
        </w:rPr>
        <w:t>Classroom Style Setup</w:t>
      </w:r>
    </w:p>
    <w:p w14:paraId="2CE1044C" w14:textId="77777777" w:rsidR="00F21481" w:rsidRPr="00F21481" w:rsidRDefault="00F21481" w:rsidP="00F21481">
      <w:pPr>
        <w:spacing w:line="276" w:lineRule="auto"/>
      </w:pPr>
      <w:r w:rsidRPr="00F21481">
        <w:t>Classroom Style features rows of rectangular tables with chairs placed on one side facing the front presenter area (Montague et al., 2012).</w:t>
      </w:r>
    </w:p>
    <w:p w14:paraId="4F6EB45F" w14:textId="77777777" w:rsidR="00F21481" w:rsidRPr="00F21481" w:rsidRDefault="00F21481" w:rsidP="00F21481">
      <w:pPr>
        <w:spacing w:line="276" w:lineRule="auto"/>
        <w:rPr>
          <w:b/>
          <w:bCs/>
        </w:rPr>
      </w:pPr>
      <w:r w:rsidRPr="00F21481">
        <w:rPr>
          <w:b/>
          <w:bCs/>
        </w:rPr>
        <w:t>Seating Arrangement</w:t>
      </w:r>
    </w:p>
    <w:p w14:paraId="650A7567" w14:textId="77777777" w:rsidR="00F21481" w:rsidRPr="00F21481" w:rsidRDefault="00F21481" w:rsidP="00F21481">
      <w:pPr>
        <w:spacing w:line="276" w:lineRule="auto"/>
      </w:pPr>
      <w:r w:rsidRPr="00F21481">
        <w:t>Tables are set in parallel rows facing forward, with chairs aligned on the side facing the stage so every participant views the presenter (Walker, 2021).</w:t>
      </w:r>
    </w:p>
    <w:p w14:paraId="5D46E8E7" w14:textId="06A6BA03" w:rsidR="00F21481" w:rsidRPr="00F21481" w:rsidRDefault="00F21481" w:rsidP="00F21481">
      <w:pPr>
        <w:spacing w:line="276" w:lineRule="auto"/>
        <w:rPr>
          <w:b/>
          <w:bCs/>
        </w:rPr>
      </w:pPr>
      <w:r w:rsidRPr="00F21481">
        <w:rPr>
          <w:b/>
          <w:bCs/>
        </w:rPr>
        <w:t>Advantages</w:t>
      </w:r>
    </w:p>
    <w:p w14:paraId="0461C2C2" w14:textId="77777777" w:rsidR="00F21481" w:rsidRPr="00F21481" w:rsidRDefault="00F21481" w:rsidP="00F21481">
      <w:pPr>
        <w:spacing w:line="276" w:lineRule="auto"/>
      </w:pPr>
      <w:r w:rsidRPr="00F21481">
        <w:t>This setup provides each participant with surface space for laptops, notebooks, documents, and drinks (Montague et al., 2012). It supports audience focus on the presenter while allowing comfortable note taking during long sessions (Walker, 2021).</w:t>
      </w:r>
    </w:p>
    <w:p w14:paraId="357941FA" w14:textId="77777777" w:rsidR="00F21481" w:rsidRPr="00F21481" w:rsidRDefault="00F21481" w:rsidP="00F21481">
      <w:pPr>
        <w:spacing w:line="276" w:lineRule="auto"/>
        <w:rPr>
          <w:b/>
          <w:bCs/>
        </w:rPr>
      </w:pPr>
      <w:r w:rsidRPr="00F21481">
        <w:rPr>
          <w:b/>
          <w:bCs/>
        </w:rPr>
        <w:lastRenderedPageBreak/>
        <w:t>Typical Uses</w:t>
      </w:r>
    </w:p>
    <w:p w14:paraId="07E4E1D3" w14:textId="77777777" w:rsidR="00F21481" w:rsidRPr="00F21481" w:rsidRDefault="00F21481" w:rsidP="00F21481">
      <w:pPr>
        <w:spacing w:line="276" w:lineRule="auto"/>
      </w:pPr>
      <w:r w:rsidRPr="00F21481">
        <w:t>Classroom Style is used for training sessions, professional workshops, corporate seminars, examinations, and educational programs (Montague et al., 2012).</w:t>
      </w:r>
    </w:p>
    <w:p w14:paraId="72B8127F" w14:textId="77777777" w:rsidR="00F21481" w:rsidRPr="00F21481" w:rsidRDefault="00F21481" w:rsidP="00F21481">
      <w:pPr>
        <w:spacing w:line="276" w:lineRule="auto"/>
        <w:rPr>
          <w:b/>
          <w:bCs/>
        </w:rPr>
      </w:pPr>
      <w:r w:rsidRPr="00F21481">
        <w:rPr>
          <w:b/>
          <w:bCs/>
        </w:rPr>
        <w:t>Space Requirements</w:t>
      </w:r>
    </w:p>
    <w:p w14:paraId="1AAA90D8" w14:textId="77777777" w:rsidR="00F21481" w:rsidRPr="00F21481" w:rsidRDefault="00F21481" w:rsidP="00F21481">
      <w:pPr>
        <w:spacing w:line="276" w:lineRule="auto"/>
      </w:pPr>
      <w:r w:rsidRPr="00F21481">
        <w:t>Because tables require extra floor space and clearance between rows, this arrangement requires about 1.6 to 1.9 square meters (17 to 20 square feet) per person, reducing room capacity by roughly half compared to Theater Style (Montague et al., 2012; Walker, 2021).</w:t>
      </w:r>
    </w:p>
    <w:p w14:paraId="1C8367F1" w14:textId="77777777" w:rsidR="00F21481" w:rsidRPr="00F21481" w:rsidRDefault="00F21481" w:rsidP="00F21481">
      <w:pPr>
        <w:spacing w:line="276" w:lineRule="auto"/>
        <w:rPr>
          <w:b/>
          <w:bCs/>
        </w:rPr>
      </w:pPr>
      <w:r w:rsidRPr="00F21481">
        <w:rPr>
          <w:b/>
          <w:bCs/>
        </w:rPr>
        <w:t>Horseshoe Style Setup</w:t>
      </w:r>
    </w:p>
    <w:p w14:paraId="7837483D" w14:textId="77777777" w:rsidR="00F21481" w:rsidRPr="00F21481" w:rsidRDefault="00F21481" w:rsidP="00F21481">
      <w:pPr>
        <w:spacing w:line="276" w:lineRule="auto"/>
      </w:pPr>
      <w:r w:rsidRPr="00F21481">
        <w:t>Horseshoe Style, or U-Shape, uses rectangular tables placed end to end in a U pattern, leaving the center area open (Montague et al., 2012).</w:t>
      </w:r>
    </w:p>
    <w:p w14:paraId="7BDB3522" w14:textId="77777777" w:rsidR="00F21481" w:rsidRPr="00F21481" w:rsidRDefault="00F21481" w:rsidP="00F21481">
      <w:pPr>
        <w:spacing w:line="276" w:lineRule="auto"/>
        <w:rPr>
          <w:b/>
          <w:bCs/>
        </w:rPr>
      </w:pPr>
      <w:r w:rsidRPr="00F21481">
        <w:rPr>
          <w:b/>
          <w:bCs/>
        </w:rPr>
        <w:t>Seating Arrangement</w:t>
      </w:r>
    </w:p>
    <w:p w14:paraId="239245A0" w14:textId="77777777" w:rsidR="00F21481" w:rsidRPr="00F21481" w:rsidRDefault="00F21481" w:rsidP="00F21481">
      <w:pPr>
        <w:spacing w:line="276" w:lineRule="auto"/>
      </w:pPr>
      <w:r w:rsidRPr="00F21481">
        <w:t>Chairs are placed around the outer edge of the tables facing inward toward the center and the open end of the setup (Walker, 2021). The open end usually faces a presentation screen or whiteboard (Montague et al., 2012).</w:t>
      </w:r>
    </w:p>
    <w:p w14:paraId="3D85D0BC" w14:textId="77777777" w:rsidR="00F21481" w:rsidRPr="00F21481" w:rsidRDefault="00F21481" w:rsidP="00F21481">
      <w:pPr>
        <w:spacing w:line="276" w:lineRule="auto"/>
        <w:rPr>
          <w:b/>
          <w:bCs/>
        </w:rPr>
      </w:pPr>
      <w:r w:rsidRPr="00F21481">
        <w:rPr>
          <w:b/>
          <w:bCs/>
        </w:rPr>
        <w:t>Main Advantages</w:t>
      </w:r>
    </w:p>
    <w:p w14:paraId="51A58C52" w14:textId="77777777" w:rsidR="00F21481" w:rsidRPr="00F21481" w:rsidRDefault="00F21481" w:rsidP="00F21481">
      <w:pPr>
        <w:spacing w:line="276" w:lineRule="auto"/>
      </w:pPr>
      <w:r w:rsidRPr="00F21481">
        <w:t>This configuration encourages group discussion and eye contact among all attendees (Montague et al., 2012). The presenter can walk into the open center space to interact directly with participants while maintaining clear sightlines to visual aids (Walker, 2021).</w:t>
      </w:r>
    </w:p>
    <w:p w14:paraId="5704FF54" w14:textId="77777777" w:rsidR="00F21481" w:rsidRPr="00F21481" w:rsidRDefault="00F21481" w:rsidP="00F21481">
      <w:pPr>
        <w:spacing w:line="276" w:lineRule="auto"/>
        <w:rPr>
          <w:b/>
          <w:bCs/>
        </w:rPr>
      </w:pPr>
      <w:r w:rsidRPr="00F21481">
        <w:rPr>
          <w:b/>
          <w:bCs/>
        </w:rPr>
        <w:t>Typical Uses</w:t>
      </w:r>
    </w:p>
    <w:p w14:paraId="75C415AD" w14:textId="77777777" w:rsidR="00F21481" w:rsidRPr="00F21481" w:rsidRDefault="00F21481" w:rsidP="00F21481">
      <w:pPr>
        <w:spacing w:line="276" w:lineRule="auto"/>
      </w:pPr>
      <w:r w:rsidRPr="00F21481">
        <w:t>Horseshoe Style is suited for executive board meetings, planning workshops, committee discussions, and focus groups requiring active conversation (Montague et al., 2012).</w:t>
      </w:r>
    </w:p>
    <w:p w14:paraId="7E8077B8" w14:textId="77777777" w:rsidR="00F21481" w:rsidRPr="00F21481" w:rsidRDefault="00F21481" w:rsidP="00F21481">
      <w:pPr>
        <w:spacing w:line="276" w:lineRule="auto"/>
        <w:rPr>
          <w:b/>
          <w:bCs/>
        </w:rPr>
      </w:pPr>
      <w:r w:rsidRPr="00F21481">
        <w:rPr>
          <w:b/>
          <w:bCs/>
        </w:rPr>
        <w:t>Space Requirements</w:t>
      </w:r>
    </w:p>
    <w:p w14:paraId="26A73C2A" w14:textId="68764725" w:rsidR="00F21481" w:rsidRPr="00F21481" w:rsidRDefault="00F21481" w:rsidP="00F21481">
      <w:pPr>
        <w:spacing w:line="276" w:lineRule="auto"/>
      </w:pPr>
      <w:r w:rsidRPr="00F21481">
        <w:t>Because the middle of the room remains open, this layout requires about 2.8 to 3.3 square meters (30 to 35 square feet) per person, making it suitable mainly for smaller groups under thirty people (Montague et al., 2012; Walker, 2021).</w:t>
      </w:r>
    </w:p>
    <w:p w14:paraId="70624A9B" w14:textId="4949935D" w:rsidR="00F21481" w:rsidRPr="00F21481" w:rsidRDefault="00F21481" w:rsidP="00F21481">
      <w:pPr>
        <w:pStyle w:val="Heading1"/>
      </w:pPr>
      <w:r w:rsidRPr="00F21481">
        <w:t>References</w:t>
      </w:r>
    </w:p>
    <w:p w14:paraId="05D51732" w14:textId="77777777" w:rsidR="00F21481" w:rsidRPr="00F21481" w:rsidRDefault="00F21481" w:rsidP="00F21481">
      <w:pPr>
        <w:numPr>
          <w:ilvl w:val="0"/>
          <w:numId w:val="14"/>
        </w:numPr>
        <w:spacing w:line="276" w:lineRule="auto"/>
      </w:pPr>
      <w:r w:rsidRPr="00F21481">
        <w:t xml:space="preserve">Bowie, D., Buttle, F., Brookes, M., &amp; Zhang, X. (2016). </w:t>
      </w:r>
      <w:r w:rsidRPr="00F21481">
        <w:rPr>
          <w:i/>
          <w:iCs/>
        </w:rPr>
        <w:t>Hospitality Marketing: Principles and Practice</w:t>
      </w:r>
      <w:r w:rsidRPr="00F21481">
        <w:t>. Routledge.</w:t>
      </w:r>
    </w:p>
    <w:p w14:paraId="5AE78871" w14:textId="77777777" w:rsidR="00F21481" w:rsidRPr="00F21481" w:rsidRDefault="00F21481" w:rsidP="00F21481">
      <w:pPr>
        <w:numPr>
          <w:ilvl w:val="0"/>
          <w:numId w:val="14"/>
        </w:numPr>
        <w:spacing w:line="276" w:lineRule="auto"/>
      </w:pPr>
      <w:r w:rsidRPr="00F21481">
        <w:t xml:space="preserve">Cullen, P. (2010). </w:t>
      </w:r>
      <w:r w:rsidRPr="00F21481">
        <w:rPr>
          <w:i/>
          <w:iCs/>
        </w:rPr>
        <w:t>Economics of Hospitality Management</w:t>
      </w:r>
      <w:r w:rsidRPr="00F21481">
        <w:t>. Cengage Learning.</w:t>
      </w:r>
    </w:p>
    <w:p w14:paraId="7F6A487D" w14:textId="77777777" w:rsidR="00F21481" w:rsidRPr="00F21481" w:rsidRDefault="00F21481" w:rsidP="00F21481">
      <w:pPr>
        <w:numPr>
          <w:ilvl w:val="0"/>
          <w:numId w:val="14"/>
        </w:numPr>
        <w:spacing w:line="276" w:lineRule="auto"/>
      </w:pPr>
      <w:r w:rsidRPr="00F21481">
        <w:rPr>
          <w:lang w:val="de-DE"/>
        </w:rPr>
        <w:t xml:space="preserve">Kotler, P., Bowen, J. T., Makens, J. C., &amp; Baloglu, S. (2017). </w:t>
      </w:r>
      <w:r w:rsidRPr="00F21481">
        <w:rPr>
          <w:i/>
          <w:iCs/>
        </w:rPr>
        <w:t>Marketing for Hospitality and Tourism</w:t>
      </w:r>
      <w:r w:rsidRPr="00F21481">
        <w:t xml:space="preserve"> (7th ed.). Pearson.</w:t>
      </w:r>
    </w:p>
    <w:p w14:paraId="2B6BE3C4" w14:textId="77777777" w:rsidR="00F21481" w:rsidRPr="00F21481" w:rsidRDefault="00F21481" w:rsidP="00F21481">
      <w:pPr>
        <w:numPr>
          <w:ilvl w:val="0"/>
          <w:numId w:val="14"/>
        </w:numPr>
        <w:spacing w:line="276" w:lineRule="auto"/>
      </w:pPr>
      <w:r w:rsidRPr="00F21481">
        <w:t xml:space="preserve">Medlik, S., &amp; Ingram, H. (2000). </w:t>
      </w:r>
      <w:r w:rsidRPr="00F21481">
        <w:rPr>
          <w:i/>
          <w:iCs/>
        </w:rPr>
        <w:t>The Business of Hotels</w:t>
      </w:r>
      <w:r w:rsidRPr="00F21481">
        <w:t xml:space="preserve"> (4th ed.). Butterworth-Heinemann.</w:t>
      </w:r>
    </w:p>
    <w:p w14:paraId="650D8F85" w14:textId="77777777" w:rsidR="00F21481" w:rsidRPr="00F21481" w:rsidRDefault="00F21481" w:rsidP="00F21481">
      <w:pPr>
        <w:numPr>
          <w:ilvl w:val="0"/>
          <w:numId w:val="14"/>
        </w:numPr>
        <w:spacing w:line="276" w:lineRule="auto"/>
      </w:pPr>
      <w:r w:rsidRPr="00F21481">
        <w:t xml:space="preserve">Montague, S., Lawson, F., &amp; Perry, G. (2012). </w:t>
      </w:r>
      <w:r w:rsidRPr="00F21481">
        <w:rPr>
          <w:i/>
          <w:iCs/>
        </w:rPr>
        <w:t>Conference and Convention Management</w:t>
      </w:r>
      <w:r w:rsidRPr="00F21481">
        <w:t>. Butterworth-Heinemann.</w:t>
      </w:r>
    </w:p>
    <w:p w14:paraId="5447DFCB" w14:textId="77777777" w:rsidR="00F21481" w:rsidRPr="00F21481" w:rsidRDefault="00F21481" w:rsidP="00F21481">
      <w:pPr>
        <w:numPr>
          <w:ilvl w:val="0"/>
          <w:numId w:val="14"/>
        </w:numPr>
        <w:spacing w:line="276" w:lineRule="auto"/>
      </w:pPr>
      <w:r w:rsidRPr="00F21481">
        <w:rPr>
          <w:lang w:val="de-DE"/>
        </w:rPr>
        <w:t xml:space="preserve">Ninemeier, J. D., &amp; Hayes, D. K. (2006). </w:t>
      </w:r>
      <w:r w:rsidRPr="00F21481">
        <w:rPr>
          <w:i/>
          <w:iCs/>
        </w:rPr>
        <w:t>Restaurant Operations Management: Principles and Practices</w:t>
      </w:r>
      <w:r w:rsidRPr="00F21481">
        <w:t>. Pearson Prentice Hall.</w:t>
      </w:r>
    </w:p>
    <w:p w14:paraId="64615FF6" w14:textId="77777777" w:rsidR="00F21481" w:rsidRPr="00F21481" w:rsidRDefault="00F21481" w:rsidP="00F21481">
      <w:pPr>
        <w:numPr>
          <w:ilvl w:val="0"/>
          <w:numId w:val="14"/>
        </w:numPr>
        <w:spacing w:line="276" w:lineRule="auto"/>
      </w:pPr>
      <w:r w:rsidRPr="00F21481">
        <w:t xml:space="preserve">Walker, J. R. (2021). </w:t>
      </w:r>
      <w:r w:rsidRPr="00F21481">
        <w:rPr>
          <w:i/>
          <w:iCs/>
        </w:rPr>
        <w:t>Introduction to Hospitality</w:t>
      </w:r>
      <w:r w:rsidRPr="00F21481">
        <w:t xml:space="preserve"> (8th ed.). Pearson.</w:t>
      </w:r>
    </w:p>
    <w:p w14:paraId="6241B41C" w14:textId="315E0B8C" w:rsidR="001674E1" w:rsidRPr="001674E1" w:rsidRDefault="001674E1" w:rsidP="00F21481">
      <w:pPr>
        <w:spacing w:line="276" w:lineRule="auto"/>
      </w:pPr>
    </w:p>
    <w:sectPr w:rsidR="001674E1" w:rsidRPr="001674E1" w:rsidSect="00D4729C">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1" w:fontKey="{D758DA2A-E7E0-43FF-8FF9-ECF1776F5A52}"/>
    <w:embedBold r:id="rId2" w:fontKey="{408D179E-2C6E-42E1-A263-4AD05ADD3826}"/>
    <w:embedItalic r:id="rId3" w:fontKey="{04C01FFB-06F3-4678-A67B-1ED3B4B78067}"/>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5ED80E36-AD19-443C-A75F-A0D7B3A08D80}"/>
    <w:embedBold r:id="rId5" w:fontKey="{ABD8E902-40FC-428B-A361-3B9C6C8AEB5D}"/>
  </w:font>
  <w:font w:name="Calibri Light">
    <w:panose1 w:val="020F0302020204030204"/>
    <w:charset w:val="00"/>
    <w:family w:val="swiss"/>
    <w:pitch w:val="variable"/>
    <w:sig w:usb0="E4002EFF" w:usb1="C200247B" w:usb2="00000009" w:usb3="00000000" w:csb0="000001FF" w:csb1="00000000"/>
    <w:embedRegular r:id="rId6" w:fontKey="{2EA5C4DB-86BA-4611-865B-1816477C64B2}"/>
    <w:embedItalic r:id="rId7" w:fontKey="{27DB7974-3229-42B3-A953-79B1E9036D06}"/>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33D8C"/>
    <w:multiLevelType w:val="hybridMultilevel"/>
    <w:tmpl w:val="E73EB280"/>
    <w:lvl w:ilvl="0" w:tplc="04090001">
      <w:start w:val="1"/>
      <w:numFmt w:val="bullet"/>
      <w:lvlText w:val=""/>
      <w:lvlJc w:val="left"/>
      <w:pPr>
        <w:ind w:left="772" w:hanging="360"/>
      </w:pPr>
      <w:rPr>
        <w:rFonts w:ascii="Symbol" w:hAnsi="Symbol" w:hint="default"/>
      </w:rPr>
    </w:lvl>
    <w:lvl w:ilvl="1" w:tplc="04090003" w:tentative="1">
      <w:start w:val="1"/>
      <w:numFmt w:val="bullet"/>
      <w:lvlText w:val="o"/>
      <w:lvlJc w:val="left"/>
      <w:pPr>
        <w:ind w:left="1492" w:hanging="360"/>
      </w:pPr>
      <w:rPr>
        <w:rFonts w:ascii="Courier New" w:hAnsi="Courier New" w:cs="Courier New" w:hint="default"/>
      </w:rPr>
    </w:lvl>
    <w:lvl w:ilvl="2" w:tplc="04090005" w:tentative="1">
      <w:start w:val="1"/>
      <w:numFmt w:val="bullet"/>
      <w:lvlText w:val=""/>
      <w:lvlJc w:val="left"/>
      <w:pPr>
        <w:ind w:left="2212" w:hanging="360"/>
      </w:pPr>
      <w:rPr>
        <w:rFonts w:ascii="Wingdings" w:hAnsi="Wingdings" w:hint="default"/>
      </w:rPr>
    </w:lvl>
    <w:lvl w:ilvl="3" w:tplc="04090001" w:tentative="1">
      <w:start w:val="1"/>
      <w:numFmt w:val="bullet"/>
      <w:lvlText w:val=""/>
      <w:lvlJc w:val="left"/>
      <w:pPr>
        <w:ind w:left="2932" w:hanging="360"/>
      </w:pPr>
      <w:rPr>
        <w:rFonts w:ascii="Symbol" w:hAnsi="Symbol" w:hint="default"/>
      </w:rPr>
    </w:lvl>
    <w:lvl w:ilvl="4" w:tplc="04090003" w:tentative="1">
      <w:start w:val="1"/>
      <w:numFmt w:val="bullet"/>
      <w:lvlText w:val="o"/>
      <w:lvlJc w:val="left"/>
      <w:pPr>
        <w:ind w:left="3652" w:hanging="360"/>
      </w:pPr>
      <w:rPr>
        <w:rFonts w:ascii="Courier New" w:hAnsi="Courier New" w:cs="Courier New" w:hint="default"/>
      </w:rPr>
    </w:lvl>
    <w:lvl w:ilvl="5" w:tplc="04090005" w:tentative="1">
      <w:start w:val="1"/>
      <w:numFmt w:val="bullet"/>
      <w:lvlText w:val=""/>
      <w:lvlJc w:val="left"/>
      <w:pPr>
        <w:ind w:left="4372" w:hanging="360"/>
      </w:pPr>
      <w:rPr>
        <w:rFonts w:ascii="Wingdings" w:hAnsi="Wingdings" w:hint="default"/>
      </w:rPr>
    </w:lvl>
    <w:lvl w:ilvl="6" w:tplc="04090001" w:tentative="1">
      <w:start w:val="1"/>
      <w:numFmt w:val="bullet"/>
      <w:lvlText w:val=""/>
      <w:lvlJc w:val="left"/>
      <w:pPr>
        <w:ind w:left="5092" w:hanging="360"/>
      </w:pPr>
      <w:rPr>
        <w:rFonts w:ascii="Symbol" w:hAnsi="Symbol" w:hint="default"/>
      </w:rPr>
    </w:lvl>
    <w:lvl w:ilvl="7" w:tplc="04090003" w:tentative="1">
      <w:start w:val="1"/>
      <w:numFmt w:val="bullet"/>
      <w:lvlText w:val="o"/>
      <w:lvlJc w:val="left"/>
      <w:pPr>
        <w:ind w:left="5812" w:hanging="360"/>
      </w:pPr>
      <w:rPr>
        <w:rFonts w:ascii="Courier New" w:hAnsi="Courier New" w:cs="Courier New" w:hint="default"/>
      </w:rPr>
    </w:lvl>
    <w:lvl w:ilvl="8" w:tplc="04090005" w:tentative="1">
      <w:start w:val="1"/>
      <w:numFmt w:val="bullet"/>
      <w:lvlText w:val=""/>
      <w:lvlJc w:val="left"/>
      <w:pPr>
        <w:ind w:left="6532" w:hanging="360"/>
      </w:pPr>
      <w:rPr>
        <w:rFonts w:ascii="Wingdings" w:hAnsi="Wingdings" w:hint="default"/>
      </w:rPr>
    </w:lvl>
  </w:abstractNum>
  <w:abstractNum w:abstractNumId="1" w15:restartNumberingAfterBreak="0">
    <w:nsid w:val="1D365987"/>
    <w:multiLevelType w:val="hybridMultilevel"/>
    <w:tmpl w:val="CDC0EA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E5F678B"/>
    <w:multiLevelType w:val="hybridMultilevel"/>
    <w:tmpl w:val="17B623C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5CE063B"/>
    <w:multiLevelType w:val="hybridMultilevel"/>
    <w:tmpl w:val="8314253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A390B18"/>
    <w:multiLevelType w:val="multilevel"/>
    <w:tmpl w:val="6E285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08970B1"/>
    <w:multiLevelType w:val="hybridMultilevel"/>
    <w:tmpl w:val="29808F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5572230"/>
    <w:multiLevelType w:val="hybridMultilevel"/>
    <w:tmpl w:val="76FAF4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9DE7208"/>
    <w:multiLevelType w:val="hybridMultilevel"/>
    <w:tmpl w:val="B9C8AE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4A97444"/>
    <w:multiLevelType w:val="hybridMultilevel"/>
    <w:tmpl w:val="2A0218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59F54AD"/>
    <w:multiLevelType w:val="multilevel"/>
    <w:tmpl w:val="8DC8B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DF52975"/>
    <w:multiLevelType w:val="hybridMultilevel"/>
    <w:tmpl w:val="3B6C26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1953F47"/>
    <w:multiLevelType w:val="hybridMultilevel"/>
    <w:tmpl w:val="9F96B6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9B14BA1"/>
    <w:multiLevelType w:val="hybridMultilevel"/>
    <w:tmpl w:val="30F47D0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AEB65A4"/>
    <w:multiLevelType w:val="hybridMultilevel"/>
    <w:tmpl w:val="0FF0C0BC"/>
    <w:lvl w:ilvl="0" w:tplc="CADC0228">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27483510">
    <w:abstractNumId w:val="7"/>
  </w:num>
  <w:num w:numId="2" w16cid:durableId="1012683535">
    <w:abstractNumId w:val="1"/>
  </w:num>
  <w:num w:numId="3" w16cid:durableId="1882092387">
    <w:abstractNumId w:val="8"/>
  </w:num>
  <w:num w:numId="4" w16cid:durableId="1544052912">
    <w:abstractNumId w:val="0"/>
  </w:num>
  <w:num w:numId="5" w16cid:durableId="1976175921">
    <w:abstractNumId w:val="5"/>
  </w:num>
  <w:num w:numId="6" w16cid:durableId="1741564058">
    <w:abstractNumId w:val="6"/>
  </w:num>
  <w:num w:numId="7" w16cid:durableId="192623156">
    <w:abstractNumId w:val="3"/>
  </w:num>
  <w:num w:numId="8" w16cid:durableId="378478015">
    <w:abstractNumId w:val="13"/>
  </w:num>
  <w:num w:numId="9" w16cid:durableId="982736017">
    <w:abstractNumId w:val="10"/>
  </w:num>
  <w:num w:numId="10" w16cid:durableId="1321621996">
    <w:abstractNumId w:val="11"/>
  </w:num>
  <w:num w:numId="11" w16cid:durableId="646325083">
    <w:abstractNumId w:val="2"/>
  </w:num>
  <w:num w:numId="12" w16cid:durableId="1195771833">
    <w:abstractNumId w:val="12"/>
  </w:num>
  <w:num w:numId="13" w16cid:durableId="1138063555">
    <w:abstractNumId w:val="9"/>
  </w:num>
  <w:num w:numId="14" w16cid:durableId="16106228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embedTrueTypeFont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68B1"/>
    <w:rsid w:val="0003533E"/>
    <w:rsid w:val="0006356A"/>
    <w:rsid w:val="000E68B1"/>
    <w:rsid w:val="001674E1"/>
    <w:rsid w:val="001700EC"/>
    <w:rsid w:val="00174BB1"/>
    <w:rsid w:val="00224FD9"/>
    <w:rsid w:val="002F4AE0"/>
    <w:rsid w:val="00317065"/>
    <w:rsid w:val="00384E8A"/>
    <w:rsid w:val="003D1074"/>
    <w:rsid w:val="00426865"/>
    <w:rsid w:val="00477CAA"/>
    <w:rsid w:val="004C5A76"/>
    <w:rsid w:val="004E2BF2"/>
    <w:rsid w:val="00501F2F"/>
    <w:rsid w:val="00502E29"/>
    <w:rsid w:val="005949FB"/>
    <w:rsid w:val="005E458B"/>
    <w:rsid w:val="00786B99"/>
    <w:rsid w:val="00794642"/>
    <w:rsid w:val="007C4F78"/>
    <w:rsid w:val="00844EC2"/>
    <w:rsid w:val="008516FE"/>
    <w:rsid w:val="008F504C"/>
    <w:rsid w:val="009C1D0A"/>
    <w:rsid w:val="00A044F7"/>
    <w:rsid w:val="00A16DE0"/>
    <w:rsid w:val="00A8150E"/>
    <w:rsid w:val="00AA0062"/>
    <w:rsid w:val="00B20343"/>
    <w:rsid w:val="00B72487"/>
    <w:rsid w:val="00B85EA7"/>
    <w:rsid w:val="00BE65DD"/>
    <w:rsid w:val="00C612A4"/>
    <w:rsid w:val="00CC6AD1"/>
    <w:rsid w:val="00D4729C"/>
    <w:rsid w:val="00E6778A"/>
    <w:rsid w:val="00F21481"/>
    <w:rsid w:val="00F25F5B"/>
    <w:rsid w:val="00F837B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D4BE14"/>
  <w15:chartTrackingRefBased/>
  <w15:docId w15:val="{8DD5EBF9-C8DE-1A45-B08F-FBFDA3EFC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68B1"/>
  </w:style>
  <w:style w:type="paragraph" w:styleId="Heading1">
    <w:name w:val="heading 1"/>
    <w:basedOn w:val="NoSpacing"/>
    <w:next w:val="Normal"/>
    <w:link w:val="Heading1Char"/>
    <w:autoRedefine/>
    <w:uiPriority w:val="9"/>
    <w:qFormat/>
    <w:rsid w:val="00F21481"/>
    <w:pPr>
      <w:keepNext/>
      <w:keepLines/>
      <w:spacing w:before="480"/>
      <w:outlineLvl w:val="0"/>
    </w:pPr>
    <w:rPr>
      <w:rFonts w:ascii="Cambria" w:eastAsiaTheme="majorEastAsia" w:hAnsi="Cambria" w:cstheme="majorBidi"/>
      <w:b/>
      <w:sz w:val="28"/>
      <w:szCs w:val="28"/>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rPr>
  </w:style>
  <w:style w:type="paragraph" w:styleId="Heading4">
    <w:name w:val="heading 4"/>
    <w:basedOn w:val="Normal"/>
    <w:next w:val="Normal"/>
    <w:link w:val="Heading4Char"/>
    <w:uiPriority w:val="9"/>
    <w:semiHidden/>
    <w:unhideWhenUsed/>
    <w:qFormat/>
    <w:rsid w:val="00F21481"/>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1481"/>
    <w:rPr>
      <w:rFonts w:ascii="Cambria" w:eastAsiaTheme="majorEastAsia" w:hAnsi="Cambria" w:cstheme="majorBidi"/>
      <w:b/>
      <w:sz w:val="28"/>
      <w:szCs w:val="28"/>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rPr>
  </w:style>
  <w:style w:type="paragraph" w:styleId="ListParagraph">
    <w:name w:val="List Paragraph"/>
    <w:basedOn w:val="Normal"/>
    <w:uiPriority w:val="34"/>
    <w:qFormat/>
    <w:rsid w:val="000E68B1"/>
    <w:pPr>
      <w:ind w:left="720"/>
      <w:contextualSpacing/>
    </w:pPr>
  </w:style>
  <w:style w:type="character" w:customStyle="1" w:styleId="Heading4Char">
    <w:name w:val="Heading 4 Char"/>
    <w:basedOn w:val="DefaultParagraphFont"/>
    <w:link w:val="Heading4"/>
    <w:uiPriority w:val="9"/>
    <w:semiHidden/>
    <w:rsid w:val="00F21481"/>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4</Pages>
  <Words>1545</Words>
  <Characters>8813</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Anchalika Saxena</cp:lastModifiedBy>
  <cp:revision>14</cp:revision>
  <dcterms:created xsi:type="dcterms:W3CDTF">2026-04-08T12:12:00Z</dcterms:created>
  <dcterms:modified xsi:type="dcterms:W3CDTF">2026-08-03T15:00:00Z</dcterms:modified>
</cp:coreProperties>
</file>