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7E0E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3997DF5" wp14:editId="7281F08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5C9300"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B805C1C"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065A9AC8"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1656CB5F" w14:textId="77777777" w:rsidR="0019504D" w:rsidRDefault="0019504D"/>
    <w:p w14:paraId="1AC4B3A3" w14:textId="77777777" w:rsidR="0019504D" w:rsidRDefault="0019504D"/>
    <w:p w14:paraId="072C2991" w14:textId="77777777" w:rsidR="0019504D" w:rsidRDefault="0019504D"/>
    <w:p w14:paraId="44435FBD" w14:textId="77777777" w:rsidR="0019504D" w:rsidRDefault="0019504D"/>
    <w:p w14:paraId="67BCBB1C" w14:textId="77777777" w:rsidR="00CD620A" w:rsidRDefault="00CD620A"/>
    <w:p w14:paraId="4E631F20" w14:textId="77777777" w:rsidR="00CD620A" w:rsidRDefault="00CD620A"/>
    <w:p w14:paraId="4BADF56D" w14:textId="77777777" w:rsidR="00CD620A" w:rsidRDefault="00CD620A"/>
    <w:p w14:paraId="6BAD3887" w14:textId="77777777" w:rsidR="00CD620A" w:rsidRDefault="00CD620A"/>
    <w:p w14:paraId="6F5E7C64" w14:textId="77777777" w:rsidR="00CD620A" w:rsidRDefault="00CD620A"/>
    <w:p w14:paraId="16D6F128" w14:textId="77777777" w:rsidR="00EA737F" w:rsidRDefault="00EA737F"/>
    <w:p w14:paraId="4EEE4381" w14:textId="77777777" w:rsidR="0019504D" w:rsidRDefault="0019504D"/>
    <w:p w14:paraId="25A079A4" w14:textId="77777777" w:rsidR="0019504D" w:rsidRDefault="0019504D"/>
    <w:p w14:paraId="186750E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E96D2CE" w14:textId="77777777" w:rsidR="00CA2604" w:rsidRDefault="00CA2604" w:rsidP="00EA737F">
      <w:pPr>
        <w:spacing w:line="276" w:lineRule="auto"/>
        <w:rPr>
          <w:b/>
          <w:bCs/>
          <w:lang w:val="en-US"/>
        </w:rPr>
      </w:pPr>
    </w:p>
    <w:p w14:paraId="0B220779" w14:textId="77777777" w:rsidR="00CA2604" w:rsidRPr="00EA737F" w:rsidRDefault="00CA2604" w:rsidP="00EA737F">
      <w:pPr>
        <w:spacing w:line="276" w:lineRule="auto"/>
        <w:rPr>
          <w:b/>
          <w:bCs/>
          <w:lang w:val="en-US"/>
        </w:rPr>
      </w:pPr>
    </w:p>
    <w:p w14:paraId="3385703E" w14:textId="77777777" w:rsidR="00EA737F" w:rsidRDefault="00EA737F" w:rsidP="00EA737F">
      <w:pPr>
        <w:spacing w:line="276" w:lineRule="auto"/>
        <w:rPr>
          <w:lang w:val="en-US"/>
        </w:rPr>
      </w:pPr>
    </w:p>
    <w:p w14:paraId="212FD8B6" w14:textId="77777777" w:rsidR="00EA737F"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04F148F1" w14:textId="77777777" w:rsidR="00B527B8" w:rsidRDefault="00B527B8" w:rsidP="003E6F9A">
      <w:pPr>
        <w:spacing w:line="276" w:lineRule="auto"/>
        <w:rPr>
          <w:b/>
          <w:bCs/>
          <w:lang w:val="en-US"/>
        </w:rPr>
      </w:pPr>
    </w:p>
    <w:p w14:paraId="7812C012" w14:textId="77777777" w:rsidR="00B527B8" w:rsidRDefault="00B527B8" w:rsidP="003E6F9A">
      <w:pPr>
        <w:spacing w:line="276" w:lineRule="auto"/>
        <w:rPr>
          <w:b/>
          <w:bCs/>
          <w:lang w:val="en-US"/>
        </w:rPr>
      </w:pPr>
    </w:p>
    <w:p w14:paraId="2345EED3" w14:textId="77777777" w:rsidR="00B527B8" w:rsidRDefault="00B527B8" w:rsidP="003E6F9A">
      <w:pPr>
        <w:spacing w:line="276" w:lineRule="auto"/>
        <w:rPr>
          <w:b/>
          <w:bCs/>
          <w:lang w:val="en-US"/>
        </w:rPr>
      </w:pPr>
    </w:p>
    <w:p w14:paraId="7445D387" w14:textId="77777777" w:rsidR="00B527B8" w:rsidRDefault="00B527B8" w:rsidP="003E6F9A">
      <w:pPr>
        <w:spacing w:line="276" w:lineRule="auto"/>
        <w:rPr>
          <w:b/>
          <w:bCs/>
          <w:lang w:val="en-US"/>
        </w:rPr>
      </w:pPr>
    </w:p>
    <w:p w14:paraId="2A92907A" w14:textId="77777777" w:rsidR="00B527B8" w:rsidRDefault="00B527B8" w:rsidP="003E6F9A">
      <w:pPr>
        <w:spacing w:line="276" w:lineRule="auto"/>
        <w:rPr>
          <w:b/>
          <w:bCs/>
          <w:lang w:val="en-US"/>
        </w:rPr>
      </w:pPr>
    </w:p>
    <w:p w14:paraId="263BBBC9" w14:textId="77777777" w:rsidR="00B527B8" w:rsidRDefault="00B527B8" w:rsidP="003E6F9A">
      <w:pPr>
        <w:spacing w:line="276" w:lineRule="auto"/>
        <w:rPr>
          <w:b/>
          <w:bCs/>
          <w:lang w:val="en-US"/>
        </w:rPr>
      </w:pPr>
    </w:p>
    <w:p w14:paraId="77E315E6" w14:textId="77777777" w:rsidR="00B527B8" w:rsidRDefault="00B527B8" w:rsidP="003E6F9A">
      <w:pPr>
        <w:spacing w:line="276" w:lineRule="auto"/>
        <w:rPr>
          <w:b/>
          <w:bCs/>
          <w:lang w:val="en-US"/>
        </w:rPr>
      </w:pPr>
    </w:p>
    <w:p w14:paraId="7B3A6C7F" w14:textId="77777777" w:rsidR="00B527B8" w:rsidRDefault="00B527B8" w:rsidP="003E6F9A">
      <w:pPr>
        <w:spacing w:line="276" w:lineRule="auto"/>
        <w:rPr>
          <w:b/>
          <w:bCs/>
          <w:lang w:val="en-US"/>
        </w:rPr>
      </w:pPr>
    </w:p>
    <w:p w14:paraId="2D793013" w14:textId="77777777" w:rsidR="00B527B8" w:rsidRDefault="00B527B8" w:rsidP="003E6F9A">
      <w:pPr>
        <w:spacing w:line="276" w:lineRule="auto"/>
        <w:rPr>
          <w:b/>
          <w:bCs/>
          <w:lang w:val="en-US"/>
        </w:rPr>
      </w:pPr>
    </w:p>
    <w:p w14:paraId="403BCC11" w14:textId="77777777" w:rsidR="00B527B8" w:rsidRDefault="00B527B8" w:rsidP="003E6F9A">
      <w:pPr>
        <w:spacing w:line="276" w:lineRule="auto"/>
        <w:rPr>
          <w:b/>
          <w:bCs/>
          <w:lang w:val="en-US"/>
        </w:rPr>
      </w:pPr>
    </w:p>
    <w:p w14:paraId="01FC7DC2" w14:textId="77777777" w:rsidR="00B527B8" w:rsidRDefault="00B527B8" w:rsidP="003E6F9A">
      <w:pPr>
        <w:spacing w:line="276" w:lineRule="auto"/>
        <w:rPr>
          <w:b/>
          <w:bCs/>
          <w:lang w:val="en-US"/>
        </w:rPr>
      </w:pPr>
    </w:p>
    <w:p w14:paraId="665CC13C" w14:textId="77777777" w:rsidR="00B527B8" w:rsidRDefault="00B527B8" w:rsidP="003E6F9A">
      <w:pPr>
        <w:spacing w:line="276" w:lineRule="auto"/>
        <w:rPr>
          <w:b/>
          <w:bCs/>
          <w:lang w:val="en-US"/>
        </w:rPr>
      </w:pPr>
    </w:p>
    <w:p w14:paraId="0E0EA0AD" w14:textId="77777777" w:rsidR="00B527B8" w:rsidRDefault="00B527B8" w:rsidP="003E6F9A">
      <w:pPr>
        <w:spacing w:line="276" w:lineRule="auto"/>
        <w:rPr>
          <w:b/>
          <w:bCs/>
          <w:lang w:val="en-US"/>
        </w:rPr>
      </w:pPr>
    </w:p>
    <w:p w14:paraId="696BC299" w14:textId="77777777" w:rsidR="00B527B8" w:rsidRDefault="00B527B8" w:rsidP="003E6F9A">
      <w:pPr>
        <w:spacing w:line="276" w:lineRule="auto"/>
        <w:rPr>
          <w:b/>
          <w:bCs/>
          <w:lang w:val="en-US"/>
        </w:rPr>
      </w:pPr>
    </w:p>
    <w:p w14:paraId="5C1EF401" w14:textId="77777777" w:rsidR="00B527B8" w:rsidRDefault="00B527B8" w:rsidP="003E6F9A">
      <w:pPr>
        <w:spacing w:line="276" w:lineRule="auto"/>
        <w:rPr>
          <w:b/>
          <w:bCs/>
          <w:lang w:val="en-US"/>
        </w:rPr>
      </w:pPr>
    </w:p>
    <w:p w14:paraId="184D6469" w14:textId="77777777" w:rsidR="00B527B8" w:rsidRDefault="00B527B8" w:rsidP="003E6F9A">
      <w:pPr>
        <w:spacing w:line="276" w:lineRule="auto"/>
        <w:rPr>
          <w:b/>
          <w:bCs/>
          <w:lang w:val="en-US"/>
        </w:rPr>
      </w:pPr>
    </w:p>
    <w:p w14:paraId="7FE983AC" w14:textId="77777777" w:rsidR="00B527B8" w:rsidRDefault="00B527B8" w:rsidP="003E6F9A">
      <w:pPr>
        <w:spacing w:line="276" w:lineRule="auto"/>
        <w:rPr>
          <w:b/>
          <w:bCs/>
          <w:lang w:val="en-US"/>
        </w:rPr>
      </w:pPr>
    </w:p>
    <w:p w14:paraId="4ABB7A2B" w14:textId="77777777" w:rsidR="00B527B8" w:rsidRDefault="00B527B8" w:rsidP="003E6F9A">
      <w:pPr>
        <w:spacing w:line="276" w:lineRule="auto"/>
        <w:rPr>
          <w:b/>
          <w:bCs/>
          <w:lang w:val="en-US"/>
        </w:rPr>
      </w:pPr>
    </w:p>
    <w:p w14:paraId="69093ABD" w14:textId="77777777" w:rsidR="00B527B8" w:rsidRDefault="00B527B8" w:rsidP="003E6F9A">
      <w:pPr>
        <w:spacing w:line="276" w:lineRule="auto"/>
        <w:rPr>
          <w:b/>
          <w:bCs/>
          <w:lang w:val="en-US"/>
        </w:rPr>
      </w:pPr>
    </w:p>
    <w:p w14:paraId="2542D3F0" w14:textId="77777777" w:rsidR="00B527B8" w:rsidRDefault="00B527B8" w:rsidP="003E6F9A">
      <w:pPr>
        <w:spacing w:line="276" w:lineRule="auto"/>
        <w:rPr>
          <w:b/>
          <w:bCs/>
          <w:lang w:val="en-US"/>
        </w:rPr>
      </w:pPr>
    </w:p>
    <w:p w14:paraId="3E25A0B1" w14:textId="77777777" w:rsidR="00B527B8" w:rsidRDefault="00B527B8" w:rsidP="003E6F9A">
      <w:pPr>
        <w:spacing w:line="276" w:lineRule="auto"/>
        <w:rPr>
          <w:b/>
          <w:bCs/>
          <w:lang w:val="en-US"/>
        </w:rPr>
      </w:pPr>
    </w:p>
    <w:p w14:paraId="4181AB50" w14:textId="77777777" w:rsidR="00B527B8" w:rsidRDefault="00B527B8" w:rsidP="003E6F9A">
      <w:pPr>
        <w:spacing w:line="276" w:lineRule="auto"/>
        <w:rPr>
          <w:b/>
          <w:bCs/>
          <w:lang w:val="en-US"/>
        </w:rPr>
      </w:pPr>
    </w:p>
    <w:p w14:paraId="5F3EC685" w14:textId="77777777" w:rsidR="00B527B8" w:rsidRPr="00B527B8" w:rsidRDefault="00B527B8" w:rsidP="00B527B8">
      <w:pPr>
        <w:spacing w:line="276" w:lineRule="auto"/>
        <w:rPr>
          <w:b/>
          <w:bCs/>
          <w:lang w:val="en-GB"/>
        </w:rPr>
      </w:pPr>
      <w:r w:rsidRPr="00B527B8">
        <w:rPr>
          <w:b/>
          <w:bCs/>
          <w:lang w:val="en-GB"/>
        </w:rPr>
        <w:lastRenderedPageBreak/>
        <w:t>Challenges in Harmonizing Consumer Protection Standards Globally</w:t>
      </w:r>
    </w:p>
    <w:p w14:paraId="0652C525" w14:textId="77777777" w:rsidR="00B527B8" w:rsidRPr="00B527B8" w:rsidRDefault="00B527B8" w:rsidP="00B527B8">
      <w:pPr>
        <w:spacing w:line="276" w:lineRule="auto"/>
        <w:rPr>
          <w:lang w:val="en-GB"/>
        </w:rPr>
      </w:pPr>
      <w:r w:rsidRPr="00B527B8">
        <w:rPr>
          <w:lang w:val="en-GB"/>
        </w:rPr>
        <w:t>Harmonizing consumer protection standards globally is challenging due to significant variations in legal systems, economic conditions, cultural norms, and enforcement capacities across countries. One of the most critical barriers is the diversity of legal and regulatory frameworks. Countries differ in how consumer rights are defined, protected, and enforced. For example, the European Union applies a highly developed, harmonized consumer protection regime, whereas many developing countries rely on fragmented or less stringent regulations. These differences make it difficult to establish uniform global standards without infringing on national sovereignty or domestic policy priorities (Howells, Ramsay &amp; Wilhelmsson, 2018).</w:t>
      </w:r>
    </w:p>
    <w:p w14:paraId="3061D457" w14:textId="77777777" w:rsidR="00B527B8" w:rsidRPr="00B527B8" w:rsidRDefault="00B527B8" w:rsidP="00B527B8">
      <w:pPr>
        <w:spacing w:line="276" w:lineRule="auto"/>
        <w:rPr>
          <w:lang w:val="en-GB"/>
        </w:rPr>
      </w:pPr>
      <w:r w:rsidRPr="00B527B8">
        <w:rPr>
          <w:lang w:val="en-GB"/>
        </w:rPr>
        <w:t>Economic disparities between nations further complicate harmonization efforts. Developed economies generally have strong regulatory institutions, high consumer awareness, and robust enforcement mechanisms. In contrast, developing economies may prioritize trade liberalization, business growth, and poverty reduction over strict consumer regulations. Implementing high global standards may increase compliance costs for small and medium-sized enterprises in lower-income countries, creating resistance to harmonization initiatives (OECD, 2020).</w:t>
      </w:r>
    </w:p>
    <w:p w14:paraId="341BD46A" w14:textId="77777777" w:rsidR="00B527B8" w:rsidRPr="00B527B8" w:rsidRDefault="00B527B8" w:rsidP="00B527B8">
      <w:pPr>
        <w:spacing w:line="276" w:lineRule="auto"/>
        <w:rPr>
          <w:lang w:val="en-GB"/>
        </w:rPr>
      </w:pPr>
      <w:r w:rsidRPr="00B527B8">
        <w:rPr>
          <w:lang w:val="en-GB"/>
        </w:rPr>
        <w:t xml:space="preserve">Another major challenge arises from cultural and social differences that shape consumer </w:t>
      </w:r>
      <w:proofErr w:type="spellStart"/>
      <w:r w:rsidRPr="00B527B8">
        <w:rPr>
          <w:lang w:val="en-GB"/>
        </w:rPr>
        <w:t>behavior</w:t>
      </w:r>
      <w:proofErr w:type="spellEnd"/>
      <w:r w:rsidRPr="00B527B8">
        <w:rPr>
          <w:lang w:val="en-GB"/>
        </w:rPr>
        <w:t xml:space="preserve"> and expectations. Concepts such as fair pricing, acceptable advertising, product liability, and dispute resolution vary across societies. A consumer protection measure considered appropriate in one cultural context may be perceived as excessive or insufficient in another. These differences reduce the feasibility of adopting a “one-size-fits-all” global framework (</w:t>
      </w:r>
      <w:proofErr w:type="spellStart"/>
      <w:r w:rsidRPr="00B527B8">
        <w:rPr>
          <w:lang w:val="en-GB"/>
        </w:rPr>
        <w:t>Micklitz</w:t>
      </w:r>
      <w:proofErr w:type="spellEnd"/>
      <w:r w:rsidRPr="00B527B8">
        <w:rPr>
          <w:lang w:val="en-GB"/>
        </w:rPr>
        <w:t>, 2019).</w:t>
      </w:r>
    </w:p>
    <w:p w14:paraId="2AB0B2F0" w14:textId="77777777" w:rsidR="00B527B8" w:rsidRPr="00B527B8" w:rsidRDefault="00B527B8" w:rsidP="00B527B8">
      <w:pPr>
        <w:spacing w:line="276" w:lineRule="auto"/>
        <w:rPr>
          <w:lang w:val="en-GB"/>
        </w:rPr>
      </w:pPr>
      <w:r w:rsidRPr="00B527B8">
        <w:rPr>
          <w:lang w:val="en-GB"/>
        </w:rPr>
        <w:t>The expansion of digital markets and cross-border e-commerce also poses serious challenges. Online transactions frequently involve consumers and traders operating under different national jurisdictions. Issues related to misleading online advertising, data privacy, digital contracts, and cross-border dispute resolution lack consistent global regulation. The absence of effective international enforcement mechanisms allows businesses to exploit regulatory gaps, weakening consumer confidence in global markets (UNCTAD, 2016).</w:t>
      </w:r>
    </w:p>
    <w:p w14:paraId="57CD5F27" w14:textId="77777777" w:rsidR="00B527B8" w:rsidRPr="00B527B8" w:rsidRDefault="00B527B8" w:rsidP="00B527B8">
      <w:pPr>
        <w:spacing w:line="276" w:lineRule="auto"/>
        <w:rPr>
          <w:lang w:val="en-GB"/>
        </w:rPr>
      </w:pPr>
      <w:r w:rsidRPr="00B527B8">
        <w:rPr>
          <w:lang w:val="en-GB"/>
        </w:rPr>
        <w:t>Finally, uneven enforcement capacity undermines harmonization. Even where countries adopt similar consumer protection laws, limited institutional capacity, lack of regulatory expertise, and weak judicial systems can hinder effective implementation. Without consistent enforcement, harmonized standards remain largely symbolic and fail to deliver real consumer protection benefits.</w:t>
      </w:r>
    </w:p>
    <w:p w14:paraId="7CC83D52" w14:textId="77777777" w:rsidR="00B527B8" w:rsidRPr="00B527B8" w:rsidRDefault="00B527B8" w:rsidP="00B527B8">
      <w:pPr>
        <w:spacing w:line="276" w:lineRule="auto"/>
        <w:rPr>
          <w:lang w:val="en-GB"/>
        </w:rPr>
      </w:pPr>
      <w:r w:rsidRPr="00B527B8">
        <w:rPr>
          <w:lang w:val="en-GB"/>
        </w:rPr>
        <w:t>In summary, global harmonization of consumer protection standards is constrained by legal diversity, economic inequality, cultural variation, digital market complexities, and enforcement limitations. Addressing these challenges requires flexible, principle-based international guidelines supported by capacity-building and international cooperation rather than rigid uniform rules.</w:t>
      </w:r>
    </w:p>
    <w:p w14:paraId="28E5710C" w14:textId="6E571D96" w:rsidR="00B527B8" w:rsidRPr="00B527B8" w:rsidRDefault="00B527B8" w:rsidP="00B527B8">
      <w:pPr>
        <w:spacing w:line="276" w:lineRule="auto"/>
        <w:rPr>
          <w:b/>
          <w:bCs/>
          <w:lang w:val="en-GB"/>
        </w:rPr>
      </w:pPr>
    </w:p>
    <w:p w14:paraId="052E8F63" w14:textId="77777777" w:rsidR="00B527B8" w:rsidRPr="00B527B8" w:rsidRDefault="00B527B8" w:rsidP="00B527B8">
      <w:pPr>
        <w:spacing w:line="276" w:lineRule="auto"/>
        <w:rPr>
          <w:b/>
          <w:bCs/>
          <w:lang w:val="en-GB"/>
        </w:rPr>
      </w:pPr>
      <w:r w:rsidRPr="00B527B8">
        <w:rPr>
          <w:b/>
          <w:bCs/>
          <w:lang w:val="en-GB"/>
        </w:rPr>
        <w:t>References</w:t>
      </w:r>
    </w:p>
    <w:p w14:paraId="663F7B04" w14:textId="77777777" w:rsidR="00B527B8" w:rsidRPr="00B527B8" w:rsidRDefault="00B527B8" w:rsidP="00B527B8">
      <w:pPr>
        <w:spacing w:line="276" w:lineRule="auto"/>
        <w:rPr>
          <w:b/>
          <w:bCs/>
          <w:lang w:val="en-GB"/>
        </w:rPr>
      </w:pPr>
      <w:r w:rsidRPr="00B527B8">
        <w:rPr>
          <w:b/>
          <w:bCs/>
          <w:lang w:val="en-GB"/>
        </w:rPr>
        <w:lastRenderedPageBreak/>
        <w:t xml:space="preserve">Howells, G., Ramsay, I. &amp; Wilhelmsson, T. (2018). </w:t>
      </w:r>
      <w:r w:rsidRPr="00B527B8">
        <w:rPr>
          <w:b/>
          <w:bCs/>
          <w:i/>
          <w:iCs/>
          <w:lang w:val="en-GB"/>
        </w:rPr>
        <w:t>Handbook of Research on International Consumer Law</w:t>
      </w:r>
      <w:r w:rsidRPr="00B527B8">
        <w:rPr>
          <w:b/>
          <w:bCs/>
          <w:lang w:val="en-GB"/>
        </w:rPr>
        <w:t>. Cheltenham: Edward Elgar Publishing.</w:t>
      </w:r>
    </w:p>
    <w:p w14:paraId="2C5F2F2E" w14:textId="77777777" w:rsidR="00B527B8" w:rsidRPr="00B527B8" w:rsidRDefault="00B527B8" w:rsidP="00B527B8">
      <w:pPr>
        <w:spacing w:line="276" w:lineRule="auto"/>
        <w:rPr>
          <w:b/>
          <w:bCs/>
          <w:lang w:val="en-GB"/>
        </w:rPr>
      </w:pPr>
      <w:r w:rsidRPr="00B527B8">
        <w:rPr>
          <w:b/>
          <w:bCs/>
          <w:lang w:val="en-GB"/>
        </w:rPr>
        <w:t xml:space="preserve">Micklitz, H.-W. (2019). The transformation of enforcement in European consumer law. </w:t>
      </w:r>
      <w:r w:rsidRPr="00B527B8">
        <w:rPr>
          <w:b/>
          <w:bCs/>
          <w:i/>
          <w:iCs/>
          <w:lang w:val="en-GB"/>
        </w:rPr>
        <w:t>European Law Review</w:t>
      </w:r>
      <w:r w:rsidRPr="00B527B8">
        <w:rPr>
          <w:b/>
          <w:bCs/>
          <w:lang w:val="en-GB"/>
        </w:rPr>
        <w:t>, 44(1), 3–25.</w:t>
      </w:r>
    </w:p>
    <w:p w14:paraId="5AA1D2AC" w14:textId="77777777" w:rsidR="00B527B8" w:rsidRPr="00B527B8" w:rsidRDefault="00B527B8" w:rsidP="00B527B8">
      <w:pPr>
        <w:spacing w:line="276" w:lineRule="auto"/>
        <w:rPr>
          <w:b/>
          <w:bCs/>
          <w:lang w:val="en-GB"/>
        </w:rPr>
      </w:pPr>
      <w:r w:rsidRPr="00B527B8">
        <w:rPr>
          <w:b/>
          <w:bCs/>
          <w:lang w:val="en-GB"/>
        </w:rPr>
        <w:t xml:space="preserve">OECD. (2020). </w:t>
      </w:r>
      <w:r w:rsidRPr="00B527B8">
        <w:rPr>
          <w:b/>
          <w:bCs/>
          <w:i/>
          <w:iCs/>
          <w:lang w:val="en-GB"/>
        </w:rPr>
        <w:t>Consumer Policy and Fraud: Global Trends and Challenges</w:t>
      </w:r>
      <w:r w:rsidRPr="00B527B8">
        <w:rPr>
          <w:b/>
          <w:bCs/>
          <w:lang w:val="en-GB"/>
        </w:rPr>
        <w:t>. Paris: OECD Publishing.</w:t>
      </w:r>
    </w:p>
    <w:p w14:paraId="0D1BFDF5" w14:textId="77777777" w:rsidR="00B527B8" w:rsidRPr="00B527B8" w:rsidRDefault="00B527B8" w:rsidP="00B527B8">
      <w:pPr>
        <w:spacing w:line="276" w:lineRule="auto"/>
        <w:rPr>
          <w:b/>
          <w:bCs/>
          <w:lang w:val="en-GB"/>
        </w:rPr>
      </w:pPr>
      <w:r w:rsidRPr="00B527B8">
        <w:rPr>
          <w:b/>
          <w:bCs/>
          <w:lang w:val="en-GB"/>
        </w:rPr>
        <w:t xml:space="preserve">UNCTAD. (2016). </w:t>
      </w:r>
      <w:r w:rsidRPr="00B527B8">
        <w:rPr>
          <w:b/>
          <w:bCs/>
          <w:i/>
          <w:iCs/>
          <w:lang w:val="en-GB"/>
        </w:rPr>
        <w:t>United Nations Guidelines for Consumer Protection</w:t>
      </w:r>
      <w:r w:rsidRPr="00B527B8">
        <w:rPr>
          <w:b/>
          <w:bCs/>
          <w:lang w:val="en-GB"/>
        </w:rPr>
        <w:t>. Geneva: United Nations.</w:t>
      </w:r>
    </w:p>
    <w:p w14:paraId="340B7836" w14:textId="77777777" w:rsidR="00B527B8" w:rsidRPr="003E6F9A" w:rsidRDefault="00B527B8" w:rsidP="003E6F9A">
      <w:pPr>
        <w:spacing w:line="276" w:lineRule="auto"/>
        <w:rPr>
          <w:b/>
          <w:bCs/>
        </w:rPr>
      </w:pPr>
    </w:p>
    <w:sectPr w:rsidR="00B527B8" w:rsidRPr="003E6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1F39A008-335A-4876-A5A2-15A4A1E5B054}"/>
    <w:embedBold r:id="rId2" w:fontKey="{7CC09F51-E24E-4500-B24B-0EDF3917327E}"/>
    <w:embedBoldItalic r:id="rId3" w:fontKey="{943200E0-046F-4B19-8ADF-4765D3EF835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8836DBC-17A8-44D9-919A-3639204D0B8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FB491925-C87E-4B0D-952C-2BBFE8E738E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1F90"/>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527B8"/>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E91E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567</Words>
  <Characters>3232</Characters>
  <Application>Microsoft Office Word</Application>
  <DocSecurity>0</DocSecurity>
  <Lines>26</Lines>
  <Paragraphs>7</Paragraphs>
  <ScaleCrop>false</ScaleCrop>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2026-02-02T14:19:00Z</dcterms:created>
  <dcterms:modified xsi:type="dcterms:W3CDTF">2026-02-02T14:19:00Z</dcterms:modified>
</cp:coreProperties>
</file>