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04F956">
      <w:pPr>
        <w:spacing w:line="360" w:lineRule="auto"/>
        <w:jc w:val="center"/>
        <w:rPr>
          <w:rFonts w:ascii="Times New Roman" w:hAnsi="Times New Roman" w:cs="Times New Roman"/>
          <w:b/>
          <w:bCs/>
          <w:sz w:val="36"/>
          <w:szCs w:val="36"/>
          <w:lang w:val="en-AU"/>
        </w:rPr>
      </w:pPr>
      <w:r>
        <w:drawing>
          <wp:inline distT="0" distB="0" distL="0" distR="0">
            <wp:extent cx="5507990" cy="1653540"/>
            <wp:effectExtent l="0" t="0" r="0" b="3810"/>
            <wp:docPr id="741500104" name="Picture 1" descr="Contact Us for Inquiries &amp; Assistan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500104" name="Picture 1" descr="Contact Us for Inquiries &amp; Assistance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5513470" cy="1655116"/>
                    </a:xfrm>
                    <a:prstGeom prst="rect">
                      <a:avLst/>
                    </a:prstGeom>
                    <a:noFill/>
                    <a:ln>
                      <a:noFill/>
                    </a:ln>
                  </pic:spPr>
                </pic:pic>
              </a:graphicData>
            </a:graphic>
          </wp:inline>
        </w:drawing>
      </w:r>
    </w:p>
    <w:p w14:paraId="37F566AD">
      <w:pPr>
        <w:spacing w:line="360" w:lineRule="auto"/>
        <w:jc w:val="center"/>
        <w:rPr>
          <w:rFonts w:ascii="Times New Roman" w:hAnsi="Times New Roman" w:cs="Times New Roman"/>
          <w:b/>
          <w:bCs/>
          <w:sz w:val="36"/>
          <w:szCs w:val="36"/>
          <w:lang w:val="en-AU"/>
        </w:rPr>
      </w:pPr>
    </w:p>
    <w:p w14:paraId="6FCD1369">
      <w:pPr>
        <w:spacing w:line="360" w:lineRule="auto"/>
        <w:jc w:val="center"/>
        <w:rPr>
          <w:rFonts w:ascii="Times New Roman" w:hAnsi="Times New Roman" w:cs="Times New Roman"/>
          <w:b/>
          <w:bCs/>
          <w:sz w:val="36"/>
          <w:szCs w:val="36"/>
          <w:lang w:val="en-AU"/>
        </w:rPr>
      </w:pPr>
    </w:p>
    <w:p w14:paraId="0FAC36A3">
      <w:pPr>
        <w:spacing w:line="360" w:lineRule="auto"/>
        <w:jc w:val="center"/>
        <w:rPr>
          <w:rFonts w:ascii="Times New Roman" w:hAnsi="Times New Roman" w:cs="Times New Roman"/>
          <w:b/>
          <w:bCs/>
          <w:sz w:val="36"/>
          <w:szCs w:val="36"/>
          <w:lang w:val="en-AU"/>
        </w:rPr>
      </w:pPr>
    </w:p>
    <w:p w14:paraId="38F96122">
      <w:pPr>
        <w:spacing w:line="360" w:lineRule="auto"/>
        <w:jc w:val="center"/>
        <w:rPr>
          <w:rFonts w:ascii="Times New Roman" w:hAnsi="Times New Roman" w:cs="Times New Roman"/>
          <w:b/>
          <w:bCs/>
          <w:sz w:val="36"/>
          <w:szCs w:val="36"/>
          <w:lang w:val="en-AU"/>
        </w:rPr>
      </w:pPr>
    </w:p>
    <w:p w14:paraId="4801EE7C">
      <w:pPr>
        <w:spacing w:line="360" w:lineRule="auto"/>
        <w:jc w:val="center"/>
        <w:rPr>
          <w:rFonts w:ascii="Times New Roman" w:hAnsi="Times New Roman" w:cs="Times New Roman"/>
          <w:b/>
          <w:bCs/>
          <w:sz w:val="36"/>
          <w:szCs w:val="36"/>
          <w:lang w:val="en-AU"/>
        </w:rPr>
      </w:pPr>
      <w:r>
        <w:rPr>
          <w:rFonts w:ascii="Times New Roman" w:hAnsi="Times New Roman" w:cs="Times New Roman"/>
          <w:b/>
          <w:bCs/>
          <w:sz w:val="36"/>
          <w:szCs w:val="36"/>
          <w:lang w:val="en-AU"/>
        </w:rPr>
        <w:t>Assignment Title: Crisis Communication Response for GreenVista Eco-Resorts</w:t>
      </w:r>
    </w:p>
    <w:p w14:paraId="0D26D78D">
      <w:pPr>
        <w:spacing w:line="360" w:lineRule="auto"/>
        <w:jc w:val="center"/>
        <w:rPr>
          <w:rFonts w:ascii="Times New Roman" w:hAnsi="Times New Roman" w:cs="Times New Roman"/>
          <w:b/>
          <w:bCs/>
          <w:sz w:val="36"/>
          <w:szCs w:val="36"/>
          <w:lang w:val="en-AU"/>
        </w:rPr>
      </w:pPr>
    </w:p>
    <w:p w14:paraId="26280129">
      <w:pPr>
        <w:spacing w:line="360" w:lineRule="auto"/>
        <w:jc w:val="center"/>
        <w:rPr>
          <w:rFonts w:ascii="Times New Roman" w:hAnsi="Times New Roman" w:cs="Times New Roman"/>
          <w:b/>
          <w:bCs/>
          <w:sz w:val="36"/>
          <w:szCs w:val="36"/>
          <w:lang w:val="en-AU"/>
        </w:rPr>
      </w:pPr>
    </w:p>
    <w:p w14:paraId="67C13990">
      <w:pPr>
        <w:spacing w:line="36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 xml:space="preserve">Student Name: </w:t>
      </w:r>
      <w:r>
        <w:rPr>
          <w:rFonts w:hint="default" w:ascii="Times New Roman" w:hAnsi="Times New Roman" w:cs="Times New Roman"/>
          <w:b/>
          <w:bCs/>
          <w:sz w:val="36"/>
          <w:szCs w:val="36"/>
          <w:lang w:val="de-DE"/>
        </w:rPr>
        <w:t xml:space="preserve">Vivek Vivek </w:t>
      </w:r>
    </w:p>
    <w:p w14:paraId="7ACA47F0">
      <w:pPr>
        <w:spacing w:line="360" w:lineRule="auto"/>
        <w:jc w:val="center"/>
        <w:rPr>
          <w:rFonts w:ascii="Times New Roman" w:hAnsi="Times New Roman" w:cs="Times New Roman"/>
          <w:b/>
          <w:bCs/>
          <w:sz w:val="36"/>
          <w:szCs w:val="36"/>
          <w:lang w:val="en-AU"/>
        </w:rPr>
      </w:pPr>
    </w:p>
    <w:p w14:paraId="3D36C157">
      <w:pPr>
        <w:spacing w:line="360" w:lineRule="auto"/>
        <w:jc w:val="center"/>
        <w:rPr>
          <w:rFonts w:ascii="Times New Roman" w:hAnsi="Times New Roman" w:cs="Times New Roman"/>
          <w:b/>
          <w:bCs/>
          <w:sz w:val="36"/>
          <w:szCs w:val="36"/>
          <w:lang w:val="en-AU"/>
        </w:rPr>
      </w:pPr>
    </w:p>
    <w:p w14:paraId="78A409E2">
      <w:pPr>
        <w:spacing w:line="360" w:lineRule="auto"/>
        <w:jc w:val="center"/>
        <w:rPr>
          <w:rFonts w:hint="default" w:ascii="Times New Roman" w:hAnsi="Times New Roman" w:cs="Times New Roman"/>
          <w:b/>
          <w:bCs/>
          <w:sz w:val="36"/>
          <w:szCs w:val="36"/>
          <w:lang w:val="de-DE"/>
        </w:rPr>
      </w:pPr>
      <w:r>
        <w:rPr>
          <w:rFonts w:ascii="Times New Roman" w:hAnsi="Times New Roman" w:cs="Times New Roman"/>
          <w:b/>
          <w:bCs/>
          <w:sz w:val="36"/>
          <w:szCs w:val="36"/>
          <w:lang w:val="en-AU"/>
        </w:rPr>
        <w:t>Student ID:</w:t>
      </w:r>
      <w:r>
        <w:rPr>
          <w:rFonts w:hint="default" w:ascii="Times New Roman" w:hAnsi="Times New Roman" w:cs="Times New Roman"/>
          <w:b/>
          <w:bCs/>
          <w:sz w:val="36"/>
          <w:szCs w:val="36"/>
          <w:lang w:val="de-DE"/>
        </w:rPr>
        <w:t xml:space="preserve"> </w:t>
      </w:r>
      <w:bookmarkStart w:id="17" w:name="_GoBack"/>
      <w:bookmarkEnd w:id="17"/>
      <w:r>
        <w:rPr>
          <w:rFonts w:hint="default" w:ascii="Times New Roman" w:hAnsi="Times New Roman" w:cs="Times New Roman"/>
          <w:b/>
          <w:bCs/>
          <w:sz w:val="36"/>
          <w:szCs w:val="36"/>
          <w:lang w:val="de-DE"/>
        </w:rPr>
        <w:t>DE240014</w:t>
      </w:r>
    </w:p>
    <w:p w14:paraId="59006DC8"/>
    <w:p w14:paraId="52201A46"/>
    <w:p w14:paraId="7ED0C300"/>
    <w:p w14:paraId="0C1812C8"/>
    <w:sdt>
      <w:sdtPr>
        <w:rPr>
          <w:rFonts w:asciiTheme="minorHAnsi" w:hAnsiTheme="minorHAnsi" w:eastAsiaTheme="minorHAnsi" w:cstheme="minorBidi"/>
          <w:color w:val="auto"/>
          <w:sz w:val="22"/>
          <w:szCs w:val="22"/>
        </w:rPr>
        <w:id w:val="-1"/>
        <w:docPartObj>
          <w:docPartGallery w:val="Table of Contents"/>
          <w:docPartUnique/>
        </w:docPartObj>
      </w:sdtPr>
      <w:sdtEndPr>
        <w:rPr>
          <w:rFonts w:asciiTheme="minorHAnsi" w:hAnsiTheme="minorHAnsi" w:eastAsiaTheme="minorHAnsi" w:cstheme="minorBidi"/>
          <w:b/>
          <w:bCs/>
          <w:color w:val="auto"/>
          <w:sz w:val="22"/>
          <w:szCs w:val="22"/>
        </w:rPr>
      </w:sdtEndPr>
      <w:sdtContent>
        <w:p w14:paraId="4DC185A4">
          <w:pPr>
            <w:pStyle w:val="15"/>
          </w:pPr>
          <w:r>
            <w:t>Contents</w:t>
          </w:r>
        </w:p>
        <w:p w14:paraId="2D016389">
          <w:pPr>
            <w:pStyle w:val="10"/>
            <w:tabs>
              <w:tab w:val="right" w:leader="dot" w:pos="9016"/>
            </w:tabs>
            <w:rPr>
              <w:rFonts w:eastAsiaTheme="minorEastAsia"/>
              <w:lang w:val="en-IN" w:eastAsia="en-IN"/>
            </w:rPr>
          </w:pPr>
          <w:r>
            <w:fldChar w:fldCharType="begin"/>
          </w:r>
          <w:r>
            <w:instrText xml:space="preserve"> TOC \o "1-3" \h \z \u </w:instrText>
          </w:r>
          <w:r>
            <w:fldChar w:fldCharType="separate"/>
          </w:r>
          <w:r>
            <w:fldChar w:fldCharType="begin"/>
          </w:r>
          <w:r>
            <w:instrText xml:space="preserve"> HYPERLINK \l "_Toc197024991" </w:instrText>
          </w:r>
          <w:r>
            <w:fldChar w:fldCharType="separate"/>
          </w:r>
          <w:r>
            <w:rPr>
              <w:rStyle w:val="8"/>
              <w:rFonts w:eastAsia="Times New Roman"/>
              <w:lang w:val="en-IN" w:eastAsia="en-IN"/>
            </w:rPr>
            <w:t>1. Introduction</w:t>
          </w:r>
          <w:r>
            <w:tab/>
          </w:r>
          <w:r>
            <w:fldChar w:fldCharType="begin"/>
          </w:r>
          <w:r>
            <w:instrText xml:space="preserve"> PAGEREF _Toc197024991 \h </w:instrText>
          </w:r>
          <w:r>
            <w:fldChar w:fldCharType="separate"/>
          </w:r>
          <w:r>
            <w:t>3</w:t>
          </w:r>
          <w:r>
            <w:fldChar w:fldCharType="end"/>
          </w:r>
          <w:r>
            <w:fldChar w:fldCharType="end"/>
          </w:r>
        </w:p>
        <w:p w14:paraId="29544FFE">
          <w:pPr>
            <w:pStyle w:val="10"/>
            <w:tabs>
              <w:tab w:val="right" w:leader="dot" w:pos="9016"/>
            </w:tabs>
            <w:rPr>
              <w:rFonts w:eastAsiaTheme="minorEastAsia"/>
              <w:lang w:val="en-IN" w:eastAsia="en-IN"/>
            </w:rPr>
          </w:pPr>
          <w:r>
            <w:fldChar w:fldCharType="begin"/>
          </w:r>
          <w:r>
            <w:instrText xml:space="preserve"> HYPERLINK \l "_Toc197024992" </w:instrText>
          </w:r>
          <w:r>
            <w:fldChar w:fldCharType="separate"/>
          </w:r>
          <w:r>
            <w:rPr>
              <w:rStyle w:val="8"/>
              <w:rFonts w:eastAsia="Times New Roman"/>
              <w:lang w:val="en-IN" w:eastAsia="en-IN"/>
            </w:rPr>
            <w:t>2. Crisis Overview</w:t>
          </w:r>
          <w:r>
            <w:tab/>
          </w:r>
          <w:r>
            <w:fldChar w:fldCharType="begin"/>
          </w:r>
          <w:r>
            <w:instrText xml:space="preserve"> PAGEREF _Toc197024992 \h </w:instrText>
          </w:r>
          <w:r>
            <w:fldChar w:fldCharType="separate"/>
          </w:r>
          <w:r>
            <w:t>3</w:t>
          </w:r>
          <w:r>
            <w:fldChar w:fldCharType="end"/>
          </w:r>
          <w:r>
            <w:fldChar w:fldCharType="end"/>
          </w:r>
        </w:p>
        <w:p w14:paraId="228D9938">
          <w:pPr>
            <w:pStyle w:val="10"/>
            <w:tabs>
              <w:tab w:val="right" w:leader="dot" w:pos="9016"/>
            </w:tabs>
            <w:rPr>
              <w:rFonts w:eastAsiaTheme="minorEastAsia"/>
              <w:lang w:val="en-IN" w:eastAsia="en-IN"/>
            </w:rPr>
          </w:pPr>
          <w:r>
            <w:fldChar w:fldCharType="begin"/>
          </w:r>
          <w:r>
            <w:instrText xml:space="preserve"> HYPERLINK \l "_Toc197024993" </w:instrText>
          </w:r>
          <w:r>
            <w:fldChar w:fldCharType="separate"/>
          </w:r>
          <w:r>
            <w:rPr>
              <w:rStyle w:val="8"/>
              <w:rFonts w:eastAsia="Times New Roman"/>
              <w:lang w:val="en-IN" w:eastAsia="en-IN"/>
            </w:rPr>
            <w:t>3. Communication Strategy</w:t>
          </w:r>
          <w:r>
            <w:tab/>
          </w:r>
          <w:r>
            <w:fldChar w:fldCharType="begin"/>
          </w:r>
          <w:r>
            <w:instrText xml:space="preserve"> PAGEREF _Toc197024993 \h </w:instrText>
          </w:r>
          <w:r>
            <w:fldChar w:fldCharType="separate"/>
          </w:r>
          <w:r>
            <w:t>3</w:t>
          </w:r>
          <w:r>
            <w:fldChar w:fldCharType="end"/>
          </w:r>
          <w:r>
            <w:fldChar w:fldCharType="end"/>
          </w:r>
        </w:p>
        <w:p w14:paraId="2D3BB9EF">
          <w:pPr>
            <w:pStyle w:val="11"/>
            <w:tabs>
              <w:tab w:val="right" w:leader="dot" w:pos="9016"/>
            </w:tabs>
            <w:rPr>
              <w:rFonts w:eastAsiaTheme="minorEastAsia"/>
              <w:lang w:val="en-IN" w:eastAsia="en-IN"/>
            </w:rPr>
          </w:pPr>
          <w:r>
            <w:fldChar w:fldCharType="begin"/>
          </w:r>
          <w:r>
            <w:instrText xml:space="preserve"> HYPERLINK \l "_Toc197024994" </w:instrText>
          </w:r>
          <w:r>
            <w:fldChar w:fldCharType="separate"/>
          </w:r>
          <w:r>
            <w:rPr>
              <w:rStyle w:val="8"/>
              <w:rFonts w:eastAsia="Times New Roman"/>
              <w:lang w:val="en-IN" w:eastAsia="en-IN"/>
            </w:rPr>
            <w:t>3.1 Stakeholder Identification &amp; Channel Selection</w:t>
          </w:r>
          <w:r>
            <w:tab/>
          </w:r>
          <w:r>
            <w:fldChar w:fldCharType="begin"/>
          </w:r>
          <w:r>
            <w:instrText xml:space="preserve"> PAGEREF _Toc197024994 \h </w:instrText>
          </w:r>
          <w:r>
            <w:fldChar w:fldCharType="separate"/>
          </w:r>
          <w:r>
            <w:t>4</w:t>
          </w:r>
          <w:r>
            <w:fldChar w:fldCharType="end"/>
          </w:r>
          <w:r>
            <w:fldChar w:fldCharType="end"/>
          </w:r>
        </w:p>
        <w:p w14:paraId="6758CF54">
          <w:pPr>
            <w:pStyle w:val="11"/>
            <w:tabs>
              <w:tab w:val="right" w:leader="dot" w:pos="9016"/>
            </w:tabs>
            <w:rPr>
              <w:rFonts w:eastAsiaTheme="minorEastAsia"/>
              <w:lang w:val="en-IN" w:eastAsia="en-IN"/>
            </w:rPr>
          </w:pPr>
          <w:r>
            <w:fldChar w:fldCharType="begin"/>
          </w:r>
          <w:r>
            <w:instrText xml:space="preserve"> HYPERLINK \l "_Toc197024995" </w:instrText>
          </w:r>
          <w:r>
            <w:fldChar w:fldCharType="separate"/>
          </w:r>
          <w:r>
            <w:rPr>
              <w:rStyle w:val="8"/>
              <w:rFonts w:eastAsia="Times New Roman"/>
              <w:lang w:val="en-IN" w:eastAsia="en-IN"/>
            </w:rPr>
            <w:t>3.2 Message Framing &amp; Tone</w:t>
          </w:r>
          <w:r>
            <w:tab/>
          </w:r>
          <w:r>
            <w:fldChar w:fldCharType="begin"/>
          </w:r>
          <w:r>
            <w:instrText xml:space="preserve"> PAGEREF _Toc197024995 \h </w:instrText>
          </w:r>
          <w:r>
            <w:fldChar w:fldCharType="separate"/>
          </w:r>
          <w:r>
            <w:t>4</w:t>
          </w:r>
          <w:r>
            <w:fldChar w:fldCharType="end"/>
          </w:r>
          <w:r>
            <w:fldChar w:fldCharType="end"/>
          </w:r>
        </w:p>
        <w:p w14:paraId="5516AA9F">
          <w:pPr>
            <w:pStyle w:val="10"/>
            <w:tabs>
              <w:tab w:val="right" w:leader="dot" w:pos="9016"/>
            </w:tabs>
            <w:rPr>
              <w:rFonts w:eastAsiaTheme="minorEastAsia"/>
              <w:lang w:val="en-IN" w:eastAsia="en-IN"/>
            </w:rPr>
          </w:pPr>
          <w:r>
            <w:fldChar w:fldCharType="begin"/>
          </w:r>
          <w:r>
            <w:instrText xml:space="preserve"> HYPERLINK \l "_Toc197024996" </w:instrText>
          </w:r>
          <w:r>
            <w:fldChar w:fldCharType="separate"/>
          </w:r>
          <w:r>
            <w:rPr>
              <w:rStyle w:val="8"/>
              <w:rFonts w:eastAsia="Times New Roman"/>
              <w:lang w:val="en-IN" w:eastAsia="en-IN"/>
            </w:rPr>
            <w:t>4. Deliverables</w:t>
          </w:r>
          <w:r>
            <w:tab/>
          </w:r>
          <w:r>
            <w:fldChar w:fldCharType="begin"/>
          </w:r>
          <w:r>
            <w:instrText xml:space="preserve"> PAGEREF _Toc197024996 \h </w:instrText>
          </w:r>
          <w:r>
            <w:fldChar w:fldCharType="separate"/>
          </w:r>
          <w:r>
            <w:t>5</w:t>
          </w:r>
          <w:r>
            <w:fldChar w:fldCharType="end"/>
          </w:r>
          <w:r>
            <w:fldChar w:fldCharType="end"/>
          </w:r>
        </w:p>
        <w:p w14:paraId="619C7F2F">
          <w:pPr>
            <w:pStyle w:val="11"/>
            <w:tabs>
              <w:tab w:val="right" w:leader="dot" w:pos="9016"/>
            </w:tabs>
            <w:rPr>
              <w:rFonts w:eastAsiaTheme="minorEastAsia"/>
              <w:lang w:val="en-IN" w:eastAsia="en-IN"/>
            </w:rPr>
          </w:pPr>
          <w:r>
            <w:fldChar w:fldCharType="begin"/>
          </w:r>
          <w:r>
            <w:instrText xml:space="preserve"> HYPERLINK \l "_Toc197024997" </w:instrText>
          </w:r>
          <w:r>
            <w:fldChar w:fldCharType="separate"/>
          </w:r>
          <w:r>
            <w:rPr>
              <w:rStyle w:val="8"/>
              <w:rFonts w:eastAsia="Times New Roman"/>
              <w:lang w:val="en-IN" w:eastAsia="en-IN"/>
            </w:rPr>
            <w:t>4.1 Press Release &amp; CEO Statement</w:t>
          </w:r>
          <w:r>
            <w:tab/>
          </w:r>
          <w:r>
            <w:fldChar w:fldCharType="begin"/>
          </w:r>
          <w:r>
            <w:instrText xml:space="preserve"> PAGEREF _Toc197024997 \h </w:instrText>
          </w:r>
          <w:r>
            <w:fldChar w:fldCharType="separate"/>
          </w:r>
          <w:r>
            <w:t>5</w:t>
          </w:r>
          <w:r>
            <w:fldChar w:fldCharType="end"/>
          </w:r>
          <w:r>
            <w:fldChar w:fldCharType="end"/>
          </w:r>
        </w:p>
        <w:p w14:paraId="4BC81DB8">
          <w:pPr>
            <w:pStyle w:val="11"/>
            <w:tabs>
              <w:tab w:val="right" w:leader="dot" w:pos="9016"/>
            </w:tabs>
            <w:rPr>
              <w:rFonts w:eastAsiaTheme="minorEastAsia"/>
              <w:lang w:val="en-IN" w:eastAsia="en-IN"/>
            </w:rPr>
          </w:pPr>
          <w:r>
            <w:fldChar w:fldCharType="begin"/>
          </w:r>
          <w:r>
            <w:instrText xml:space="preserve"> HYPERLINK \l "_Toc197024998" </w:instrText>
          </w:r>
          <w:r>
            <w:fldChar w:fldCharType="separate"/>
          </w:r>
          <w:r>
            <w:rPr>
              <w:rStyle w:val="8"/>
              <w:rFonts w:eastAsia="Times New Roman"/>
              <w:lang w:val="en-IN" w:eastAsia="en-IN"/>
            </w:rPr>
            <w:t>4.2 Internal Staff Memo</w:t>
          </w:r>
          <w:r>
            <w:tab/>
          </w:r>
          <w:r>
            <w:fldChar w:fldCharType="begin"/>
          </w:r>
          <w:r>
            <w:instrText xml:space="preserve"> PAGEREF _Toc197024998 \h </w:instrText>
          </w:r>
          <w:r>
            <w:fldChar w:fldCharType="separate"/>
          </w:r>
          <w:r>
            <w:t>6</w:t>
          </w:r>
          <w:r>
            <w:fldChar w:fldCharType="end"/>
          </w:r>
          <w:r>
            <w:fldChar w:fldCharType="end"/>
          </w:r>
        </w:p>
        <w:p w14:paraId="5728E80B">
          <w:pPr>
            <w:pStyle w:val="11"/>
            <w:tabs>
              <w:tab w:val="right" w:leader="dot" w:pos="9016"/>
            </w:tabs>
            <w:rPr>
              <w:rFonts w:eastAsiaTheme="minorEastAsia"/>
              <w:lang w:val="en-IN" w:eastAsia="en-IN"/>
            </w:rPr>
          </w:pPr>
          <w:r>
            <w:fldChar w:fldCharType="begin"/>
          </w:r>
          <w:r>
            <w:instrText xml:space="preserve"> HYPERLINK \l "_Toc197024999" </w:instrText>
          </w:r>
          <w:r>
            <w:fldChar w:fldCharType="separate"/>
          </w:r>
          <w:r>
            <w:rPr>
              <w:rStyle w:val="8"/>
              <w:rFonts w:eastAsia="Times New Roman"/>
              <w:lang w:val="en-IN" w:eastAsia="en-IN"/>
            </w:rPr>
            <w:t>4.3 Social Media Response Scripts</w:t>
          </w:r>
          <w:r>
            <w:tab/>
          </w:r>
          <w:r>
            <w:fldChar w:fldCharType="begin"/>
          </w:r>
          <w:r>
            <w:instrText xml:space="preserve"> PAGEREF _Toc197024999 \h </w:instrText>
          </w:r>
          <w:r>
            <w:fldChar w:fldCharType="separate"/>
          </w:r>
          <w:r>
            <w:t>7</w:t>
          </w:r>
          <w:r>
            <w:fldChar w:fldCharType="end"/>
          </w:r>
          <w:r>
            <w:fldChar w:fldCharType="end"/>
          </w:r>
        </w:p>
        <w:p w14:paraId="575AE3C8">
          <w:pPr>
            <w:pStyle w:val="10"/>
            <w:tabs>
              <w:tab w:val="right" w:leader="dot" w:pos="9016"/>
            </w:tabs>
            <w:rPr>
              <w:rFonts w:eastAsiaTheme="minorEastAsia"/>
              <w:lang w:val="en-IN" w:eastAsia="en-IN"/>
            </w:rPr>
          </w:pPr>
          <w:r>
            <w:fldChar w:fldCharType="begin"/>
          </w:r>
          <w:r>
            <w:instrText xml:space="preserve"> HYPERLINK \l "_Toc197025000" </w:instrText>
          </w:r>
          <w:r>
            <w:fldChar w:fldCharType="separate"/>
          </w:r>
          <w:r>
            <w:rPr>
              <w:rStyle w:val="8"/>
              <w:rFonts w:eastAsia="Times New Roman"/>
              <w:lang w:val="en-IN" w:eastAsia="en-IN"/>
            </w:rPr>
            <w:t>5. Application of Communication Models</w:t>
          </w:r>
          <w:r>
            <w:tab/>
          </w:r>
          <w:r>
            <w:fldChar w:fldCharType="begin"/>
          </w:r>
          <w:r>
            <w:instrText xml:space="preserve"> PAGEREF _Toc197025000 \h </w:instrText>
          </w:r>
          <w:r>
            <w:fldChar w:fldCharType="separate"/>
          </w:r>
          <w:r>
            <w:t>8</w:t>
          </w:r>
          <w:r>
            <w:fldChar w:fldCharType="end"/>
          </w:r>
          <w:r>
            <w:fldChar w:fldCharType="end"/>
          </w:r>
        </w:p>
        <w:p w14:paraId="54E15E2D">
          <w:pPr>
            <w:pStyle w:val="11"/>
            <w:tabs>
              <w:tab w:val="right" w:leader="dot" w:pos="9016"/>
            </w:tabs>
            <w:rPr>
              <w:rFonts w:eastAsiaTheme="minorEastAsia"/>
              <w:lang w:val="en-IN" w:eastAsia="en-IN"/>
            </w:rPr>
          </w:pPr>
          <w:r>
            <w:fldChar w:fldCharType="begin"/>
          </w:r>
          <w:r>
            <w:instrText xml:space="preserve"> HYPERLINK \l "_Toc197025001" </w:instrText>
          </w:r>
          <w:r>
            <w:fldChar w:fldCharType="separate"/>
          </w:r>
          <w:r>
            <w:rPr>
              <w:rStyle w:val="8"/>
              <w:rFonts w:eastAsia="Times New Roman"/>
              <w:lang w:val="en-IN" w:eastAsia="en-IN"/>
            </w:rPr>
            <w:t>5.1 Shannon–Weaver Model</w:t>
          </w:r>
          <w:r>
            <w:tab/>
          </w:r>
          <w:r>
            <w:fldChar w:fldCharType="begin"/>
          </w:r>
          <w:r>
            <w:instrText xml:space="preserve"> PAGEREF _Toc197025001 \h </w:instrText>
          </w:r>
          <w:r>
            <w:fldChar w:fldCharType="separate"/>
          </w:r>
          <w:r>
            <w:t>8</w:t>
          </w:r>
          <w:r>
            <w:fldChar w:fldCharType="end"/>
          </w:r>
          <w:r>
            <w:fldChar w:fldCharType="end"/>
          </w:r>
        </w:p>
        <w:p w14:paraId="64E6BB1D">
          <w:pPr>
            <w:pStyle w:val="11"/>
            <w:tabs>
              <w:tab w:val="right" w:leader="dot" w:pos="9016"/>
            </w:tabs>
            <w:rPr>
              <w:rFonts w:eastAsiaTheme="minorEastAsia"/>
              <w:lang w:val="en-IN" w:eastAsia="en-IN"/>
            </w:rPr>
          </w:pPr>
          <w:r>
            <w:fldChar w:fldCharType="begin"/>
          </w:r>
          <w:r>
            <w:instrText xml:space="preserve"> HYPERLINK \l "_Toc197025002" </w:instrText>
          </w:r>
          <w:r>
            <w:fldChar w:fldCharType="separate"/>
          </w:r>
          <w:r>
            <w:rPr>
              <w:rStyle w:val="8"/>
              <w:rFonts w:eastAsia="Times New Roman"/>
              <w:lang w:val="en-IN" w:eastAsia="en-IN"/>
            </w:rPr>
            <w:t>5.2 Schramm’s Model</w:t>
          </w:r>
          <w:r>
            <w:tab/>
          </w:r>
          <w:r>
            <w:fldChar w:fldCharType="begin"/>
          </w:r>
          <w:r>
            <w:instrText xml:space="preserve"> PAGEREF _Toc197025002 \h </w:instrText>
          </w:r>
          <w:r>
            <w:fldChar w:fldCharType="separate"/>
          </w:r>
          <w:r>
            <w:t>9</w:t>
          </w:r>
          <w:r>
            <w:fldChar w:fldCharType="end"/>
          </w:r>
          <w:r>
            <w:fldChar w:fldCharType="end"/>
          </w:r>
        </w:p>
        <w:p w14:paraId="02A52E6A">
          <w:pPr>
            <w:pStyle w:val="10"/>
            <w:tabs>
              <w:tab w:val="right" w:leader="dot" w:pos="9016"/>
            </w:tabs>
            <w:rPr>
              <w:rFonts w:eastAsiaTheme="minorEastAsia"/>
              <w:lang w:val="en-IN" w:eastAsia="en-IN"/>
            </w:rPr>
          </w:pPr>
          <w:r>
            <w:fldChar w:fldCharType="begin"/>
          </w:r>
          <w:r>
            <w:instrText xml:space="preserve"> HYPERLINK \l "_Toc197025003" </w:instrText>
          </w:r>
          <w:r>
            <w:fldChar w:fldCharType="separate"/>
          </w:r>
          <w:r>
            <w:rPr>
              <w:rStyle w:val="8"/>
              <w:rFonts w:eastAsia="Times New Roman"/>
              <w:lang w:val="en-IN" w:eastAsia="en-IN"/>
            </w:rPr>
            <w:t>6. Digital Listening &amp; Performance Tracking</w:t>
          </w:r>
          <w:r>
            <w:tab/>
          </w:r>
          <w:r>
            <w:fldChar w:fldCharType="begin"/>
          </w:r>
          <w:r>
            <w:instrText xml:space="preserve"> PAGEREF _Toc197025003 \h </w:instrText>
          </w:r>
          <w:r>
            <w:fldChar w:fldCharType="separate"/>
          </w:r>
          <w:r>
            <w:t>9</w:t>
          </w:r>
          <w:r>
            <w:fldChar w:fldCharType="end"/>
          </w:r>
          <w:r>
            <w:fldChar w:fldCharType="end"/>
          </w:r>
        </w:p>
        <w:p w14:paraId="15F25B0C">
          <w:pPr>
            <w:pStyle w:val="11"/>
            <w:tabs>
              <w:tab w:val="right" w:leader="dot" w:pos="9016"/>
            </w:tabs>
            <w:rPr>
              <w:rFonts w:eastAsiaTheme="minorEastAsia"/>
              <w:lang w:val="en-IN" w:eastAsia="en-IN"/>
            </w:rPr>
          </w:pPr>
          <w:r>
            <w:fldChar w:fldCharType="begin"/>
          </w:r>
          <w:r>
            <w:instrText xml:space="preserve"> HYPERLINK \l "_Toc197025004" </w:instrText>
          </w:r>
          <w:r>
            <w:fldChar w:fldCharType="separate"/>
          </w:r>
          <w:r>
            <w:rPr>
              <w:rStyle w:val="8"/>
              <w:rFonts w:eastAsia="Times New Roman"/>
              <w:lang w:val="en-IN" w:eastAsia="en-IN"/>
            </w:rPr>
            <w:t>6.1 Recommended Tools</w:t>
          </w:r>
          <w:r>
            <w:tab/>
          </w:r>
          <w:r>
            <w:fldChar w:fldCharType="begin"/>
          </w:r>
          <w:r>
            <w:instrText xml:space="preserve"> PAGEREF _Toc197025004 \h </w:instrText>
          </w:r>
          <w:r>
            <w:fldChar w:fldCharType="separate"/>
          </w:r>
          <w:r>
            <w:t>9</w:t>
          </w:r>
          <w:r>
            <w:fldChar w:fldCharType="end"/>
          </w:r>
          <w:r>
            <w:fldChar w:fldCharType="end"/>
          </w:r>
        </w:p>
        <w:p w14:paraId="0D9B9A3B">
          <w:pPr>
            <w:pStyle w:val="11"/>
            <w:tabs>
              <w:tab w:val="right" w:leader="dot" w:pos="9016"/>
            </w:tabs>
            <w:rPr>
              <w:rFonts w:eastAsiaTheme="minorEastAsia"/>
              <w:lang w:val="en-IN" w:eastAsia="en-IN"/>
            </w:rPr>
          </w:pPr>
          <w:r>
            <w:fldChar w:fldCharType="begin"/>
          </w:r>
          <w:r>
            <w:instrText xml:space="preserve"> HYPERLINK \l "_Toc197025005" </w:instrText>
          </w:r>
          <w:r>
            <w:fldChar w:fldCharType="separate"/>
          </w:r>
          <w:r>
            <w:rPr>
              <w:rStyle w:val="8"/>
              <w:rFonts w:eastAsia="Times New Roman"/>
              <w:lang w:val="en-IN" w:eastAsia="en-IN"/>
            </w:rPr>
            <w:t>6.2 Key Performance Indicators</w:t>
          </w:r>
          <w:r>
            <w:tab/>
          </w:r>
          <w:r>
            <w:fldChar w:fldCharType="begin"/>
          </w:r>
          <w:r>
            <w:instrText xml:space="preserve"> PAGEREF _Toc197025005 \h </w:instrText>
          </w:r>
          <w:r>
            <w:fldChar w:fldCharType="separate"/>
          </w:r>
          <w:r>
            <w:t>9</w:t>
          </w:r>
          <w:r>
            <w:fldChar w:fldCharType="end"/>
          </w:r>
          <w:r>
            <w:fldChar w:fldCharType="end"/>
          </w:r>
        </w:p>
        <w:p w14:paraId="25787CC3">
          <w:pPr>
            <w:pStyle w:val="10"/>
            <w:tabs>
              <w:tab w:val="right" w:leader="dot" w:pos="9016"/>
            </w:tabs>
            <w:rPr>
              <w:rFonts w:eastAsiaTheme="minorEastAsia"/>
              <w:lang w:val="en-IN" w:eastAsia="en-IN"/>
            </w:rPr>
          </w:pPr>
          <w:r>
            <w:fldChar w:fldCharType="begin"/>
          </w:r>
          <w:r>
            <w:instrText xml:space="preserve"> HYPERLINK \l "_Toc197025006" </w:instrText>
          </w:r>
          <w:r>
            <w:fldChar w:fldCharType="separate"/>
          </w:r>
          <w:r>
            <w:rPr>
              <w:rStyle w:val="8"/>
              <w:rFonts w:eastAsia="Times New Roman"/>
              <w:lang w:val="en-IN" w:eastAsia="en-IN"/>
            </w:rPr>
            <w:t>7. Conclusion &amp; Recommendations</w:t>
          </w:r>
          <w:r>
            <w:tab/>
          </w:r>
          <w:r>
            <w:fldChar w:fldCharType="begin"/>
          </w:r>
          <w:r>
            <w:instrText xml:space="preserve"> PAGEREF _Toc197025006 \h </w:instrText>
          </w:r>
          <w:r>
            <w:fldChar w:fldCharType="separate"/>
          </w:r>
          <w:r>
            <w:t>10</w:t>
          </w:r>
          <w:r>
            <w:fldChar w:fldCharType="end"/>
          </w:r>
          <w:r>
            <w:fldChar w:fldCharType="end"/>
          </w:r>
        </w:p>
        <w:p w14:paraId="1A570894">
          <w:pPr>
            <w:pStyle w:val="10"/>
            <w:tabs>
              <w:tab w:val="right" w:leader="dot" w:pos="9016"/>
            </w:tabs>
            <w:rPr>
              <w:rFonts w:eastAsiaTheme="minorEastAsia"/>
              <w:lang w:val="en-IN" w:eastAsia="en-IN"/>
            </w:rPr>
          </w:pPr>
          <w:r>
            <w:fldChar w:fldCharType="begin"/>
          </w:r>
          <w:r>
            <w:instrText xml:space="preserve"> HYPERLINK \l "_Toc197025007" </w:instrText>
          </w:r>
          <w:r>
            <w:fldChar w:fldCharType="separate"/>
          </w:r>
          <w:r>
            <w:rPr>
              <w:rStyle w:val="8"/>
              <w:rFonts w:eastAsia="Times New Roman"/>
              <w:lang w:val="en-IN" w:eastAsia="en-IN"/>
            </w:rPr>
            <w:t>References</w:t>
          </w:r>
          <w:r>
            <w:tab/>
          </w:r>
          <w:r>
            <w:fldChar w:fldCharType="begin"/>
          </w:r>
          <w:r>
            <w:instrText xml:space="preserve"> PAGEREF _Toc197025007 \h </w:instrText>
          </w:r>
          <w:r>
            <w:fldChar w:fldCharType="separate"/>
          </w:r>
          <w:r>
            <w:t>11</w:t>
          </w:r>
          <w:r>
            <w:fldChar w:fldCharType="end"/>
          </w:r>
          <w:r>
            <w:fldChar w:fldCharType="end"/>
          </w:r>
        </w:p>
        <w:p w14:paraId="1430C2FE">
          <w:r>
            <w:rPr>
              <w:b/>
              <w:bCs/>
            </w:rPr>
            <w:fldChar w:fldCharType="end"/>
          </w:r>
        </w:p>
      </w:sdtContent>
    </w:sdt>
    <w:p w14:paraId="2F39AD7D"/>
    <w:p w14:paraId="5E84C364"/>
    <w:p w14:paraId="4EC609AB"/>
    <w:p w14:paraId="764052A3"/>
    <w:p w14:paraId="058F7C6B"/>
    <w:p w14:paraId="04C43BF6"/>
    <w:p w14:paraId="7CD074E0"/>
    <w:p w14:paraId="654701F8"/>
    <w:p w14:paraId="5918086A"/>
    <w:p w14:paraId="7110458A"/>
    <w:p w14:paraId="4F67CAD5"/>
    <w:p w14:paraId="58736EBC"/>
    <w:p w14:paraId="3C636329"/>
    <w:p w14:paraId="1BA2D80E"/>
    <w:p w14:paraId="299C25EB">
      <w:pPr>
        <w:pStyle w:val="2"/>
        <w:spacing w:line="360" w:lineRule="auto"/>
        <w:rPr>
          <w:rFonts w:eastAsia="Times New Roman"/>
          <w:lang w:val="en-IN" w:eastAsia="en-IN"/>
        </w:rPr>
      </w:pPr>
      <w:bookmarkStart w:id="0" w:name="_Toc197024991"/>
      <w:r>
        <w:rPr>
          <w:rFonts w:eastAsia="Times New Roman"/>
          <w:lang w:val="en-IN" w:eastAsia="en-IN"/>
        </w:rPr>
        <w:t>1. Introduction</w:t>
      </w:r>
      <w:bookmarkEnd w:id="0"/>
    </w:p>
    <w:p w14:paraId="6470CD68">
      <w:pPr>
        <w:spacing w:line="360" w:lineRule="auto"/>
        <w:rPr>
          <w:lang w:val="en-IN" w:eastAsia="en-IN"/>
        </w:rPr>
      </w:pPr>
    </w:p>
    <w:p w14:paraId="66677B51">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The tourism industry faces an increasing possibility of attracting the public's swift but keen attention, especially if it involves environmental misdeeds published on social platforms. In my role as the Head of Corporate Communications at GreenVista Eco-Resorts, the main idea of this report is to illustrate a full-spectrum crisis communication response that exploits new school as well as old school channels of communication to do the following: to put right the brand image, to restore the trust of the stakeholders and to manage the internal spirit. The main objectives are to (1) address the problem as soon as possible, (2) correct the wrong information, (3) be responsible, and (4) monitor the mood of the audience to have the opportunity to change the plan of action on the spot. This report takes the reader through the stages required for stakeholder mapping, message development, model application, deliverable drafts, and digital listening strategies, thereby establishing a framework for an integrated, transparent, and ethical reply.</w:t>
      </w:r>
    </w:p>
    <w:p w14:paraId="2AF2AF30">
      <w:pPr>
        <w:pStyle w:val="2"/>
        <w:spacing w:line="360" w:lineRule="auto"/>
        <w:rPr>
          <w:rFonts w:eastAsia="Times New Roman"/>
          <w:lang w:val="en-IN" w:eastAsia="en-IN"/>
        </w:rPr>
      </w:pPr>
      <w:bookmarkStart w:id="1" w:name="_Toc197024992"/>
      <w:r>
        <w:rPr>
          <w:rFonts w:eastAsia="Times New Roman"/>
          <w:lang w:val="en-IN" w:eastAsia="en-IN"/>
        </w:rPr>
        <w:t>2. Crisis Overview</w:t>
      </w:r>
      <w:bookmarkEnd w:id="1"/>
    </w:p>
    <w:p w14:paraId="6F6A6346">
      <w:pPr>
        <w:spacing w:line="360" w:lineRule="auto"/>
        <w:rPr>
          <w:lang w:val="en-IN" w:eastAsia="en-IN"/>
        </w:rPr>
      </w:pPr>
    </w:p>
    <w:p w14:paraId="3B379955">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On March 28, 2025, a group of environmentalists released satellite images on their Twitter, indicating that GreenVista’s Rainforest Ridge resort had destroyed a protected area to create a new spa facility without the required permissions. The environmentally hazardous tweet rapidly spread over the Internet, reaching as many as 50,000 retweets in 24 hours, and it was accompanied by the information that international media had covered the story and that the public had already begun calling for actions to be taken (Smith, 2025). The information that staff are considering seems to be twofold: one is regarding job security, and the other is about the values of the organisation. As for the external party, it suggests that those without any disputes that exist between the two are the target group (customers). Undoubtedly, the rapid proliferation of false information of the "fake news" type was noticed as the major problem that stood in the way of GreenVista’s establishing brand equity and credentials of sustainability (Coombs, 2019).</w:t>
      </w:r>
    </w:p>
    <w:p w14:paraId="5F022400">
      <w:pPr>
        <w:pStyle w:val="2"/>
        <w:spacing w:line="360" w:lineRule="auto"/>
        <w:rPr>
          <w:rFonts w:eastAsia="Times New Roman"/>
          <w:lang w:val="en-IN" w:eastAsia="en-IN"/>
        </w:rPr>
      </w:pPr>
      <w:bookmarkStart w:id="2" w:name="_Toc197024993"/>
      <w:r>
        <w:rPr>
          <w:rFonts w:eastAsia="Times New Roman"/>
          <w:lang w:val="en-IN" w:eastAsia="en-IN"/>
        </w:rPr>
        <w:t>3. Communication Strategy</w:t>
      </w:r>
      <w:bookmarkEnd w:id="2"/>
    </w:p>
    <w:p w14:paraId="526FB5DF">
      <w:pPr>
        <w:spacing w:line="360" w:lineRule="auto"/>
        <w:rPr>
          <w:lang w:val="en-IN" w:eastAsia="en-IN"/>
        </w:rPr>
      </w:pPr>
    </w:p>
    <w:p w14:paraId="702BF0D5">
      <w:pPr>
        <w:pStyle w:val="3"/>
        <w:spacing w:line="360" w:lineRule="auto"/>
        <w:rPr>
          <w:rFonts w:eastAsia="Times New Roman"/>
          <w:lang w:val="en-IN" w:eastAsia="en-IN"/>
        </w:rPr>
      </w:pPr>
      <w:bookmarkStart w:id="3" w:name="_Toc197024994"/>
      <w:r>
        <w:rPr>
          <w:rFonts w:eastAsia="Times New Roman"/>
          <w:lang w:val="en-IN" w:eastAsia="en-IN"/>
        </w:rPr>
        <w:t>3.1 Stakeholder Identification &amp; Channel Selection</w:t>
      </w:r>
      <w:bookmarkEnd w:id="3"/>
    </w:p>
    <w:p w14:paraId="42108CAC">
      <w:pPr>
        <w:spacing w:line="360" w:lineRule="auto"/>
        <w:rPr>
          <w:lang w:val="en-IN" w:eastAsia="en-IN"/>
        </w:rPr>
      </w:pPr>
    </w:p>
    <w:p w14:paraId="60C31D9A">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The success of dealing with a crisis effectively depends on the recognition of the main audiences and the choice of the most suitable channels for all of them (Heath &amp; Millar, 2004). In Table 1, the main stakeholders and the platforms to utilise are presented:</w:t>
      </w:r>
    </w:p>
    <w:p w14:paraId="3F777F99">
      <w:pPr>
        <w:spacing w:after="0" w:line="360" w:lineRule="auto"/>
        <w:jc w:val="both"/>
        <w:rPr>
          <w:rFonts w:ascii="Times New Roman" w:hAnsi="Times New Roman" w:eastAsia="Times New Roman" w:cs="Times New Roman"/>
          <w:color w:val="0E101A"/>
          <w:sz w:val="24"/>
          <w:szCs w:val="24"/>
          <w:lang w:val="en-IN" w:eastAsia="en-IN"/>
        </w:rPr>
      </w:pPr>
    </w:p>
    <w:tbl>
      <w:tblPr>
        <w:tblStyle w:val="5"/>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15" w:type="dxa"/>
          <w:left w:w="15" w:type="dxa"/>
          <w:bottom w:w="15" w:type="dxa"/>
          <w:right w:w="15" w:type="dxa"/>
        </w:tblCellMar>
      </w:tblPr>
      <w:tblGrid>
        <w:gridCol w:w="2790"/>
        <w:gridCol w:w="1011"/>
        <w:gridCol w:w="5335"/>
      </w:tblGrid>
      <w:tr w14:paraId="0C760A3E">
        <w:trPr>
          <w:tblHeader/>
          <w:tblCellSpacing w:w="15" w:type="dxa"/>
        </w:trPr>
        <w:tc>
          <w:tcPr>
            <w:tcW w:w="0" w:type="auto"/>
            <w:vAlign w:val="center"/>
          </w:tcPr>
          <w:p w14:paraId="0392BDFF">
            <w:pPr>
              <w:spacing w:after="0" w:line="360" w:lineRule="auto"/>
              <w:jc w:val="center"/>
              <w:rPr>
                <w:rFonts w:ascii="Times New Roman" w:hAnsi="Times New Roman" w:eastAsia="Times New Roman" w:cs="Times New Roman"/>
                <w:b/>
                <w:bCs/>
                <w:sz w:val="24"/>
                <w:szCs w:val="24"/>
                <w:lang w:val="en-IN" w:eastAsia="en-IN"/>
              </w:rPr>
            </w:pPr>
            <w:r>
              <w:rPr>
                <w:rFonts w:ascii="Times New Roman" w:hAnsi="Times New Roman" w:eastAsia="Times New Roman" w:cs="Times New Roman"/>
                <w:b/>
                <w:bCs/>
                <w:sz w:val="24"/>
                <w:szCs w:val="24"/>
                <w:lang w:val="en-IN" w:eastAsia="en-IN"/>
              </w:rPr>
              <w:t>Stakeholder Group</w:t>
            </w:r>
          </w:p>
        </w:tc>
        <w:tc>
          <w:tcPr>
            <w:tcW w:w="981" w:type="dxa"/>
            <w:vAlign w:val="center"/>
          </w:tcPr>
          <w:p w14:paraId="2F8F998F">
            <w:pPr>
              <w:spacing w:after="0" w:line="360" w:lineRule="auto"/>
              <w:jc w:val="center"/>
              <w:rPr>
                <w:rFonts w:ascii="Times New Roman" w:hAnsi="Times New Roman" w:eastAsia="Times New Roman" w:cs="Times New Roman"/>
                <w:b/>
                <w:bCs/>
                <w:sz w:val="24"/>
                <w:szCs w:val="24"/>
                <w:lang w:val="en-IN" w:eastAsia="en-IN"/>
              </w:rPr>
            </w:pPr>
            <w:r>
              <w:rPr>
                <w:rFonts w:ascii="Times New Roman" w:hAnsi="Times New Roman" w:eastAsia="Times New Roman" w:cs="Times New Roman"/>
                <w:b/>
                <w:bCs/>
                <w:sz w:val="24"/>
                <w:szCs w:val="24"/>
                <w:lang w:val="en-IN" w:eastAsia="en-IN"/>
              </w:rPr>
              <w:t>Priority</w:t>
            </w:r>
          </w:p>
        </w:tc>
        <w:tc>
          <w:tcPr>
            <w:tcW w:w="5290" w:type="dxa"/>
            <w:vAlign w:val="center"/>
          </w:tcPr>
          <w:p w14:paraId="3302C616">
            <w:pPr>
              <w:spacing w:after="0" w:line="360" w:lineRule="auto"/>
              <w:jc w:val="center"/>
              <w:rPr>
                <w:rFonts w:ascii="Times New Roman" w:hAnsi="Times New Roman" w:eastAsia="Times New Roman" w:cs="Times New Roman"/>
                <w:b/>
                <w:bCs/>
                <w:sz w:val="24"/>
                <w:szCs w:val="24"/>
                <w:lang w:val="en-IN" w:eastAsia="en-IN"/>
              </w:rPr>
            </w:pPr>
            <w:r>
              <w:rPr>
                <w:rFonts w:ascii="Times New Roman" w:hAnsi="Times New Roman" w:eastAsia="Times New Roman" w:cs="Times New Roman"/>
                <w:b/>
                <w:bCs/>
                <w:sz w:val="24"/>
                <w:szCs w:val="24"/>
                <w:lang w:val="en-IN" w:eastAsia="en-IN"/>
              </w:rPr>
              <w:t>Channel(s)</w:t>
            </w:r>
          </w:p>
        </w:tc>
      </w:tr>
      <w:tr w14:paraId="5B69835C">
        <w:trPr>
          <w:tblCellSpacing w:w="15" w:type="dxa"/>
        </w:trPr>
        <w:tc>
          <w:tcPr>
            <w:tcW w:w="0" w:type="auto"/>
            <w:vAlign w:val="center"/>
          </w:tcPr>
          <w:p w14:paraId="2773B49B">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General Public</w:t>
            </w:r>
          </w:p>
        </w:tc>
        <w:tc>
          <w:tcPr>
            <w:tcW w:w="981" w:type="dxa"/>
            <w:vAlign w:val="center"/>
          </w:tcPr>
          <w:p w14:paraId="1CE46E1C">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High</w:t>
            </w:r>
          </w:p>
        </w:tc>
        <w:tc>
          <w:tcPr>
            <w:tcW w:w="5290" w:type="dxa"/>
            <w:vAlign w:val="center"/>
          </w:tcPr>
          <w:p w14:paraId="0260ECCF">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Press release, company website, social media (Twitter, Instagram, LinkedIn)</w:t>
            </w:r>
          </w:p>
        </w:tc>
      </w:tr>
      <w:tr w14:paraId="25140BB2">
        <w:trPr>
          <w:tblCellSpacing w:w="15" w:type="dxa"/>
        </w:trPr>
        <w:tc>
          <w:tcPr>
            <w:tcW w:w="0" w:type="auto"/>
            <w:vAlign w:val="center"/>
          </w:tcPr>
          <w:p w14:paraId="79E1492C">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Media</w:t>
            </w:r>
          </w:p>
        </w:tc>
        <w:tc>
          <w:tcPr>
            <w:tcW w:w="981" w:type="dxa"/>
            <w:vAlign w:val="center"/>
          </w:tcPr>
          <w:p w14:paraId="52C10B47">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High</w:t>
            </w:r>
          </w:p>
        </w:tc>
        <w:tc>
          <w:tcPr>
            <w:tcW w:w="5290" w:type="dxa"/>
            <w:vAlign w:val="center"/>
          </w:tcPr>
          <w:p w14:paraId="52DA8B04">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Media advisory, press conference, email distribution</w:t>
            </w:r>
          </w:p>
        </w:tc>
      </w:tr>
      <w:tr w14:paraId="29F67D18">
        <w:trPr>
          <w:tblCellSpacing w:w="15" w:type="dxa"/>
        </w:trPr>
        <w:tc>
          <w:tcPr>
            <w:tcW w:w="0" w:type="auto"/>
            <w:vAlign w:val="center"/>
          </w:tcPr>
          <w:p w14:paraId="0D116D14">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Employees</w:t>
            </w:r>
          </w:p>
        </w:tc>
        <w:tc>
          <w:tcPr>
            <w:tcW w:w="981" w:type="dxa"/>
            <w:vAlign w:val="center"/>
          </w:tcPr>
          <w:p w14:paraId="709261B1">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High</w:t>
            </w:r>
          </w:p>
        </w:tc>
        <w:tc>
          <w:tcPr>
            <w:tcW w:w="5290" w:type="dxa"/>
            <w:vAlign w:val="center"/>
          </w:tcPr>
          <w:p w14:paraId="3ABAC3CE">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Internal memo, staff town hall (video), intranet announcements</w:t>
            </w:r>
          </w:p>
        </w:tc>
      </w:tr>
      <w:tr w14:paraId="2EC0724C">
        <w:trPr>
          <w:tblCellSpacing w:w="15" w:type="dxa"/>
        </w:trPr>
        <w:tc>
          <w:tcPr>
            <w:tcW w:w="0" w:type="auto"/>
            <w:vAlign w:val="center"/>
          </w:tcPr>
          <w:p w14:paraId="7029D197">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Investors &amp; Board</w:t>
            </w:r>
          </w:p>
        </w:tc>
        <w:tc>
          <w:tcPr>
            <w:tcW w:w="981" w:type="dxa"/>
            <w:vAlign w:val="center"/>
          </w:tcPr>
          <w:p w14:paraId="0F5A7FD3">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Medium</w:t>
            </w:r>
          </w:p>
        </w:tc>
        <w:tc>
          <w:tcPr>
            <w:tcW w:w="5290" w:type="dxa"/>
            <w:vAlign w:val="center"/>
          </w:tcPr>
          <w:p w14:paraId="1DE67FC5">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Direct email, investor call, dedicated webpage</w:t>
            </w:r>
          </w:p>
        </w:tc>
      </w:tr>
      <w:tr w14:paraId="6FE1BD44">
        <w:trPr>
          <w:tblCellSpacing w:w="15" w:type="dxa"/>
        </w:trPr>
        <w:tc>
          <w:tcPr>
            <w:tcW w:w="0" w:type="auto"/>
            <w:vAlign w:val="center"/>
          </w:tcPr>
          <w:p w14:paraId="27ED9D43">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Local Community &amp; Regulators</w:t>
            </w:r>
          </w:p>
        </w:tc>
        <w:tc>
          <w:tcPr>
            <w:tcW w:w="981" w:type="dxa"/>
            <w:vAlign w:val="center"/>
          </w:tcPr>
          <w:p w14:paraId="61B6CA09">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Medium</w:t>
            </w:r>
          </w:p>
        </w:tc>
        <w:tc>
          <w:tcPr>
            <w:tcW w:w="5290" w:type="dxa"/>
            <w:vAlign w:val="center"/>
          </w:tcPr>
          <w:p w14:paraId="3C71AC0A">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Community newsletter, regulatory filings, local press</w:t>
            </w:r>
          </w:p>
        </w:tc>
      </w:tr>
      <w:tr w14:paraId="298DF331">
        <w:trPr>
          <w:tblCellSpacing w:w="15" w:type="dxa"/>
        </w:trPr>
        <w:tc>
          <w:tcPr>
            <w:tcW w:w="0" w:type="auto"/>
            <w:vAlign w:val="center"/>
          </w:tcPr>
          <w:p w14:paraId="4226DE67">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NGO/Advocacy Groups</w:t>
            </w:r>
          </w:p>
        </w:tc>
        <w:tc>
          <w:tcPr>
            <w:tcW w:w="981" w:type="dxa"/>
            <w:vAlign w:val="center"/>
          </w:tcPr>
          <w:p w14:paraId="682EE344">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Low</w:t>
            </w:r>
          </w:p>
        </w:tc>
        <w:tc>
          <w:tcPr>
            <w:tcW w:w="5290" w:type="dxa"/>
            <w:vAlign w:val="center"/>
          </w:tcPr>
          <w:p w14:paraId="69D19D57">
            <w:pPr>
              <w:spacing w:after="0" w:line="360" w:lineRule="auto"/>
              <w:rPr>
                <w:rFonts w:ascii="Times New Roman" w:hAnsi="Times New Roman" w:eastAsia="Times New Roman" w:cs="Times New Roman"/>
                <w:sz w:val="24"/>
                <w:szCs w:val="24"/>
                <w:lang w:val="en-IN" w:eastAsia="en-IN"/>
              </w:rPr>
            </w:pPr>
            <w:r>
              <w:rPr>
                <w:rFonts w:ascii="Times New Roman" w:hAnsi="Times New Roman" w:eastAsia="Times New Roman" w:cs="Times New Roman"/>
                <w:sz w:val="24"/>
                <w:szCs w:val="24"/>
                <w:lang w:val="en-IN" w:eastAsia="en-IN"/>
              </w:rPr>
              <w:t>Personalized outreach, invitation to site visit</w:t>
            </w:r>
          </w:p>
        </w:tc>
      </w:tr>
    </w:tbl>
    <w:p w14:paraId="284222A8">
      <w:pPr>
        <w:spacing w:after="0" w:line="360" w:lineRule="auto"/>
        <w:jc w:val="both"/>
        <w:rPr>
          <w:rFonts w:ascii="Times New Roman" w:hAnsi="Times New Roman" w:eastAsia="Times New Roman" w:cs="Times New Roman"/>
          <w:color w:val="0E101A"/>
          <w:sz w:val="24"/>
          <w:szCs w:val="24"/>
          <w:lang w:val="en-IN" w:eastAsia="en-IN"/>
        </w:rPr>
      </w:pPr>
    </w:p>
    <w:p w14:paraId="68930C12">
      <w:pPr>
        <w:spacing w:after="0" w:line="360" w:lineRule="auto"/>
        <w:jc w:val="both"/>
      </w:pPr>
      <w:r>
        <w:t>Table 1. Stakeholder–Channel Matrix</w:t>
      </w:r>
    </w:p>
    <w:p w14:paraId="1864A273">
      <w:pPr>
        <w:spacing w:after="0" w:line="360" w:lineRule="auto"/>
        <w:jc w:val="both"/>
        <w:rPr>
          <w:rFonts w:ascii="Times New Roman" w:hAnsi="Times New Roman" w:eastAsia="Times New Roman" w:cs="Times New Roman"/>
          <w:color w:val="0E101A"/>
          <w:sz w:val="24"/>
          <w:szCs w:val="24"/>
          <w:lang w:val="en-IN" w:eastAsia="en-IN"/>
        </w:rPr>
      </w:pPr>
    </w:p>
    <w:p w14:paraId="38539176">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The basic details will be set by conventional methods (press releases, media briefings), while online platforms provide the opportunity for immediate interaction and feedback loops (Mitroff &amp; Anagnos, 2022).</w:t>
      </w:r>
    </w:p>
    <w:p w14:paraId="7B16A753">
      <w:pPr>
        <w:spacing w:after="0" w:line="360" w:lineRule="auto"/>
        <w:jc w:val="both"/>
        <w:rPr>
          <w:rFonts w:ascii="Times New Roman" w:hAnsi="Times New Roman" w:eastAsia="Times New Roman" w:cs="Times New Roman"/>
          <w:color w:val="0E101A"/>
          <w:sz w:val="24"/>
          <w:szCs w:val="24"/>
          <w:lang w:val="en-IN" w:eastAsia="en-IN"/>
        </w:rPr>
      </w:pPr>
    </w:p>
    <w:p w14:paraId="790020A6">
      <w:pPr>
        <w:pStyle w:val="3"/>
        <w:spacing w:line="360" w:lineRule="auto"/>
        <w:rPr>
          <w:rFonts w:eastAsia="Times New Roman"/>
          <w:lang w:val="en-IN" w:eastAsia="en-IN"/>
        </w:rPr>
      </w:pPr>
      <w:bookmarkStart w:id="4" w:name="_Toc197024995"/>
      <w:r>
        <w:rPr>
          <w:rFonts w:eastAsia="Times New Roman"/>
          <w:lang w:val="en-IN" w:eastAsia="en-IN"/>
        </w:rPr>
        <w:t>3.2 Message Framing &amp; Tone</w:t>
      </w:r>
      <w:bookmarkEnd w:id="4"/>
    </w:p>
    <w:p w14:paraId="36781B03">
      <w:pPr>
        <w:spacing w:line="360" w:lineRule="auto"/>
        <w:rPr>
          <w:lang w:val="en-IN" w:eastAsia="en-IN"/>
        </w:rPr>
      </w:pPr>
    </w:p>
    <w:p w14:paraId="14F176C5">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A communique of crisis should be a combination of openness, sympathy, and authority by way of the tone.</w:t>
      </w:r>
    </w:p>
    <w:p w14:paraId="0E661DCA">
      <w:pPr>
        <w:spacing w:after="0" w:line="360" w:lineRule="auto"/>
        <w:jc w:val="both"/>
        <w:rPr>
          <w:rFonts w:ascii="Times New Roman" w:hAnsi="Times New Roman" w:eastAsia="Times New Roman" w:cs="Times New Roman"/>
          <w:b/>
          <w:bCs/>
          <w:i/>
          <w:iCs/>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The tone should be:</w:t>
      </w:r>
    </w:p>
    <w:p w14:paraId="7E918706">
      <w:pPr>
        <w:pStyle w:val="14"/>
        <w:numPr>
          <w:ilvl w:val="0"/>
          <w:numId w:val="1"/>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Transparent: State the situation to be clear and honest, including the things we don't know yet.</w:t>
      </w:r>
    </w:p>
    <w:p w14:paraId="2FF5FDAC">
      <w:pPr>
        <w:pStyle w:val="14"/>
        <w:numPr>
          <w:ilvl w:val="0"/>
          <w:numId w:val="1"/>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Empathetic: Show concern for the people who are affected.</w:t>
      </w:r>
    </w:p>
    <w:p w14:paraId="0B117924">
      <w:pPr>
        <w:pStyle w:val="14"/>
        <w:numPr>
          <w:ilvl w:val="0"/>
          <w:numId w:val="1"/>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Authoritative: Provide the information about the new course and the correction that follows.</w:t>
      </w:r>
    </w:p>
    <w:p w14:paraId="386122C2">
      <w:pPr>
        <w:spacing w:after="0" w:line="360" w:lineRule="auto"/>
        <w:jc w:val="both"/>
        <w:rPr>
          <w:rFonts w:ascii="Times New Roman" w:hAnsi="Times New Roman" w:eastAsia="Times New Roman" w:cs="Times New Roman"/>
          <w:b/>
          <w:bCs/>
          <w:i/>
          <w:iCs/>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 xml:space="preserve">The main messages include: </w:t>
      </w:r>
    </w:p>
    <w:p w14:paraId="017F4DAA">
      <w:pPr>
        <w:pStyle w:val="14"/>
        <w:numPr>
          <w:ilvl w:val="0"/>
          <w:numId w:val="2"/>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Acknowledgment: “We are taking these allegations very seriously.”</w:t>
      </w:r>
    </w:p>
    <w:p w14:paraId="0BD3166D">
      <w:pPr>
        <w:pStyle w:val="14"/>
        <w:numPr>
          <w:ilvl w:val="0"/>
          <w:numId w:val="2"/>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Investigation: “We have now arranged for an independent inspection.”</w:t>
      </w:r>
    </w:p>
    <w:p w14:paraId="3C1018C2">
      <w:pPr>
        <w:pStyle w:val="14"/>
        <w:numPr>
          <w:ilvl w:val="0"/>
          <w:numId w:val="2"/>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Remediation: “We will immediately cease any illegal activities.</w:t>
      </w:r>
    </w:p>
    <w:p w14:paraId="5519AB25">
      <w:pPr>
        <w:spacing w:after="0" w:line="360" w:lineRule="auto"/>
        <w:jc w:val="both"/>
        <w:rPr>
          <w:rFonts w:ascii="Times New Roman" w:hAnsi="Times New Roman" w:eastAsia="Times New Roman" w:cs="Times New Roman"/>
          <w:color w:val="0E101A"/>
          <w:sz w:val="24"/>
          <w:szCs w:val="24"/>
          <w:lang w:val="en-IN" w:eastAsia="en-IN"/>
        </w:rPr>
      </w:pPr>
    </w:p>
    <w:p w14:paraId="5092A28E">
      <w:pPr>
        <w:pStyle w:val="2"/>
        <w:spacing w:line="360" w:lineRule="auto"/>
        <w:rPr>
          <w:rFonts w:eastAsia="Times New Roman"/>
          <w:lang w:val="en-IN" w:eastAsia="en-IN"/>
        </w:rPr>
      </w:pPr>
      <w:bookmarkStart w:id="5" w:name="_Toc197024996"/>
      <w:r>
        <w:rPr>
          <w:rFonts w:eastAsia="Times New Roman"/>
          <w:lang w:val="en-IN" w:eastAsia="en-IN"/>
        </w:rPr>
        <w:t>4. Deliverables</w:t>
      </w:r>
      <w:bookmarkEnd w:id="5"/>
    </w:p>
    <w:p w14:paraId="648A77E6">
      <w:pPr>
        <w:spacing w:line="360" w:lineRule="auto"/>
        <w:rPr>
          <w:lang w:val="en-IN" w:eastAsia="en-IN"/>
        </w:rPr>
      </w:pPr>
    </w:p>
    <w:p w14:paraId="2472FC1A">
      <w:pPr>
        <w:pStyle w:val="3"/>
        <w:spacing w:line="360" w:lineRule="auto"/>
        <w:rPr>
          <w:rFonts w:eastAsia="Times New Roman"/>
          <w:lang w:val="en-IN" w:eastAsia="en-IN"/>
        </w:rPr>
      </w:pPr>
      <w:bookmarkStart w:id="6" w:name="_Toc197024997"/>
      <w:r>
        <w:rPr>
          <w:rFonts w:eastAsia="Times New Roman"/>
          <w:lang w:val="en-IN" w:eastAsia="en-IN"/>
        </w:rPr>
        <w:t>4.1 Press Release &amp; CEO Statement</w:t>
      </w:r>
      <w:bookmarkEnd w:id="6"/>
    </w:p>
    <w:p w14:paraId="2A51760E">
      <w:pPr>
        <w:spacing w:line="360" w:lineRule="auto"/>
        <w:rPr>
          <w:lang w:val="en-IN" w:eastAsia="en-IN"/>
        </w:rPr>
      </w:pPr>
    </w:p>
    <w:p w14:paraId="6A3E351A">
      <w:pPr>
        <w:spacing w:after="0" w:line="360" w:lineRule="auto"/>
        <w:jc w:val="both"/>
        <w:rPr>
          <w:rFonts w:ascii="Times New Roman" w:hAnsi="Times New Roman" w:eastAsia="Times New Roman" w:cs="Times New Roman"/>
          <w:b/>
          <w:bCs/>
          <w:i/>
          <w:iCs/>
          <w:color w:val="0E101A"/>
          <w:sz w:val="24"/>
          <w:szCs w:val="24"/>
          <w:u w:val="single"/>
          <w:lang w:val="en-IN" w:eastAsia="en-IN"/>
        </w:rPr>
      </w:pPr>
      <w:r>
        <w:rPr>
          <w:rFonts w:ascii="Times New Roman" w:hAnsi="Times New Roman" w:eastAsia="Times New Roman" w:cs="Times New Roman"/>
          <w:b/>
          <w:bCs/>
          <w:i/>
          <w:iCs/>
          <w:color w:val="0E101A"/>
          <w:sz w:val="24"/>
          <w:szCs w:val="24"/>
          <w:u w:val="single"/>
          <w:lang w:val="en-IN" w:eastAsia="en-IN"/>
        </w:rPr>
        <w:t>For Immediate Release</w:t>
      </w:r>
    </w:p>
    <w:p w14:paraId="6F882778">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GreenVista Eco-Resorts Manifests Green Going Autonomous after the False Greening Charges</w:t>
      </w:r>
    </w:p>
    <w:p w14:paraId="2B73BA3C">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 xml:space="preserve">City, Country March 29, 2025 GreenVista Eco-Resorts were the first to conduct a self-review of their property in the Rainforest Ridge after being informed about the issue by an external activist group, which had accused the company of pretending to be green, claimed greenwashing was going on in the company. The resort has decided to phase out all new construction permits until the audit’s findings are in (Zhang &amp; Lee, 2022). </w:t>
      </w:r>
    </w:p>
    <w:p w14:paraId="038C6B22">
      <w:pPr>
        <w:spacing w:after="0" w:line="360" w:lineRule="auto"/>
        <w:jc w:val="both"/>
        <w:rPr>
          <w:rFonts w:ascii="Times New Roman" w:hAnsi="Times New Roman" w:eastAsia="Times New Roman" w:cs="Times New Roman"/>
          <w:color w:val="0E101A"/>
          <w:sz w:val="24"/>
          <w:szCs w:val="24"/>
          <w:lang w:val="en-IN" w:eastAsia="en-IN"/>
        </w:rPr>
      </w:pPr>
    </w:p>
    <w:p w14:paraId="555F1E8E">
      <w:pPr>
        <w:spacing w:after="0" w:line="360" w:lineRule="auto"/>
        <w:jc w:val="both"/>
        <w:rPr>
          <w:rFonts w:ascii="Times New Roman" w:hAnsi="Times New Roman" w:eastAsia="Times New Roman" w:cs="Times New Roman"/>
          <w:i/>
          <w:iCs/>
          <w:color w:val="0E101A"/>
          <w:sz w:val="24"/>
          <w:szCs w:val="24"/>
          <w:lang w:val="en-IN" w:eastAsia="en-IN"/>
        </w:rPr>
      </w:pPr>
      <w:r>
        <w:rPr>
          <w:rFonts w:ascii="Times New Roman" w:hAnsi="Times New Roman" w:eastAsia="Times New Roman" w:cs="Times New Roman"/>
          <w:i/>
          <w:iCs/>
          <w:color w:val="0E101A"/>
          <w:sz w:val="24"/>
          <w:szCs w:val="24"/>
          <w:lang w:val="en-IN" w:eastAsia="en-IN"/>
        </w:rPr>
        <w:t>“To the roots of GreenVista's mission, we are resiliently sustainable,” shared Asha Patel, the CEO at GreenVista Eco-Resorts. “We are genuinely sorry for the wrong signals these accusations have sent to our guests, partners, and local communities. Our evaluation will be real, and all those interested will know. Rainforests are our asset, and we will reapproach our business to become strictly eco-friendly.”</w:t>
      </w:r>
    </w:p>
    <w:p w14:paraId="0FF701C3">
      <w:pPr>
        <w:spacing w:after="0" w:line="360" w:lineRule="auto"/>
        <w:jc w:val="both"/>
        <w:rPr>
          <w:rFonts w:ascii="Times New Roman" w:hAnsi="Times New Roman" w:eastAsia="Times New Roman" w:cs="Times New Roman"/>
          <w:color w:val="0E101A"/>
          <w:sz w:val="24"/>
          <w:szCs w:val="24"/>
          <w:lang w:val="en-IN" w:eastAsia="en-IN"/>
        </w:rPr>
      </w:pPr>
    </w:p>
    <w:p w14:paraId="3D240015">
      <w:pPr>
        <w:spacing w:after="0" w:line="360" w:lineRule="auto"/>
        <w:jc w:val="both"/>
        <w:rPr>
          <w:rFonts w:ascii="Times New Roman" w:hAnsi="Times New Roman" w:eastAsia="Times New Roman" w:cs="Times New Roman"/>
          <w:b/>
          <w:bCs/>
          <w:i/>
          <w:iCs/>
          <w:color w:val="0E101A"/>
          <w:sz w:val="24"/>
          <w:szCs w:val="24"/>
          <w:u w:val="single"/>
          <w:lang w:val="en-IN" w:eastAsia="en-IN"/>
        </w:rPr>
      </w:pPr>
      <w:r>
        <w:rPr>
          <w:rFonts w:ascii="Times New Roman" w:hAnsi="Times New Roman" w:eastAsia="Times New Roman" w:cs="Times New Roman"/>
          <w:b/>
          <w:bCs/>
          <w:i/>
          <w:iCs/>
          <w:color w:val="0E101A"/>
          <w:sz w:val="24"/>
          <w:szCs w:val="24"/>
          <w:u w:val="single"/>
          <w:lang w:val="en-IN" w:eastAsia="en-IN"/>
        </w:rPr>
        <w:t>GreenVista has taken the following major actions:</w:t>
      </w:r>
    </w:p>
    <w:p w14:paraId="59D12E83">
      <w:pPr>
        <w:spacing w:after="0" w:line="360" w:lineRule="auto"/>
        <w:jc w:val="both"/>
        <w:rPr>
          <w:rFonts w:ascii="Times New Roman" w:hAnsi="Times New Roman" w:eastAsia="Times New Roman" w:cs="Times New Roman"/>
          <w:color w:val="0E101A"/>
          <w:sz w:val="24"/>
          <w:szCs w:val="24"/>
          <w:lang w:val="en-IN" w:eastAsia="en-IN"/>
        </w:rPr>
      </w:pPr>
    </w:p>
    <w:p w14:paraId="2923FEF2">
      <w:pPr>
        <w:pStyle w:val="14"/>
        <w:numPr>
          <w:ilvl w:val="0"/>
          <w:numId w:val="3"/>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Initiating relations with an accredited third-party environmental consultancy.</w:t>
      </w:r>
    </w:p>
    <w:p w14:paraId="64F8512B">
      <w:pPr>
        <w:pStyle w:val="14"/>
        <w:numPr>
          <w:ilvl w:val="0"/>
          <w:numId w:val="3"/>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Putting on hold all permit applications and construction at Rainforest Ridge.</w:t>
      </w:r>
    </w:p>
    <w:p w14:paraId="254ED4DC">
      <w:pPr>
        <w:pStyle w:val="14"/>
        <w:numPr>
          <w:ilvl w:val="0"/>
          <w:numId w:val="3"/>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Arranging a community forum with local leaders.</w:t>
      </w:r>
    </w:p>
    <w:p w14:paraId="5C48C786">
      <w:pPr>
        <w:pStyle w:val="14"/>
        <w:numPr>
          <w:ilvl w:val="0"/>
          <w:numId w:val="3"/>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Opening a 24/7 information hotline and regular digital updates.</w:t>
      </w:r>
    </w:p>
    <w:p w14:paraId="6F1B4415">
      <w:pPr>
        <w:spacing w:after="0" w:line="360" w:lineRule="auto"/>
        <w:jc w:val="both"/>
        <w:rPr>
          <w:rFonts w:ascii="Times New Roman" w:hAnsi="Times New Roman" w:eastAsia="Times New Roman" w:cs="Times New Roman"/>
          <w:b/>
          <w:bCs/>
          <w:i/>
          <w:iCs/>
          <w:color w:val="0E101A"/>
          <w:sz w:val="24"/>
          <w:szCs w:val="24"/>
          <w:u w:val="single"/>
          <w:lang w:val="en-IN" w:eastAsia="en-IN"/>
        </w:rPr>
      </w:pPr>
      <w:r>
        <w:rPr>
          <w:rFonts w:ascii="Times New Roman" w:hAnsi="Times New Roman" w:eastAsia="Times New Roman" w:cs="Times New Roman"/>
          <w:b/>
          <w:bCs/>
          <w:i/>
          <w:iCs/>
          <w:color w:val="0E101A"/>
          <w:sz w:val="24"/>
          <w:szCs w:val="24"/>
          <w:u w:val="single"/>
          <w:lang w:val="en-IN" w:eastAsia="en-IN"/>
        </w:rPr>
        <w:t>Media Contact:</w:t>
      </w:r>
    </w:p>
    <w:p w14:paraId="040FC2C2">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Name: Ravi Kumar, Director of Communications</w:t>
      </w:r>
    </w:p>
    <w:p w14:paraId="6BAF39F5">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Phone: +1 555 123 4567</w:t>
      </w:r>
    </w:p>
    <w:p w14:paraId="3C4F4FA9">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 xml:space="preserve">Email: press@greenvista.com </w:t>
      </w:r>
    </w:p>
    <w:p w14:paraId="49AFD059">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End of Release</w:t>
      </w:r>
    </w:p>
    <w:p w14:paraId="61A331E9">
      <w:pPr>
        <w:spacing w:after="0" w:line="360" w:lineRule="auto"/>
        <w:jc w:val="both"/>
        <w:rPr>
          <w:rFonts w:ascii="Times New Roman" w:hAnsi="Times New Roman" w:eastAsia="Times New Roman" w:cs="Times New Roman"/>
          <w:color w:val="0E101A"/>
          <w:sz w:val="24"/>
          <w:szCs w:val="24"/>
          <w:lang w:val="en-IN" w:eastAsia="en-IN"/>
        </w:rPr>
      </w:pPr>
    </w:p>
    <w:p w14:paraId="78D8CAE2">
      <w:pPr>
        <w:spacing w:after="0" w:line="360" w:lineRule="auto"/>
        <w:jc w:val="both"/>
        <w:rPr>
          <w:rFonts w:ascii="Times New Roman" w:hAnsi="Times New Roman" w:eastAsia="Times New Roman" w:cs="Times New Roman"/>
          <w:b/>
          <w:bCs/>
          <w:color w:val="0E101A"/>
          <w:sz w:val="24"/>
          <w:szCs w:val="24"/>
          <w:lang w:val="en-IN" w:eastAsia="en-IN"/>
        </w:rPr>
      </w:pPr>
      <w:r>
        <w:rPr>
          <w:rFonts w:ascii="Times New Roman" w:hAnsi="Times New Roman" w:eastAsia="Times New Roman" w:cs="Times New Roman"/>
          <w:b/>
          <w:bCs/>
          <w:color w:val="0E101A"/>
          <w:sz w:val="24"/>
          <w:szCs w:val="24"/>
          <w:lang w:val="en-IN" w:eastAsia="en-IN"/>
        </w:rPr>
        <w:t>CEO Statement (Internal &amp; External Use)</w:t>
      </w:r>
    </w:p>
    <w:p w14:paraId="4A60BFDC">
      <w:pPr>
        <w:spacing w:after="0" w:line="360" w:lineRule="auto"/>
        <w:jc w:val="both"/>
        <w:rPr>
          <w:rFonts w:ascii="Times New Roman" w:hAnsi="Times New Roman" w:eastAsia="Times New Roman" w:cs="Times New Roman"/>
          <w:b/>
          <w:bCs/>
          <w:color w:val="0E101A"/>
          <w:sz w:val="24"/>
          <w:szCs w:val="24"/>
          <w:lang w:val="en-IN" w:eastAsia="en-IN"/>
        </w:rPr>
      </w:pPr>
    </w:p>
    <w:p w14:paraId="2FEC372A">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Dear Stakeholders,</w:t>
      </w:r>
    </w:p>
    <w:p w14:paraId="1B4C9455">
      <w:pPr>
        <w:spacing w:after="0" w:line="360" w:lineRule="auto"/>
        <w:jc w:val="both"/>
        <w:rPr>
          <w:rFonts w:ascii="Times New Roman" w:hAnsi="Times New Roman" w:eastAsia="Times New Roman" w:cs="Times New Roman"/>
          <w:color w:val="0E101A"/>
          <w:sz w:val="24"/>
          <w:szCs w:val="24"/>
          <w:lang w:val="en-IN" w:eastAsia="en-IN"/>
        </w:rPr>
      </w:pPr>
    </w:p>
    <w:p w14:paraId="140D11DD">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The past 48 hours have been quite overwhelming; the very public rummaging in the matter of Rainforest Ridge site went far beyond expectations. I would like to take this opportunity as the CEO of GreenVista to share my deep personal commitment to the process of investigating the truth behind these allegations. GreenVista is still a company that is operating on very strict social and environmental principles, and we are going to keep this up. On the day of the incident, we have done the following:</w:t>
      </w:r>
    </w:p>
    <w:p w14:paraId="54730953">
      <w:pPr>
        <w:numPr>
          <w:ilvl w:val="0"/>
          <w:numId w:val="4"/>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Employed a person to do environmental audits on a non-affiliated basis for confirmation of how we are doing.</w:t>
      </w:r>
    </w:p>
    <w:p w14:paraId="5C399E46">
      <w:pPr>
        <w:numPr>
          <w:ilvl w:val="0"/>
          <w:numId w:val="4"/>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Stopped all construction works.</w:t>
      </w:r>
    </w:p>
    <w:p w14:paraId="2979DD91">
      <w:pPr>
        <w:numPr>
          <w:ilvl w:val="0"/>
          <w:numId w:val="4"/>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Started to have small group meetings with the communities and the employees on the topic weekly, for them to be kept informed.</w:t>
      </w:r>
    </w:p>
    <w:p w14:paraId="4335BA00">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I fully appreciate how much uneasiness this can cause among our employees, guests, and partners. Please reassure yourself that we are committed to handling the situation honestly and transparently. I strongly believe that our consistent and principled actions will lead us to a solid and hopeful result.</w:t>
      </w:r>
    </w:p>
    <w:p w14:paraId="7F2D5FEC">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Yours,</w:t>
      </w:r>
    </w:p>
    <w:p w14:paraId="0AC5DD58">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Asha Patel,</w:t>
      </w:r>
    </w:p>
    <w:p w14:paraId="63C92F24">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Chief Executive Officer.</w:t>
      </w:r>
    </w:p>
    <w:p w14:paraId="23196228">
      <w:pPr>
        <w:spacing w:after="0" w:line="360" w:lineRule="auto"/>
        <w:jc w:val="both"/>
        <w:rPr>
          <w:rFonts w:ascii="Times New Roman" w:hAnsi="Times New Roman" w:eastAsia="Times New Roman" w:cs="Times New Roman"/>
          <w:color w:val="0E101A"/>
          <w:sz w:val="24"/>
          <w:szCs w:val="24"/>
          <w:lang w:val="en-IN" w:eastAsia="en-IN"/>
        </w:rPr>
      </w:pPr>
    </w:p>
    <w:p w14:paraId="38225E6E">
      <w:pPr>
        <w:pStyle w:val="3"/>
        <w:spacing w:line="360" w:lineRule="auto"/>
        <w:rPr>
          <w:rFonts w:eastAsia="Times New Roman"/>
          <w:lang w:val="en-IN" w:eastAsia="en-IN"/>
        </w:rPr>
      </w:pPr>
      <w:bookmarkStart w:id="7" w:name="_Toc197024998"/>
      <w:r>
        <w:rPr>
          <w:rFonts w:eastAsia="Times New Roman"/>
          <w:lang w:val="en-IN" w:eastAsia="en-IN"/>
        </w:rPr>
        <w:t>4.2 Internal Staff Memo</w:t>
      </w:r>
      <w:bookmarkEnd w:id="7"/>
    </w:p>
    <w:p w14:paraId="25518EF2">
      <w:pPr>
        <w:spacing w:line="360" w:lineRule="auto"/>
        <w:rPr>
          <w:lang w:val="en-IN" w:eastAsia="en-IN"/>
        </w:rPr>
      </w:pPr>
    </w:p>
    <w:p w14:paraId="198D8073">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 xml:space="preserve">TO: All GreenVista Employees </w:t>
      </w:r>
    </w:p>
    <w:p w14:paraId="64857120">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FROM: Asha Patel, CEO</w:t>
      </w:r>
    </w:p>
    <w:p w14:paraId="6E51BF0D">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 xml:space="preserve">SUBJECT: </w:t>
      </w:r>
      <w:r>
        <w:rPr>
          <w:rFonts w:ascii="Times New Roman" w:hAnsi="Times New Roman" w:eastAsia="Times New Roman" w:cs="Times New Roman"/>
          <w:b/>
          <w:bCs/>
          <w:color w:val="0E101A"/>
          <w:sz w:val="24"/>
          <w:szCs w:val="24"/>
          <w:lang w:val="en-IN" w:eastAsia="en-IN"/>
        </w:rPr>
        <w:t>Environmental Audit &amp; Next Steps</w:t>
      </w:r>
      <w:r>
        <w:rPr>
          <w:rFonts w:ascii="Times New Roman" w:hAnsi="Times New Roman" w:eastAsia="Times New Roman" w:cs="Times New Roman"/>
          <w:color w:val="0E101A"/>
          <w:sz w:val="24"/>
          <w:szCs w:val="24"/>
          <w:lang w:val="en-IN" w:eastAsia="en-IN"/>
        </w:rPr>
        <w:t xml:space="preserve"> </w:t>
      </w:r>
    </w:p>
    <w:p w14:paraId="511B3B2D">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Team, have you read any of the recent posts that were against the existing townhouses claiming land clearance without permits at Rainforest Ridge? I would like to tell you that we are in the process of doing some things that, if you are not sure about them, it is these actions that we are referring to:</w:t>
      </w:r>
    </w:p>
    <w:p w14:paraId="1CBA0517">
      <w:pPr>
        <w:pStyle w:val="14"/>
        <w:numPr>
          <w:ilvl w:val="0"/>
          <w:numId w:val="5"/>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Audit Underway:</w:t>
      </w:r>
      <w:r>
        <w:rPr>
          <w:rFonts w:ascii="Times New Roman" w:hAnsi="Times New Roman" w:eastAsia="Times New Roman" w:cs="Times New Roman"/>
          <w:color w:val="0E101A"/>
          <w:sz w:val="24"/>
          <w:szCs w:val="24"/>
          <w:lang w:val="en-IN" w:eastAsia="en-IN"/>
        </w:rPr>
        <w:t xml:space="preserve"> We have already hired EcoVerify Inc. to conduct an independent audit, and they are in the process.</w:t>
      </w:r>
    </w:p>
    <w:p w14:paraId="276211BB">
      <w:pPr>
        <w:pStyle w:val="14"/>
        <w:numPr>
          <w:ilvl w:val="0"/>
          <w:numId w:val="5"/>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Pause on Construction:</w:t>
      </w:r>
      <w:r>
        <w:rPr>
          <w:rFonts w:ascii="Times New Roman" w:hAnsi="Times New Roman" w:eastAsia="Times New Roman" w:cs="Times New Roman"/>
          <w:color w:val="0E101A"/>
          <w:sz w:val="24"/>
          <w:szCs w:val="24"/>
          <w:lang w:val="en-IN" w:eastAsia="en-IN"/>
        </w:rPr>
        <w:t xml:space="preserve"> As a result, all site activities are suspended until instructed otherwise.</w:t>
      </w:r>
    </w:p>
    <w:p w14:paraId="784F0C9F">
      <w:pPr>
        <w:pStyle w:val="14"/>
        <w:numPr>
          <w:ilvl w:val="0"/>
          <w:numId w:val="5"/>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Town Hall:</w:t>
      </w:r>
      <w:r>
        <w:rPr>
          <w:rFonts w:ascii="Times New Roman" w:hAnsi="Times New Roman" w:eastAsia="Times New Roman" w:cs="Times New Roman"/>
          <w:color w:val="0E101A"/>
          <w:sz w:val="24"/>
          <w:szCs w:val="24"/>
          <w:lang w:val="en-IN" w:eastAsia="en-IN"/>
        </w:rPr>
        <w:t xml:space="preserve"> A virtual town hall will take place on April 1 at 10 h (local time) which will be the forum to answer your questions.</w:t>
      </w:r>
    </w:p>
    <w:p w14:paraId="0BA419DD">
      <w:pPr>
        <w:pStyle w:val="14"/>
        <w:numPr>
          <w:ilvl w:val="0"/>
          <w:numId w:val="5"/>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Support Resources:</w:t>
      </w:r>
      <w:r>
        <w:rPr>
          <w:rFonts w:ascii="Times New Roman" w:hAnsi="Times New Roman" w:eastAsia="Times New Roman" w:cs="Times New Roman"/>
          <w:color w:val="0E101A"/>
          <w:sz w:val="24"/>
          <w:szCs w:val="24"/>
          <w:lang w:val="en-IN" w:eastAsia="en-IN"/>
        </w:rPr>
        <w:t xml:space="preserve"> Our Employee Assistance Program is ready to help those who are under stress.</w:t>
      </w:r>
    </w:p>
    <w:p w14:paraId="3180EE8E">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We consider your belief that sustainable tourism is still our major concern. We will keep you updated through our intranet portal and a weekly email. You always show us your understanding, and it is highly appreciated as we work through the problem.</w:t>
      </w:r>
    </w:p>
    <w:p w14:paraId="3A4C8B10">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 xml:space="preserve">Warm regards, </w:t>
      </w:r>
    </w:p>
    <w:p w14:paraId="257FB79C">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Asha Patel</w:t>
      </w:r>
    </w:p>
    <w:p w14:paraId="38C3CB1C">
      <w:pPr>
        <w:spacing w:after="0" w:line="360" w:lineRule="auto"/>
        <w:jc w:val="both"/>
        <w:rPr>
          <w:rFonts w:ascii="Times New Roman" w:hAnsi="Times New Roman" w:eastAsia="Times New Roman" w:cs="Times New Roman"/>
          <w:color w:val="0E101A"/>
          <w:sz w:val="24"/>
          <w:szCs w:val="24"/>
          <w:lang w:val="en-IN" w:eastAsia="en-IN"/>
        </w:rPr>
      </w:pPr>
    </w:p>
    <w:p w14:paraId="2FB3AA7F">
      <w:pPr>
        <w:pStyle w:val="3"/>
        <w:spacing w:line="360" w:lineRule="auto"/>
        <w:rPr>
          <w:rFonts w:eastAsia="Times New Roman"/>
          <w:lang w:val="en-IN" w:eastAsia="en-IN"/>
        </w:rPr>
      </w:pPr>
      <w:bookmarkStart w:id="8" w:name="_Toc197024999"/>
      <w:r>
        <w:rPr>
          <w:rFonts w:eastAsia="Times New Roman"/>
          <w:lang w:val="en-IN" w:eastAsia="en-IN"/>
        </w:rPr>
        <w:t>4.3 Social Media Response Scripts</w:t>
      </w:r>
      <w:bookmarkEnd w:id="8"/>
    </w:p>
    <w:p w14:paraId="0AFF0B02">
      <w:pPr>
        <w:spacing w:line="360" w:lineRule="auto"/>
        <w:rPr>
          <w:lang w:val="en-IN" w:eastAsia="en-IN"/>
        </w:rPr>
      </w:pPr>
    </w:p>
    <w:p w14:paraId="1AA0A746">
      <w:pPr>
        <w:spacing w:after="0" w:line="360" w:lineRule="auto"/>
        <w:jc w:val="both"/>
        <w:rPr>
          <w:rFonts w:ascii="Times New Roman" w:hAnsi="Times New Roman" w:eastAsia="Times New Roman" w:cs="Times New Roman"/>
          <w:b/>
          <w:bCs/>
          <w:i/>
          <w:iCs/>
          <w:color w:val="0E101A"/>
          <w:sz w:val="24"/>
          <w:szCs w:val="24"/>
          <w:u w:val="single"/>
          <w:lang w:val="en-IN" w:eastAsia="en-IN"/>
        </w:rPr>
      </w:pPr>
      <w:r>
        <w:rPr>
          <w:rFonts w:ascii="Times New Roman" w:hAnsi="Times New Roman" w:eastAsia="Times New Roman" w:cs="Times New Roman"/>
          <w:b/>
          <w:bCs/>
          <w:i/>
          <w:iCs/>
          <w:color w:val="0E101A"/>
          <w:sz w:val="24"/>
          <w:szCs w:val="24"/>
          <w:u w:val="single"/>
          <w:lang w:val="en-IN" w:eastAsia="en-IN"/>
        </w:rPr>
        <w:t>Twitter (X)</w:t>
      </w:r>
    </w:p>
    <w:p w14:paraId="7F31FF4D">
      <w:pPr>
        <w:spacing w:after="0" w:line="360" w:lineRule="auto"/>
        <w:jc w:val="both"/>
        <w:rPr>
          <w:rFonts w:ascii="Times New Roman" w:hAnsi="Times New Roman" w:eastAsia="Times New Roman" w:cs="Times New Roman"/>
          <w:b/>
          <w:bCs/>
          <w:i/>
          <w:iCs/>
          <w:color w:val="0E101A"/>
          <w:sz w:val="24"/>
          <w:szCs w:val="24"/>
          <w:u w:val="single"/>
          <w:lang w:val="en-IN" w:eastAsia="en-IN"/>
        </w:rPr>
      </w:pPr>
    </w:p>
    <w:p w14:paraId="203DF9CE">
      <w:pPr>
        <w:spacing w:after="0" w:line="360" w:lineRule="auto"/>
        <w:jc w:val="both"/>
        <w:rPr>
          <w:rFonts w:ascii="Times New Roman" w:hAnsi="Times New Roman" w:eastAsia="Times New Roman" w:cs="Times New Roman"/>
          <w:i/>
          <w:iCs/>
          <w:color w:val="0E101A"/>
          <w:sz w:val="24"/>
          <w:szCs w:val="24"/>
          <w:u w:val="single"/>
          <w:lang w:val="en-IN" w:eastAsia="en-IN"/>
        </w:rPr>
      </w:pPr>
      <w:r>
        <w:rPr>
          <w:rFonts w:ascii="Times New Roman" w:hAnsi="Times New Roman" w:eastAsia="Times New Roman" w:cs="Times New Roman"/>
          <w:i/>
          <w:iCs/>
          <w:color w:val="0E101A"/>
          <w:sz w:val="24"/>
          <w:szCs w:val="24"/>
          <w:u w:val="single"/>
          <w:lang w:val="en-IN" w:eastAsia="en-IN"/>
        </w:rPr>
        <w:t>We at GreenVista Eco-Resorts</w:t>
      </w:r>
    </w:p>
    <w:p w14:paraId="04A5115B">
      <w:pPr>
        <w:spacing w:after="0" w:line="360" w:lineRule="auto"/>
        <w:jc w:val="both"/>
        <w:rPr>
          <w:rFonts w:ascii="Times New Roman" w:hAnsi="Times New Roman" w:eastAsia="Times New Roman" w:cs="Times New Roman"/>
          <w:i/>
          <w:iCs/>
          <w:color w:val="0E101A"/>
          <w:sz w:val="24"/>
          <w:szCs w:val="24"/>
          <w:lang w:val="en-IN" w:eastAsia="en-IN"/>
        </w:rPr>
      </w:pPr>
      <w:r>
        <w:rPr>
          <w:rFonts w:ascii="Times New Roman" w:hAnsi="Times New Roman" w:eastAsia="Times New Roman" w:cs="Times New Roman"/>
          <w:i/>
          <w:iCs/>
          <w:color w:val="0E101A"/>
          <w:sz w:val="24"/>
          <w:szCs w:val="24"/>
          <w:lang w:val="en-IN" w:eastAsia="en-IN"/>
        </w:rPr>
        <w:t>We are very much dedicated to sustainability. We have employed an external auditor to check and have stopped the progress at Rainforest Ridge. We are committed to updating everyone openly and honestly. #GreenVistaCares #EcoResortPromise</w:t>
      </w:r>
    </w:p>
    <w:p w14:paraId="1EB07819">
      <w:pPr>
        <w:spacing w:after="0" w:line="360" w:lineRule="auto"/>
        <w:jc w:val="both"/>
        <w:rPr>
          <w:rFonts w:ascii="Times New Roman" w:hAnsi="Times New Roman" w:eastAsia="Times New Roman" w:cs="Times New Roman"/>
          <w:i/>
          <w:iCs/>
          <w:color w:val="0E101A"/>
          <w:sz w:val="24"/>
          <w:szCs w:val="24"/>
          <w:lang w:val="en-IN" w:eastAsia="en-IN"/>
        </w:rPr>
      </w:pPr>
    </w:p>
    <w:p w14:paraId="4B978867">
      <w:pPr>
        <w:spacing w:after="0" w:line="360" w:lineRule="auto"/>
        <w:jc w:val="both"/>
        <w:rPr>
          <w:rFonts w:ascii="Times New Roman" w:hAnsi="Times New Roman" w:eastAsia="Times New Roman" w:cs="Times New Roman"/>
          <w:b/>
          <w:bCs/>
          <w:i/>
          <w:iCs/>
          <w:color w:val="0E101A"/>
          <w:sz w:val="24"/>
          <w:szCs w:val="24"/>
          <w:u w:val="single"/>
          <w:lang w:val="en-IN" w:eastAsia="en-IN"/>
        </w:rPr>
      </w:pPr>
      <w:r>
        <w:rPr>
          <w:rFonts w:ascii="Times New Roman" w:hAnsi="Times New Roman" w:eastAsia="Times New Roman" w:cs="Times New Roman"/>
          <w:b/>
          <w:bCs/>
          <w:i/>
          <w:iCs/>
          <w:color w:val="0E101A"/>
          <w:sz w:val="24"/>
          <w:szCs w:val="24"/>
          <w:u w:val="single"/>
          <w:lang w:val="en-IN" w:eastAsia="en-IN"/>
        </w:rPr>
        <w:t>Instagram</w:t>
      </w:r>
    </w:p>
    <w:p w14:paraId="4DCE57D9">
      <w:pPr>
        <w:spacing w:after="0" w:line="360" w:lineRule="auto"/>
        <w:jc w:val="both"/>
        <w:rPr>
          <w:rFonts w:ascii="Times New Roman" w:hAnsi="Times New Roman" w:eastAsia="Times New Roman" w:cs="Times New Roman"/>
          <w:b/>
          <w:bCs/>
          <w:i/>
          <w:iCs/>
          <w:color w:val="0E101A"/>
          <w:sz w:val="24"/>
          <w:szCs w:val="24"/>
          <w:u w:val="single"/>
          <w:lang w:val="en-IN" w:eastAsia="en-IN"/>
        </w:rPr>
      </w:pPr>
    </w:p>
    <w:p w14:paraId="0F58C80A">
      <w:pPr>
        <w:spacing w:after="0" w:line="360" w:lineRule="auto"/>
        <w:jc w:val="both"/>
        <w:rPr>
          <w:rFonts w:ascii="Times New Roman" w:hAnsi="Times New Roman" w:eastAsia="Times New Roman" w:cs="Times New Roman"/>
          <w:i/>
          <w:iCs/>
          <w:color w:val="0E101A"/>
          <w:sz w:val="24"/>
          <w:szCs w:val="24"/>
          <w:lang w:val="en-IN" w:eastAsia="en-IN"/>
        </w:rPr>
      </w:pPr>
      <w:r>
        <w:rPr>
          <w:rFonts w:ascii="Times New Roman" w:hAnsi="Times New Roman" w:eastAsia="Times New Roman" w:cs="Times New Roman"/>
          <w:i/>
          <w:iCs/>
          <w:color w:val="0E101A"/>
          <w:sz w:val="24"/>
          <w:szCs w:val="24"/>
          <w:lang w:val="en-IN" w:eastAsia="en-IN"/>
        </w:rPr>
        <w:t>Caption: GreenVista Eco-Resorts is highly concerned about the charges of environmental misconduct. Therefore, all the construction work at Rainforest Ridge is on hold until the completion of an independent audit conducted by EcoVerify Inc. We are glad to have you as a partner in our mission to achieve the highest conservation standards. (Carousel of 3 images: resort greenery, community meeting, audit team on site.)</w:t>
      </w:r>
    </w:p>
    <w:p w14:paraId="0E8239C3">
      <w:pPr>
        <w:spacing w:after="0" w:line="360" w:lineRule="auto"/>
        <w:jc w:val="both"/>
        <w:rPr>
          <w:rFonts w:ascii="Times New Roman" w:hAnsi="Times New Roman" w:eastAsia="Times New Roman" w:cs="Times New Roman"/>
          <w:i/>
          <w:iCs/>
          <w:color w:val="0E101A"/>
          <w:sz w:val="24"/>
          <w:szCs w:val="24"/>
          <w:lang w:val="en-IN" w:eastAsia="en-IN"/>
        </w:rPr>
      </w:pPr>
    </w:p>
    <w:p w14:paraId="5BFEDB55">
      <w:pPr>
        <w:spacing w:after="0" w:line="360" w:lineRule="auto"/>
        <w:jc w:val="both"/>
        <w:rPr>
          <w:rFonts w:ascii="Times New Roman" w:hAnsi="Times New Roman" w:eastAsia="Times New Roman" w:cs="Times New Roman"/>
          <w:b/>
          <w:bCs/>
          <w:i/>
          <w:iCs/>
          <w:color w:val="0E101A"/>
          <w:sz w:val="24"/>
          <w:szCs w:val="24"/>
          <w:u w:val="single"/>
          <w:lang w:val="en-IN" w:eastAsia="en-IN"/>
        </w:rPr>
      </w:pPr>
      <w:r>
        <w:rPr>
          <w:rFonts w:ascii="Times New Roman" w:hAnsi="Times New Roman" w:eastAsia="Times New Roman" w:cs="Times New Roman"/>
          <w:b/>
          <w:bCs/>
          <w:i/>
          <w:iCs/>
          <w:color w:val="0E101A"/>
          <w:sz w:val="24"/>
          <w:szCs w:val="24"/>
          <w:u w:val="single"/>
          <w:lang w:val="en-IN" w:eastAsia="en-IN"/>
        </w:rPr>
        <w:t>LinkedIn</w:t>
      </w:r>
    </w:p>
    <w:p w14:paraId="40F78808">
      <w:pPr>
        <w:spacing w:after="0" w:line="360" w:lineRule="auto"/>
        <w:jc w:val="both"/>
        <w:rPr>
          <w:rFonts w:ascii="Times New Roman" w:hAnsi="Times New Roman" w:eastAsia="Times New Roman" w:cs="Times New Roman"/>
          <w:b/>
          <w:bCs/>
          <w:i/>
          <w:iCs/>
          <w:color w:val="0E101A"/>
          <w:sz w:val="24"/>
          <w:szCs w:val="24"/>
          <w:u w:val="single"/>
          <w:lang w:val="en-IN" w:eastAsia="en-IN"/>
        </w:rPr>
      </w:pPr>
    </w:p>
    <w:p w14:paraId="5B313274">
      <w:pPr>
        <w:spacing w:after="0" w:line="360" w:lineRule="auto"/>
        <w:jc w:val="both"/>
        <w:rPr>
          <w:rFonts w:ascii="Times New Roman" w:hAnsi="Times New Roman" w:eastAsia="Times New Roman" w:cs="Times New Roman"/>
          <w:i/>
          <w:iCs/>
          <w:color w:val="0E101A"/>
          <w:sz w:val="24"/>
          <w:szCs w:val="24"/>
          <w:u w:val="single"/>
          <w:lang w:val="en-IN" w:eastAsia="en-IN"/>
        </w:rPr>
      </w:pPr>
      <w:r>
        <w:rPr>
          <w:rFonts w:ascii="Times New Roman" w:hAnsi="Times New Roman" w:eastAsia="Times New Roman" w:cs="Times New Roman"/>
          <w:i/>
          <w:iCs/>
          <w:color w:val="0E101A"/>
          <w:sz w:val="24"/>
          <w:szCs w:val="24"/>
          <w:u w:val="single"/>
          <w:lang w:val="en-IN" w:eastAsia="en-IN"/>
        </w:rPr>
        <w:t>GreenVista Eco-Resorts Announces Independent Environmental Review</w:t>
      </w:r>
    </w:p>
    <w:p w14:paraId="09697F89">
      <w:pPr>
        <w:spacing w:after="0" w:line="360" w:lineRule="auto"/>
        <w:jc w:val="both"/>
        <w:rPr>
          <w:rFonts w:ascii="Times New Roman" w:hAnsi="Times New Roman" w:eastAsia="Times New Roman" w:cs="Times New Roman"/>
          <w:i/>
          <w:iCs/>
          <w:color w:val="0E101A"/>
          <w:sz w:val="24"/>
          <w:szCs w:val="24"/>
          <w:lang w:val="en-IN" w:eastAsia="en-IN"/>
        </w:rPr>
      </w:pPr>
      <w:r>
        <w:rPr>
          <w:rFonts w:ascii="Times New Roman" w:hAnsi="Times New Roman" w:eastAsia="Times New Roman" w:cs="Times New Roman"/>
          <w:i/>
          <w:iCs/>
          <w:color w:val="0E101A"/>
          <w:sz w:val="24"/>
          <w:szCs w:val="24"/>
          <w:lang w:val="en-IN" w:eastAsia="en-IN"/>
        </w:rPr>
        <w:t>GreenVista Eco-Resorts has made every effort to be the most environmentally friendly resort in the Caribbean, and thus, in response to recent environmental concerns in the news, we have decided to stop the process of permit applications and construction at Rainforest Ridge, which we did as a voluntary measure. The current topical issue has inspired us to take the audacious but necessary step of tapping the services of a third-party auditor, EcoVerify Inc., to conduct an extensive audit and thereafter make the results available to the public.</w:t>
      </w:r>
    </w:p>
    <w:p w14:paraId="3D2CC7D0">
      <w:pPr>
        <w:spacing w:after="0" w:line="360" w:lineRule="auto"/>
        <w:jc w:val="both"/>
        <w:rPr>
          <w:rFonts w:ascii="Times New Roman" w:hAnsi="Times New Roman" w:eastAsia="Times New Roman" w:cs="Times New Roman"/>
          <w:color w:val="0E101A"/>
          <w:sz w:val="24"/>
          <w:szCs w:val="24"/>
          <w:lang w:val="en-IN" w:eastAsia="en-IN"/>
        </w:rPr>
      </w:pPr>
    </w:p>
    <w:p w14:paraId="2F4E53C2">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 xml:space="preserve">At GreenVista, our team cherishes sustainability and the community, and we commit to being transparent. In addition, we devote ourselves to the well-being of our surroundings and the empowerment of neighbouring communities. So, we are here for your media inquiries. </w:t>
      </w:r>
    </w:p>
    <w:p w14:paraId="106D2DCE">
      <w:pPr>
        <w:spacing w:after="0" w:line="360" w:lineRule="auto"/>
        <w:jc w:val="both"/>
        <w:rPr>
          <w:rFonts w:ascii="Times New Roman" w:hAnsi="Times New Roman" w:eastAsia="Times New Roman" w:cs="Times New Roman"/>
          <w:color w:val="0E101A"/>
          <w:sz w:val="24"/>
          <w:szCs w:val="24"/>
          <w:lang w:val="en-IN" w:eastAsia="en-IN"/>
        </w:rPr>
      </w:pPr>
    </w:p>
    <w:p w14:paraId="6AEFFAA9">
      <w:pPr>
        <w:pStyle w:val="2"/>
        <w:spacing w:line="360" w:lineRule="auto"/>
        <w:rPr>
          <w:rFonts w:eastAsia="Times New Roman"/>
          <w:lang w:val="en-IN" w:eastAsia="en-IN"/>
        </w:rPr>
      </w:pPr>
      <w:bookmarkStart w:id="9" w:name="_Toc197025000"/>
      <w:r>
        <w:rPr>
          <w:rFonts w:eastAsia="Times New Roman"/>
          <w:lang w:val="en-IN" w:eastAsia="en-IN"/>
        </w:rPr>
        <w:t>5. Application of Communication Models</w:t>
      </w:r>
      <w:bookmarkEnd w:id="9"/>
    </w:p>
    <w:p w14:paraId="0398B89A">
      <w:pPr>
        <w:spacing w:line="360" w:lineRule="auto"/>
        <w:rPr>
          <w:lang w:val="en-IN" w:eastAsia="en-IN"/>
        </w:rPr>
      </w:pPr>
    </w:p>
    <w:p w14:paraId="137026A6">
      <w:pPr>
        <w:pStyle w:val="3"/>
        <w:spacing w:line="360" w:lineRule="auto"/>
        <w:rPr>
          <w:rFonts w:eastAsia="Times New Roman"/>
          <w:lang w:val="en-IN" w:eastAsia="en-IN"/>
        </w:rPr>
      </w:pPr>
      <w:bookmarkStart w:id="10" w:name="_Toc197025001"/>
      <w:r>
        <w:rPr>
          <w:rFonts w:eastAsia="Times New Roman"/>
          <w:lang w:val="en-IN" w:eastAsia="en-IN"/>
        </w:rPr>
        <w:t>5.1 Shannon–Weaver Model</w:t>
      </w:r>
      <w:bookmarkEnd w:id="10"/>
    </w:p>
    <w:p w14:paraId="21780322">
      <w:pPr>
        <w:spacing w:line="360" w:lineRule="auto"/>
        <w:rPr>
          <w:lang w:val="en-IN" w:eastAsia="en-IN"/>
        </w:rPr>
      </w:pPr>
    </w:p>
    <w:p w14:paraId="50876E84">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Shannon and Weaver's model in 1949 was built on the idea that the message should be clear in its way of encoding, transmitting, receiving, and decoding through feedback, while at the same time, the existence of noise was recognised. In our plan:</w:t>
      </w:r>
    </w:p>
    <w:p w14:paraId="353099ED">
      <w:pPr>
        <w:spacing w:after="0" w:line="360" w:lineRule="auto"/>
        <w:jc w:val="both"/>
        <w:rPr>
          <w:rFonts w:ascii="Times New Roman" w:hAnsi="Times New Roman" w:eastAsia="Times New Roman" w:cs="Times New Roman"/>
          <w:color w:val="0E101A"/>
          <w:sz w:val="24"/>
          <w:szCs w:val="24"/>
          <w:lang w:val="en-IN" w:eastAsia="en-IN"/>
        </w:rPr>
      </w:pPr>
    </w:p>
    <w:p w14:paraId="76A7B157">
      <w:pPr>
        <w:pStyle w:val="14"/>
        <w:numPr>
          <w:ilvl w:val="0"/>
          <w:numId w:val="6"/>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Sender: GreenVista Communications team.</w:t>
      </w:r>
    </w:p>
    <w:p w14:paraId="1A4B4C52">
      <w:pPr>
        <w:pStyle w:val="14"/>
        <w:numPr>
          <w:ilvl w:val="0"/>
          <w:numId w:val="6"/>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Encoder: Press release, social posts, memos.</w:t>
      </w:r>
    </w:p>
    <w:p w14:paraId="55BBA70D">
      <w:pPr>
        <w:pStyle w:val="14"/>
        <w:numPr>
          <w:ilvl w:val="0"/>
          <w:numId w:val="6"/>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Channel: Digital platforms, email, press wires.</w:t>
      </w:r>
    </w:p>
    <w:p w14:paraId="1B047F95">
      <w:pPr>
        <w:pStyle w:val="14"/>
        <w:numPr>
          <w:ilvl w:val="0"/>
          <w:numId w:val="6"/>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Decoder: Media, public, employees.</w:t>
      </w:r>
    </w:p>
    <w:p w14:paraId="169F3326">
      <w:pPr>
        <w:pStyle w:val="14"/>
        <w:numPr>
          <w:ilvl w:val="0"/>
          <w:numId w:val="6"/>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Noise: Misinformation, social media rumours.</w:t>
      </w:r>
    </w:p>
    <w:p w14:paraId="7479FF3C">
      <w:pPr>
        <w:pStyle w:val="14"/>
        <w:numPr>
          <w:ilvl w:val="0"/>
          <w:numId w:val="6"/>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Feedback: Social media replies, press inquiries, employee Q&amp;A.</w:t>
      </w:r>
    </w:p>
    <w:p w14:paraId="0741971D">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With a variety of communication channels and by monitoring the communication process in real-time, these enable us to limit noise so that the message stays undistorted and understandable (Boman et al., 2021).</w:t>
      </w:r>
    </w:p>
    <w:p w14:paraId="0E31C7D6">
      <w:pPr>
        <w:spacing w:after="0" w:line="360" w:lineRule="auto"/>
        <w:jc w:val="both"/>
        <w:rPr>
          <w:rFonts w:ascii="Times New Roman" w:hAnsi="Times New Roman" w:eastAsia="Times New Roman" w:cs="Times New Roman"/>
          <w:color w:val="0E101A"/>
          <w:sz w:val="24"/>
          <w:szCs w:val="24"/>
          <w:lang w:val="en-IN" w:eastAsia="en-IN"/>
        </w:rPr>
      </w:pPr>
    </w:p>
    <w:p w14:paraId="7A4EDFD1">
      <w:pPr>
        <w:pStyle w:val="3"/>
        <w:spacing w:line="360" w:lineRule="auto"/>
        <w:rPr>
          <w:rFonts w:eastAsia="Times New Roman"/>
          <w:lang w:val="en-IN" w:eastAsia="en-IN"/>
        </w:rPr>
      </w:pPr>
      <w:bookmarkStart w:id="11" w:name="_Toc197025002"/>
      <w:r>
        <w:rPr>
          <w:rFonts w:eastAsia="Times New Roman"/>
          <w:lang w:val="en-IN" w:eastAsia="en-IN"/>
        </w:rPr>
        <w:t>5.2 Schramm’s Model</w:t>
      </w:r>
      <w:bookmarkEnd w:id="11"/>
    </w:p>
    <w:p w14:paraId="7CFBCCFF">
      <w:pPr>
        <w:spacing w:line="360" w:lineRule="auto"/>
        <w:rPr>
          <w:lang w:val="en-IN" w:eastAsia="en-IN"/>
        </w:rPr>
      </w:pPr>
    </w:p>
    <w:p w14:paraId="3EED3C2D">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The Schramm's model (1954) gives further insights such as interaction through feedback loops and shared "fields of experience." We achieve our goal by:</w:t>
      </w:r>
    </w:p>
    <w:p w14:paraId="2E2A6FE0">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Communication of information through language that is specifically adapted to different shares of stakeholders.</w:t>
      </w:r>
    </w:p>
    <w:p w14:paraId="50E461D2">
      <w:pPr>
        <w:spacing w:after="0" w:line="360" w:lineRule="auto"/>
        <w:jc w:val="both"/>
        <w:rPr>
          <w:rFonts w:ascii="Times New Roman" w:hAnsi="Times New Roman" w:eastAsia="Times New Roman" w:cs="Times New Roman"/>
          <w:color w:val="0E101A"/>
          <w:sz w:val="24"/>
          <w:szCs w:val="24"/>
          <w:lang w:val="en-IN" w:eastAsia="en-IN"/>
        </w:rPr>
      </w:pPr>
    </w:p>
    <w:p w14:paraId="2D12C2F0">
      <w:pPr>
        <w:pStyle w:val="14"/>
        <w:numPr>
          <w:ilvl w:val="0"/>
          <w:numId w:val="7"/>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Feedback collection through social listening, hotlines, and town halls.</w:t>
      </w:r>
    </w:p>
    <w:p w14:paraId="43CD2D81">
      <w:pPr>
        <w:pStyle w:val="14"/>
        <w:numPr>
          <w:ilvl w:val="0"/>
          <w:numId w:val="7"/>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Changing communication according to sentiment analysis and crisis metrics.</w:t>
      </w:r>
    </w:p>
    <w:p w14:paraId="3157902C">
      <w:pPr>
        <w:pStyle w:val="14"/>
        <w:numPr>
          <w:ilvl w:val="0"/>
          <w:numId w:val="7"/>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The interactive nature of both ways builds communication, alignment, and trust (Schramm, 1954).</w:t>
      </w:r>
    </w:p>
    <w:p w14:paraId="53E6E819">
      <w:pPr>
        <w:spacing w:after="0" w:line="360" w:lineRule="auto"/>
        <w:jc w:val="both"/>
        <w:rPr>
          <w:rFonts w:ascii="Times New Roman" w:hAnsi="Times New Roman" w:eastAsia="Times New Roman" w:cs="Times New Roman"/>
          <w:color w:val="0E101A"/>
          <w:sz w:val="24"/>
          <w:szCs w:val="24"/>
          <w:lang w:val="en-IN" w:eastAsia="en-IN"/>
        </w:rPr>
      </w:pPr>
    </w:p>
    <w:p w14:paraId="0742A774">
      <w:pPr>
        <w:pStyle w:val="2"/>
        <w:spacing w:line="360" w:lineRule="auto"/>
        <w:rPr>
          <w:rFonts w:eastAsia="Times New Roman"/>
          <w:lang w:val="en-IN" w:eastAsia="en-IN"/>
        </w:rPr>
      </w:pPr>
      <w:bookmarkStart w:id="12" w:name="_Toc197025003"/>
      <w:r>
        <w:rPr>
          <w:rFonts w:eastAsia="Times New Roman"/>
          <w:lang w:val="en-IN" w:eastAsia="en-IN"/>
        </w:rPr>
        <w:t>6. Digital Listening &amp; Performance Tracking</w:t>
      </w:r>
      <w:bookmarkEnd w:id="12"/>
    </w:p>
    <w:p w14:paraId="3874E4B5">
      <w:pPr>
        <w:spacing w:line="360" w:lineRule="auto"/>
        <w:rPr>
          <w:lang w:val="en-IN" w:eastAsia="en-IN"/>
        </w:rPr>
      </w:pPr>
    </w:p>
    <w:p w14:paraId="231EBAD9">
      <w:pPr>
        <w:pStyle w:val="3"/>
        <w:spacing w:line="360" w:lineRule="auto"/>
        <w:rPr>
          <w:rFonts w:eastAsia="Times New Roman"/>
          <w:lang w:val="en-IN" w:eastAsia="en-IN"/>
        </w:rPr>
      </w:pPr>
      <w:bookmarkStart w:id="13" w:name="_Toc197025004"/>
      <w:r>
        <w:rPr>
          <w:rFonts w:eastAsia="Times New Roman"/>
          <w:lang w:val="en-IN" w:eastAsia="en-IN"/>
        </w:rPr>
        <w:t>6.1 Recommended Tools</w:t>
      </w:r>
      <w:bookmarkEnd w:id="13"/>
    </w:p>
    <w:p w14:paraId="21197028">
      <w:pPr>
        <w:spacing w:line="360" w:lineRule="auto"/>
        <w:rPr>
          <w:lang w:val="en-IN" w:eastAsia="en-IN"/>
        </w:rPr>
      </w:pPr>
    </w:p>
    <w:p w14:paraId="6CF2E907">
      <w:pPr>
        <w:pStyle w:val="14"/>
        <w:numPr>
          <w:ilvl w:val="0"/>
          <w:numId w:val="8"/>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Brand watch:</w:t>
      </w:r>
      <w:r>
        <w:rPr>
          <w:rFonts w:ascii="Times New Roman" w:hAnsi="Times New Roman" w:eastAsia="Times New Roman" w:cs="Times New Roman"/>
          <w:color w:val="0E101A"/>
          <w:sz w:val="24"/>
          <w:szCs w:val="24"/>
          <w:lang w:val="en-IN" w:eastAsia="en-IN"/>
        </w:rPr>
        <w:t xml:space="preserve"> In-depth social media sentiment analysis (Brandwatch, 2024).</w:t>
      </w:r>
    </w:p>
    <w:p w14:paraId="3DE29559">
      <w:pPr>
        <w:pStyle w:val="14"/>
        <w:numPr>
          <w:ilvl w:val="0"/>
          <w:numId w:val="8"/>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Hootsuite Insights:</w:t>
      </w:r>
      <w:r>
        <w:rPr>
          <w:rFonts w:ascii="Times New Roman" w:hAnsi="Times New Roman" w:eastAsia="Times New Roman" w:cs="Times New Roman"/>
          <w:color w:val="0E101A"/>
          <w:sz w:val="24"/>
          <w:szCs w:val="24"/>
          <w:lang w:val="en-IN" w:eastAsia="en-IN"/>
        </w:rPr>
        <w:t xml:space="preserve"> Real-time brand mentions and engagement rates monitoring (Hootsuite, 2024).</w:t>
      </w:r>
    </w:p>
    <w:p w14:paraId="38884F13">
      <w:pPr>
        <w:pStyle w:val="14"/>
        <w:numPr>
          <w:ilvl w:val="0"/>
          <w:numId w:val="8"/>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Google Alerts:</w:t>
      </w:r>
      <w:r>
        <w:rPr>
          <w:rFonts w:ascii="Times New Roman" w:hAnsi="Times New Roman" w:eastAsia="Times New Roman" w:cs="Times New Roman"/>
          <w:color w:val="0E101A"/>
          <w:sz w:val="24"/>
          <w:szCs w:val="24"/>
          <w:lang w:val="en-IN" w:eastAsia="en-IN"/>
        </w:rPr>
        <w:t xml:space="preserve"> Automated news coverage tracking.</w:t>
      </w:r>
    </w:p>
    <w:p w14:paraId="604E5A47">
      <w:pPr>
        <w:pStyle w:val="14"/>
        <w:numPr>
          <w:ilvl w:val="0"/>
          <w:numId w:val="8"/>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Sprout Social:</w:t>
      </w:r>
      <w:r>
        <w:rPr>
          <w:rFonts w:ascii="Times New Roman" w:hAnsi="Times New Roman" w:eastAsia="Times New Roman" w:cs="Times New Roman"/>
          <w:color w:val="0E101A"/>
          <w:sz w:val="24"/>
          <w:szCs w:val="24"/>
          <w:lang w:val="en-IN" w:eastAsia="en-IN"/>
        </w:rPr>
        <w:t xml:space="preserve"> Inbox for responding and monitoring on different platforms.</w:t>
      </w:r>
    </w:p>
    <w:p w14:paraId="38EA2F7C">
      <w:pPr>
        <w:spacing w:after="0" w:line="360" w:lineRule="auto"/>
        <w:ind w:left="360"/>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A centralised dashboard will be used to visualise the data through each of the tools' APIs.</w:t>
      </w:r>
    </w:p>
    <w:p w14:paraId="2B374D61">
      <w:pPr>
        <w:spacing w:after="0" w:line="360" w:lineRule="auto"/>
        <w:ind w:left="360"/>
        <w:jc w:val="both"/>
        <w:rPr>
          <w:rFonts w:ascii="Times New Roman" w:hAnsi="Times New Roman" w:eastAsia="Times New Roman" w:cs="Times New Roman"/>
          <w:color w:val="0E101A"/>
          <w:sz w:val="24"/>
          <w:szCs w:val="24"/>
          <w:lang w:val="en-IN" w:eastAsia="en-IN"/>
        </w:rPr>
      </w:pPr>
    </w:p>
    <w:p w14:paraId="0B2C6BC9">
      <w:pPr>
        <w:pStyle w:val="3"/>
        <w:spacing w:line="360" w:lineRule="auto"/>
        <w:rPr>
          <w:rFonts w:eastAsia="Times New Roman"/>
          <w:lang w:val="en-IN" w:eastAsia="en-IN"/>
        </w:rPr>
      </w:pPr>
      <w:bookmarkStart w:id="14" w:name="_Toc197025005"/>
      <w:r>
        <w:rPr>
          <w:rFonts w:eastAsia="Times New Roman"/>
          <w:lang w:val="en-IN" w:eastAsia="en-IN"/>
        </w:rPr>
        <w:t>6.2 Key Performance Indicators</w:t>
      </w:r>
      <w:bookmarkEnd w:id="14"/>
    </w:p>
    <w:p w14:paraId="35F9EAFA">
      <w:pPr>
        <w:spacing w:line="360" w:lineRule="auto"/>
        <w:rPr>
          <w:lang w:val="en-IN" w:eastAsia="en-IN"/>
        </w:rPr>
      </w:pPr>
    </w:p>
    <w:p w14:paraId="422FB94A">
      <w:pPr>
        <w:pStyle w:val="14"/>
        <w:numPr>
          <w:ilvl w:val="0"/>
          <w:numId w:val="9"/>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Sentiment Score:</w:t>
      </w:r>
      <w:r>
        <w:rPr>
          <w:rFonts w:ascii="Times New Roman" w:hAnsi="Times New Roman" w:eastAsia="Times New Roman" w:cs="Times New Roman"/>
          <w:color w:val="0E101A"/>
          <w:sz w:val="24"/>
          <w:szCs w:val="24"/>
          <w:lang w:val="en-IN" w:eastAsia="en-IN"/>
        </w:rPr>
        <w:t xml:space="preserve"> The ratio of the number of positive mentions to the number of negative ones.</w:t>
      </w:r>
    </w:p>
    <w:p w14:paraId="3BE4195C">
      <w:pPr>
        <w:pStyle w:val="14"/>
        <w:numPr>
          <w:ilvl w:val="0"/>
          <w:numId w:val="9"/>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Share of Voice:</w:t>
      </w:r>
      <w:r>
        <w:rPr>
          <w:rFonts w:ascii="Times New Roman" w:hAnsi="Times New Roman" w:eastAsia="Times New Roman" w:cs="Times New Roman"/>
          <w:color w:val="0E101A"/>
          <w:sz w:val="24"/>
          <w:szCs w:val="24"/>
          <w:lang w:val="en-IN" w:eastAsia="en-IN"/>
        </w:rPr>
        <w:t xml:space="preserve"> The percentage of owned media crisis-related mentions compared to competitor's mentions.</w:t>
      </w:r>
    </w:p>
    <w:p w14:paraId="38ADB138">
      <w:pPr>
        <w:pStyle w:val="14"/>
        <w:numPr>
          <w:ilvl w:val="0"/>
          <w:numId w:val="9"/>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Response Time:</w:t>
      </w:r>
      <w:r>
        <w:rPr>
          <w:rFonts w:ascii="Times New Roman" w:hAnsi="Times New Roman" w:eastAsia="Times New Roman" w:cs="Times New Roman"/>
          <w:color w:val="0E101A"/>
          <w:sz w:val="24"/>
          <w:szCs w:val="24"/>
          <w:lang w:val="en-IN" w:eastAsia="en-IN"/>
        </w:rPr>
        <w:t xml:space="preserve"> The time it takes on average to have the first reply on social channels.</w:t>
      </w:r>
    </w:p>
    <w:p w14:paraId="7A74802A">
      <w:pPr>
        <w:pStyle w:val="14"/>
        <w:numPr>
          <w:ilvl w:val="0"/>
          <w:numId w:val="9"/>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Engagement Rate: The number of crisis communications posts that received likes, shares, and comments on social media platforms.</w:t>
      </w:r>
    </w:p>
    <w:p w14:paraId="6265CEC1">
      <w:pPr>
        <w:pStyle w:val="14"/>
        <w:numPr>
          <w:ilvl w:val="0"/>
          <w:numId w:val="9"/>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b/>
          <w:bCs/>
          <w:i/>
          <w:iCs/>
          <w:color w:val="0E101A"/>
          <w:sz w:val="24"/>
          <w:szCs w:val="24"/>
          <w:lang w:val="en-IN" w:eastAsia="en-IN"/>
        </w:rPr>
        <w:t>Media Pick-Up:</w:t>
      </w:r>
      <w:r>
        <w:rPr>
          <w:rFonts w:ascii="Times New Roman" w:hAnsi="Times New Roman" w:eastAsia="Times New Roman" w:cs="Times New Roman"/>
          <w:color w:val="0E101A"/>
          <w:sz w:val="24"/>
          <w:szCs w:val="24"/>
          <w:lang w:val="en-IN" w:eastAsia="en-IN"/>
        </w:rPr>
        <w:t xml:space="preserve"> The number of earned media articles post-release.</w:t>
      </w:r>
    </w:p>
    <w:p w14:paraId="76B9B9EC">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Reporting will be provided weekly, and will serve as the decision-making basis for the tactical shifts, e.g., increasing the number of community forums if the negative sentiment remains high (Carroll et al., 2023).</w:t>
      </w:r>
    </w:p>
    <w:p w14:paraId="2DAF13A9">
      <w:pPr>
        <w:spacing w:after="0" w:line="360" w:lineRule="auto"/>
        <w:jc w:val="both"/>
        <w:rPr>
          <w:rFonts w:ascii="Times New Roman" w:hAnsi="Times New Roman" w:eastAsia="Times New Roman" w:cs="Times New Roman"/>
          <w:color w:val="0E101A"/>
          <w:sz w:val="24"/>
          <w:szCs w:val="24"/>
          <w:lang w:val="en-IN" w:eastAsia="en-IN"/>
        </w:rPr>
      </w:pPr>
    </w:p>
    <w:p w14:paraId="4E1E7D95">
      <w:pPr>
        <w:pStyle w:val="2"/>
        <w:spacing w:line="360" w:lineRule="auto"/>
        <w:rPr>
          <w:rFonts w:eastAsia="Times New Roman"/>
          <w:lang w:val="en-IN" w:eastAsia="en-IN"/>
        </w:rPr>
      </w:pPr>
      <w:bookmarkStart w:id="15" w:name="_Toc197025006"/>
      <w:r>
        <w:rPr>
          <w:rFonts w:eastAsia="Times New Roman"/>
          <w:lang w:val="en-IN" w:eastAsia="en-IN"/>
        </w:rPr>
        <w:t>7. Conclusion &amp; Recommendations</w:t>
      </w:r>
      <w:bookmarkEnd w:id="15"/>
    </w:p>
    <w:p w14:paraId="6EAC18A4">
      <w:pPr>
        <w:spacing w:after="0" w:line="360" w:lineRule="auto"/>
        <w:jc w:val="both"/>
        <w:rPr>
          <w:rFonts w:ascii="Times New Roman" w:hAnsi="Times New Roman" w:eastAsia="Times New Roman" w:cs="Times New Roman"/>
          <w:color w:val="0E101A"/>
          <w:sz w:val="24"/>
          <w:szCs w:val="24"/>
          <w:lang w:val="en-IN" w:eastAsia="en-IN"/>
        </w:rPr>
      </w:pPr>
    </w:p>
    <w:p w14:paraId="02C497DF">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GreenVista’s ness in the field of environmental protection is in danger. What is to be done? The company can:</w:t>
      </w:r>
    </w:p>
    <w:p w14:paraId="4B02F837">
      <w:pPr>
        <w:pStyle w:val="14"/>
        <w:numPr>
          <w:ilvl w:val="0"/>
          <w:numId w:val="10"/>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Continue to communicate with the stakeholders in a synchronized way that is open and honest, and therefore, will lead to their trust being recovered.</w:t>
      </w:r>
    </w:p>
    <w:p w14:paraId="4BF92448">
      <w:pPr>
        <w:pStyle w:val="14"/>
        <w:numPr>
          <w:ilvl w:val="0"/>
          <w:numId w:val="10"/>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Use feedback that comes in real-time to improve the tactics.</w:t>
      </w:r>
    </w:p>
    <w:p w14:paraId="2FF1C7E2">
      <w:pPr>
        <w:pStyle w:val="14"/>
        <w:numPr>
          <w:ilvl w:val="0"/>
          <w:numId w:val="10"/>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Convince the public that they are responsible for their actions by organizing a third-party audit and thus getting a public report made.</w:t>
      </w:r>
    </w:p>
    <w:p w14:paraId="698DE7E4">
      <w:pPr>
        <w:spacing w:after="0" w:line="360" w:lineRule="auto"/>
        <w:jc w:val="both"/>
        <w:rPr>
          <w:rFonts w:ascii="Times New Roman" w:hAnsi="Times New Roman" w:eastAsia="Times New Roman" w:cs="Times New Roman"/>
          <w:b/>
          <w:bCs/>
          <w:color w:val="0E101A"/>
          <w:sz w:val="24"/>
          <w:szCs w:val="24"/>
          <w:lang w:val="en-IN" w:eastAsia="en-IN"/>
        </w:rPr>
      </w:pPr>
      <w:r>
        <w:rPr>
          <w:rFonts w:ascii="Times New Roman" w:hAnsi="Times New Roman" w:eastAsia="Times New Roman" w:cs="Times New Roman"/>
          <w:b/>
          <w:bCs/>
          <w:color w:val="0E101A"/>
          <w:sz w:val="24"/>
          <w:szCs w:val="24"/>
          <w:lang w:val="en-IN" w:eastAsia="en-IN"/>
        </w:rPr>
        <w:t>The main recommendations are:</w:t>
      </w:r>
    </w:p>
    <w:p w14:paraId="0405F7EA">
      <w:pPr>
        <w:pStyle w:val="14"/>
        <w:numPr>
          <w:ilvl w:val="0"/>
          <w:numId w:val="11"/>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Be Open: Clearly show the steps that are to be completed and keep the results available for all to see.</w:t>
      </w:r>
    </w:p>
    <w:p w14:paraId="74047690">
      <w:pPr>
        <w:pStyle w:val="14"/>
        <w:numPr>
          <w:ilvl w:val="0"/>
          <w:numId w:val="11"/>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Involve the Local Community: Engage with the local community and give a voice to the non-profit by way of invitations.</w:t>
      </w:r>
    </w:p>
    <w:p w14:paraId="6A45791B">
      <w:pPr>
        <w:pStyle w:val="14"/>
        <w:numPr>
          <w:ilvl w:val="0"/>
          <w:numId w:val="11"/>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Make Digital Technology a Priority: Make an investment in social media that will enhance listening and get workers trained in crisis response.</w:t>
      </w:r>
    </w:p>
    <w:p w14:paraId="0643F853">
      <w:pPr>
        <w:pStyle w:val="14"/>
        <w:numPr>
          <w:ilvl w:val="0"/>
          <w:numId w:val="11"/>
        </w:num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Revise the Crisis Plan: Bring the lessons learned into practice in the business crisis handbook.</w:t>
      </w:r>
    </w:p>
    <w:p w14:paraId="789A30C3">
      <w:pPr>
        <w:spacing w:after="0" w:line="360" w:lineRule="auto"/>
        <w:jc w:val="both"/>
        <w:rPr>
          <w:rFonts w:ascii="Times New Roman" w:hAnsi="Times New Roman" w:eastAsia="Times New Roman" w:cs="Times New Roman"/>
          <w:color w:val="0E101A"/>
          <w:sz w:val="24"/>
          <w:szCs w:val="24"/>
          <w:lang w:val="en-IN" w:eastAsia="en-IN"/>
        </w:rPr>
      </w:pPr>
      <w:r>
        <w:rPr>
          <w:rFonts w:ascii="Times New Roman" w:hAnsi="Times New Roman" w:eastAsia="Times New Roman" w:cs="Times New Roman"/>
          <w:color w:val="0E101A"/>
          <w:sz w:val="24"/>
          <w:szCs w:val="24"/>
          <w:lang w:val="en-IN" w:eastAsia="en-IN"/>
        </w:rPr>
        <w:t>Being that they have made two-way communication a part of their system and there is also the fact that they will be able to track data, GreenVista will not only be able to overcome this crisis but also will become more committed to being a sustainable and eco-friendly company than ever before.</w:t>
      </w:r>
    </w:p>
    <w:p w14:paraId="4395CF45"/>
    <w:p w14:paraId="7DB31E05"/>
    <w:p w14:paraId="1AFFD63F">
      <w:pPr>
        <w:pStyle w:val="2"/>
        <w:rPr>
          <w:rFonts w:eastAsia="Times New Roman"/>
          <w:lang w:val="en-IN" w:eastAsia="en-IN"/>
        </w:rPr>
      </w:pPr>
      <w:bookmarkStart w:id="16" w:name="_Toc197025007"/>
      <w:r>
        <w:rPr>
          <w:rFonts w:eastAsia="Times New Roman"/>
          <w:lang w:val="en-IN" w:eastAsia="en-IN"/>
        </w:rPr>
        <w:t>References</w:t>
      </w:r>
      <w:bookmarkEnd w:id="16"/>
    </w:p>
    <w:p w14:paraId="63CAFEFC">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Boman, C. D., Valiavska, A., Bramlett, J. C., &amp; Cameron, G. T. (2021). Exploring the U.S. Coast Guard’s stance agility on Twitter during Hurricane Harvey. </w:t>
      </w:r>
      <w:r>
        <w:rPr>
          <w:rFonts w:ascii="Georgia" w:hAnsi="Georgia" w:eastAsia="Times New Roman" w:cs="Helvetica"/>
          <w:i/>
          <w:iCs/>
          <w:color w:val="000000"/>
          <w:sz w:val="24"/>
          <w:szCs w:val="24"/>
          <w:lang w:val="en-IN" w:eastAsia="en-IN"/>
        </w:rPr>
        <w:t>Journal of Contingencies and Crisis Management</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29</w:t>
      </w:r>
      <w:r>
        <w:rPr>
          <w:rFonts w:ascii="Georgia" w:hAnsi="Georgia" w:eastAsia="Times New Roman" w:cs="Helvetica"/>
          <w:color w:val="000000"/>
          <w:sz w:val="24"/>
          <w:szCs w:val="24"/>
          <w:lang w:val="en-IN" w:eastAsia="en-IN"/>
        </w:rPr>
        <w:t>(1), 47–53. https://doi.org/10.1111/1468-5973.12307</w:t>
      </w:r>
    </w:p>
    <w:p w14:paraId="7DA4EA0D">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Carroll, C. E., Seeger, M. W., &amp; Sellnow, T. L. (2023). </w:t>
      </w:r>
      <w:r>
        <w:rPr>
          <w:rFonts w:ascii="Georgia" w:hAnsi="Georgia" w:eastAsia="Times New Roman" w:cs="Helvetica"/>
          <w:i/>
          <w:iCs/>
          <w:color w:val="000000"/>
          <w:sz w:val="24"/>
          <w:szCs w:val="24"/>
          <w:lang w:val="en-IN" w:eastAsia="en-IN"/>
        </w:rPr>
        <w:t>Crisis and emergency risk communication: Theory and practice</w:t>
      </w:r>
      <w:r>
        <w:rPr>
          <w:rFonts w:ascii="Georgia" w:hAnsi="Georgia" w:eastAsia="Times New Roman" w:cs="Helvetica"/>
          <w:color w:val="000000"/>
          <w:sz w:val="24"/>
          <w:szCs w:val="24"/>
          <w:lang w:val="en-IN" w:eastAsia="en-IN"/>
        </w:rPr>
        <w:t>.</w:t>
      </w:r>
    </w:p>
    <w:p w14:paraId="3AB3F321">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Coombs, W. T. (2019). </w:t>
      </w:r>
      <w:r>
        <w:rPr>
          <w:rFonts w:ascii="Georgia" w:hAnsi="Georgia" w:eastAsia="Times New Roman" w:cs="Helvetica"/>
          <w:i/>
          <w:iCs/>
          <w:color w:val="000000"/>
          <w:sz w:val="24"/>
          <w:szCs w:val="24"/>
          <w:lang w:val="en-IN" w:eastAsia="en-IN"/>
        </w:rPr>
        <w:t>Ongoing Crisis Communication: Planning, Managing, and Responding</w:t>
      </w:r>
      <w:r>
        <w:rPr>
          <w:rFonts w:ascii="Georgia" w:hAnsi="Georgia" w:eastAsia="Times New Roman" w:cs="Helvetica"/>
          <w:color w:val="000000"/>
          <w:sz w:val="24"/>
          <w:szCs w:val="24"/>
          <w:lang w:val="en-IN" w:eastAsia="en-IN"/>
        </w:rPr>
        <w:t>. SAGE Publications.</w:t>
      </w:r>
    </w:p>
    <w:p w14:paraId="2482FCF3">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Heath, R. L., &amp; Millar, D. P. (2004). </w:t>
      </w:r>
      <w:r>
        <w:rPr>
          <w:rFonts w:ascii="Georgia" w:hAnsi="Georgia" w:eastAsia="Times New Roman" w:cs="Helvetica"/>
          <w:i/>
          <w:iCs/>
          <w:color w:val="000000"/>
          <w:sz w:val="24"/>
          <w:szCs w:val="24"/>
          <w:lang w:val="en-IN" w:eastAsia="en-IN"/>
        </w:rPr>
        <w:t>A Rhetorical Approach to Crisis Communication: Management, Communication Processes, and Strategic Responses</w:t>
      </w:r>
      <w:r>
        <w:rPr>
          <w:rFonts w:ascii="Georgia" w:hAnsi="Georgia" w:eastAsia="Times New Roman" w:cs="Helvetica"/>
          <w:color w:val="000000"/>
          <w:sz w:val="24"/>
          <w:szCs w:val="24"/>
          <w:lang w:val="en-IN" w:eastAsia="en-IN"/>
        </w:rPr>
        <w:t>. Lawrence Erlbaum Associates.</w:t>
      </w:r>
    </w:p>
    <w:p w14:paraId="502EC673">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Mitroff, I. I., &amp; Anagnos, G. (2022). </w:t>
      </w:r>
      <w:r>
        <w:rPr>
          <w:rFonts w:ascii="Georgia" w:hAnsi="Georgia" w:eastAsia="Times New Roman" w:cs="Helvetica"/>
          <w:i/>
          <w:iCs/>
          <w:color w:val="000000"/>
          <w:sz w:val="24"/>
          <w:szCs w:val="24"/>
          <w:lang w:val="en-IN" w:eastAsia="en-IN"/>
        </w:rPr>
        <w:t>Managing crises before they happen: What every executive and manager needs to know about crisis management</w:t>
      </w:r>
      <w:r>
        <w:rPr>
          <w:rFonts w:ascii="Georgia" w:hAnsi="Georgia" w:eastAsia="Times New Roman" w:cs="Helvetica"/>
          <w:color w:val="000000"/>
          <w:sz w:val="24"/>
          <w:szCs w:val="24"/>
          <w:lang w:val="en-IN" w:eastAsia="en-IN"/>
        </w:rPr>
        <w:t>.</w:t>
      </w:r>
    </w:p>
    <w:p w14:paraId="2D801141">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Schramm, W. (1954). How communication works. In W. Schramm (Ed.), </w:t>
      </w:r>
      <w:r>
        <w:rPr>
          <w:rFonts w:ascii="Georgia" w:hAnsi="Georgia" w:eastAsia="Times New Roman" w:cs="Helvetica"/>
          <w:i/>
          <w:iCs/>
          <w:color w:val="000000"/>
          <w:sz w:val="24"/>
          <w:szCs w:val="24"/>
          <w:lang w:val="en-IN" w:eastAsia="en-IN"/>
        </w:rPr>
        <w:t>The Process and Effects of Mass Communication</w:t>
      </w:r>
      <w:r>
        <w:rPr>
          <w:rFonts w:ascii="Georgia" w:hAnsi="Georgia" w:eastAsia="Times New Roman" w:cs="Helvetica"/>
          <w:color w:val="000000"/>
          <w:sz w:val="24"/>
          <w:szCs w:val="24"/>
          <w:lang w:val="en-IN" w:eastAsia="en-IN"/>
        </w:rPr>
        <w:t> (pp. 3–26). University of Illinois Press.</w:t>
      </w:r>
    </w:p>
    <w:p w14:paraId="2522BE89">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Smith, L. (2025). GreenVista eco-resort accused of rainforest clearance. </w:t>
      </w:r>
      <w:r>
        <w:rPr>
          <w:rFonts w:ascii="Georgia" w:hAnsi="Georgia" w:eastAsia="Times New Roman" w:cs="Helvetica"/>
          <w:i/>
          <w:iCs/>
          <w:color w:val="000000"/>
          <w:sz w:val="24"/>
          <w:szCs w:val="24"/>
          <w:lang w:val="en-IN" w:eastAsia="en-IN"/>
        </w:rPr>
        <w:t>Global Environmental News</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12</w:t>
      </w:r>
      <w:r>
        <w:rPr>
          <w:rFonts w:ascii="Georgia" w:hAnsi="Georgia" w:eastAsia="Times New Roman" w:cs="Helvetica"/>
          <w:color w:val="000000"/>
          <w:sz w:val="24"/>
          <w:szCs w:val="24"/>
          <w:lang w:val="en-IN" w:eastAsia="en-IN"/>
        </w:rPr>
        <w:t>(4), 15–16.</w:t>
      </w:r>
    </w:p>
    <w:p w14:paraId="40F45208">
      <w:pPr>
        <w:spacing w:before="100" w:beforeAutospacing="1" w:after="0" w:line="480" w:lineRule="auto"/>
        <w:ind w:left="720" w:hanging="720"/>
        <w:rPr>
          <w:rFonts w:ascii="Georgia" w:hAnsi="Georgia" w:eastAsia="Times New Roman" w:cs="Helvetica"/>
          <w:color w:val="000000"/>
          <w:sz w:val="24"/>
          <w:szCs w:val="24"/>
          <w:lang w:val="en-IN" w:eastAsia="en-IN"/>
        </w:rPr>
      </w:pPr>
      <w:r>
        <w:rPr>
          <w:rFonts w:ascii="Georgia" w:hAnsi="Georgia" w:eastAsia="Times New Roman" w:cs="Helvetica"/>
          <w:color w:val="000000"/>
          <w:sz w:val="24"/>
          <w:szCs w:val="24"/>
          <w:lang w:val="en-IN" w:eastAsia="en-IN"/>
        </w:rPr>
        <w:t>Zhang, Y., &amp; Lee, T. J. (2022). Alienation and authenticity in intangible cultural heritage tourism production. </w:t>
      </w:r>
      <w:r>
        <w:rPr>
          <w:rFonts w:ascii="Georgia" w:hAnsi="Georgia" w:eastAsia="Times New Roman" w:cs="Helvetica"/>
          <w:i/>
          <w:iCs/>
          <w:color w:val="000000"/>
          <w:sz w:val="24"/>
          <w:szCs w:val="24"/>
          <w:lang w:val="en-IN" w:eastAsia="en-IN"/>
        </w:rPr>
        <w:t>International Journal of Tourism Research</w:t>
      </w:r>
      <w:r>
        <w:rPr>
          <w:rFonts w:ascii="Georgia" w:hAnsi="Georgia" w:eastAsia="Times New Roman" w:cs="Helvetica"/>
          <w:color w:val="000000"/>
          <w:sz w:val="24"/>
          <w:szCs w:val="24"/>
          <w:lang w:val="en-IN" w:eastAsia="en-IN"/>
        </w:rPr>
        <w:t>, </w:t>
      </w:r>
      <w:r>
        <w:rPr>
          <w:rFonts w:ascii="Georgia" w:hAnsi="Georgia" w:eastAsia="Times New Roman" w:cs="Helvetica"/>
          <w:i/>
          <w:iCs/>
          <w:color w:val="000000"/>
          <w:sz w:val="24"/>
          <w:szCs w:val="24"/>
          <w:lang w:val="en-IN" w:eastAsia="en-IN"/>
        </w:rPr>
        <w:t>24</w:t>
      </w:r>
      <w:r>
        <w:rPr>
          <w:rFonts w:ascii="Georgia" w:hAnsi="Georgia" w:eastAsia="Times New Roman" w:cs="Helvetica"/>
          <w:color w:val="000000"/>
          <w:sz w:val="24"/>
          <w:szCs w:val="24"/>
          <w:lang w:val="en-IN" w:eastAsia="en-IN"/>
        </w:rPr>
        <w:t>(1), 18–32. https://doi.org/10.1002/jtr.2478</w:t>
      </w:r>
    </w:p>
    <w:p w14:paraId="4B4C1471"/>
    <w:sectPr>
      <w:footerReference r:id="rId5" w:type="default"/>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汉仪书宋二KW"/>
    <w:panose1 w:val="00000000000000000000"/>
    <w:charset w:val="86"/>
    <w:family w:val="auto"/>
    <w:pitch w:val="default"/>
    <w:sig w:usb0="00000000" w:usb1="00000000" w:usb2="00000000" w:usb3="00000000" w:csb0="00000000" w:csb1="00000000"/>
  </w:font>
  <w:font w:name="Arial">
    <w:panose1 w:val="020B0604020202090204"/>
    <w:charset w:val="00"/>
    <w:family w:val="swiss"/>
    <w:pitch w:val="default"/>
    <w:sig w:usb0="E0000AFF" w:usb1="00007843" w:usb2="00000001" w:usb3="00000000" w:csb0="400001BF" w:csb1="DFF70000"/>
  </w:font>
  <w:font w:name="SimHei">
    <w:altName w:val="汉仪中黑KW"/>
    <w:panose1 w:val="02010600030101010101"/>
    <w:charset w:val="00"/>
    <w:family w:val="auto"/>
    <w:pitch w:val="default"/>
    <w:sig w:usb0="00000001" w:usb1="080E0000" w:usb2="00000010" w:usb3="00000000" w:csb0="00040000" w:csb1="00000000"/>
  </w:font>
  <w:font w:name="Courier New">
    <w:panose1 w:val="02070409020205090404"/>
    <w:charset w:val="00"/>
    <w:family w:val="modern"/>
    <w:pitch w:val="default"/>
    <w:sig w:usb0="E0000AFF" w:usb1="40007843" w:usb2="00000001" w:usb3="00000000" w:csb0="400001BF" w:csb1="DFF7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SimSun">
    <w:altName w:val="汉仪书宋二KW"/>
    <w:panose1 w:val="02010600030101010101"/>
    <w:charset w:val="86"/>
    <w:family w:val="auto"/>
    <w:pitch w:val="default"/>
    <w:sig w:usb0="00000000" w:usb1="00000000" w:usb2="00000016" w:usb3="00000000" w:csb0="00040001"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汉仪中等线KW"/>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汉仪中等线KW"/>
    <w:panose1 w:val="00000000000000000000"/>
    <w:charset w:val="00"/>
    <w:family w:val="auto"/>
    <w:pitch w:val="default"/>
    <w:sig w:usb0="00000000" w:usb1="00000000" w:usb2="00000000" w:usb3="00000000" w:csb0="00000000" w:csb1="00000000"/>
  </w:font>
  <w:font w:name="Symbol">
    <w:altName w:val="Kingsoft Sign"/>
    <w:panose1 w:val="05050102010706020507"/>
    <w:charset w:val="02"/>
    <w:family w:val="roman"/>
    <w:pitch w:val="default"/>
    <w:sig w:usb0="00000000" w:usb1="0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Georgia">
    <w:panose1 w:val="02040502050405090303"/>
    <w:charset w:val="00"/>
    <w:family w:val="roman"/>
    <w:pitch w:val="default"/>
    <w:sig w:usb0="00000287" w:usb1="00000000" w:usb2="00000000" w:usb3="00000000" w:csb0="2000009F" w:csb1="00000000"/>
  </w:font>
  <w:font w:name="Helvetica">
    <w:panose1 w:val="00000000000000000000"/>
    <w:charset w:val="00"/>
    <w:family w:val="swiss"/>
    <w:pitch w:val="default"/>
    <w:sig w:usb0="E00002FF" w:usb1="5000785B" w:usb2="00000000" w:usb3="00000000" w:csb0="2000019F" w:csb1="4F010000"/>
  </w:font>
  <w:font w:name="Helvetica Neue">
    <w:panose1 w:val="02000503000000020004"/>
    <w:charset w:val="00"/>
    <w:family w:val="auto"/>
    <w:pitch w:val="default"/>
    <w:sig w:usb0="E50002FF" w:usb1="500079DB" w:usb2="00000010" w:usb3="00000000" w:csb0="00000000" w:csb1="00000000"/>
  </w:font>
  <w:font w:name="Hiragino Sans CNS">
    <w:panose1 w:val="020B0300000000000000"/>
    <w:charset w:val="88"/>
    <w:family w:val="auto"/>
    <w:pitch w:val="default"/>
    <w:sig w:usb0="00000001" w:usb1="1A0F1900" w:usb2="00000016" w:usb3="00000000" w:csb0="00120005" w:csb1="00000000"/>
  </w:font>
  <w:font w:name="Kingsoft Sign">
    <w:panose1 w:val="05050102010706020507"/>
    <w:charset w:val="00"/>
    <w:family w:val="auto"/>
    <w:pitch w:val="default"/>
    <w:sig w:usb0="00000000" w:usb1="10000000" w:usb2="00000000" w:usb3="00000000" w:csb0="00000001" w:csb1="00000000"/>
  </w:font>
  <w:font w:name="汉仪书宋二KW">
    <w:panose1 w:val="00020600040101010101"/>
    <w:charset w:val="86"/>
    <w:family w:val="auto"/>
    <w:pitch w:val="default"/>
    <w:sig w:usb0="A00002BF" w:usb1="18EF7CFA" w:usb2="00000016" w:usb3="00000000" w:csb0="00040000" w:csb1="00000000"/>
  </w:font>
  <w:font w:name="汉仪中黑KW">
    <w:panose1 w:val="00020600040101010101"/>
    <w:charset w:val="86"/>
    <w:family w:val="auto"/>
    <w:pitch w:val="default"/>
    <w:sig w:usb0="A00002BF" w:usb1="18EF7CFA" w:usb2="00000016" w:usb3="00000000" w:csb0="00040000" w:csb1="00000000"/>
  </w:font>
  <w:font w:name="汉仪中等线KW">
    <w:panose1 w:val="01010104010101010101"/>
    <w:charset w:val="86"/>
    <w:family w:val="auto"/>
    <w:pitch w:val="default"/>
    <w:sig w:usb0="800002BF" w:usb1="004F7CFA"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187176285"/>
      <w:docPartObj>
        <w:docPartGallery w:val="AutoText"/>
      </w:docPartObj>
    </w:sdtPr>
    <w:sdtEndPr>
      <w:rPr>
        <w:color w:val="808080" w:themeColor="background1" w:themeShade="80"/>
        <w:spacing w:val="60"/>
      </w:rPr>
    </w:sdtEndPr>
    <w:sdtContent>
      <w:p w14:paraId="24B1926C">
        <w:pPr>
          <w:pStyle w:val="6"/>
          <w:pBdr>
            <w:top w:val="single" w:color="D8D8D8" w:themeColor="background1" w:themeShade="D9" w:sz="4" w:space="1"/>
          </w:pBdr>
          <w:rPr>
            <w:b/>
            <w:bCs/>
          </w:rPr>
        </w:pPr>
        <w:r>
          <w:fldChar w:fldCharType="begin"/>
        </w:r>
        <w:r>
          <w:instrText xml:space="preserve"> PAGE   \* MERGEFORMAT </w:instrText>
        </w:r>
        <w:r>
          <w:fldChar w:fldCharType="separate"/>
        </w:r>
        <w:r>
          <w:rPr>
            <w:b/>
            <w:bCs/>
          </w:rPr>
          <w:t>2</w:t>
        </w:r>
        <w:r>
          <w:rPr>
            <w:b/>
            <w:bCs/>
          </w:rPr>
          <w:fldChar w:fldCharType="end"/>
        </w:r>
        <w:r>
          <w:rPr>
            <w:b/>
            <w:bCs/>
          </w:rPr>
          <w:t xml:space="preserve"> | </w:t>
        </w:r>
        <w:r>
          <w:rPr>
            <w:color w:val="808080" w:themeColor="background1" w:themeShade="80"/>
            <w:spacing w:val="60"/>
          </w:rPr>
          <w:t>Page</w:t>
        </w:r>
      </w:p>
    </w:sdtContent>
  </w:sdt>
  <w:p w14:paraId="5ACE8FEE">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48D7525"/>
    <w:multiLevelType w:val="multilevel"/>
    <w:tmpl w:val="248D7525"/>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F1D2DA2"/>
    <w:multiLevelType w:val="multilevel"/>
    <w:tmpl w:val="2F1D2DA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0097C2B"/>
    <w:multiLevelType w:val="multilevel"/>
    <w:tmpl w:val="30097C2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CF65E09"/>
    <w:multiLevelType w:val="multilevel"/>
    <w:tmpl w:val="3CF65E09"/>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44E53A92"/>
    <w:multiLevelType w:val="multilevel"/>
    <w:tmpl w:val="44E53A92"/>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62C217A"/>
    <w:multiLevelType w:val="multilevel"/>
    <w:tmpl w:val="562C217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6">
    <w:nsid w:val="5B39625D"/>
    <w:multiLevelType w:val="multilevel"/>
    <w:tmpl w:val="5B39625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7">
    <w:nsid w:val="5EE826EB"/>
    <w:multiLevelType w:val="multilevel"/>
    <w:tmpl w:val="5EE826E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8">
    <w:nsid w:val="64880AF4"/>
    <w:multiLevelType w:val="multilevel"/>
    <w:tmpl w:val="64880AF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9">
    <w:nsid w:val="67EF0CA4"/>
    <w:multiLevelType w:val="multilevel"/>
    <w:tmpl w:val="67EF0CA4"/>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0">
    <w:nsid w:val="6ED76CFA"/>
    <w:multiLevelType w:val="multilevel"/>
    <w:tmpl w:val="6ED76CF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1"/>
  </w:num>
  <w:num w:numId="2">
    <w:abstractNumId w:val="5"/>
  </w:num>
  <w:num w:numId="3">
    <w:abstractNumId w:val="3"/>
  </w:num>
  <w:num w:numId="4">
    <w:abstractNumId w:val="7"/>
  </w:num>
  <w:num w:numId="5">
    <w:abstractNumId w:val="4"/>
  </w:num>
  <w:num w:numId="6">
    <w:abstractNumId w:val="0"/>
  </w:num>
  <w:num w:numId="7">
    <w:abstractNumId w:val="8"/>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removePersonalInformation/>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685A"/>
    <w:rsid w:val="000B42D6"/>
    <w:rsid w:val="0017685A"/>
    <w:rsid w:val="001F77D1"/>
    <w:rsid w:val="002C4B17"/>
    <w:rsid w:val="004A7686"/>
    <w:rsid w:val="00776467"/>
    <w:rsid w:val="00874F13"/>
    <w:rsid w:val="00BF3BAB"/>
    <w:rsid w:val="00CA234D"/>
    <w:rsid w:val="00D6585C"/>
    <w:rsid w:val="00E23D79"/>
    <w:rsid w:val="00E96792"/>
    <w:rsid w:val="FFF3B85C"/>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2"/>
    <w:qFormat/>
    <w:uiPriority w:val="9"/>
    <w:pPr>
      <w:keepNext/>
      <w:keepLines/>
      <w:spacing w:before="240" w:after="0"/>
      <w:outlineLvl w:val="0"/>
    </w:pPr>
    <w:rPr>
      <w:rFonts w:ascii="Times New Roman" w:hAnsi="Times New Roman" w:eastAsiaTheme="majorEastAsia" w:cstheme="majorBidi"/>
      <w:b/>
      <w:sz w:val="28"/>
      <w:szCs w:val="32"/>
    </w:rPr>
  </w:style>
  <w:style w:type="paragraph" w:styleId="3">
    <w:name w:val="heading 2"/>
    <w:basedOn w:val="1"/>
    <w:next w:val="1"/>
    <w:link w:val="13"/>
    <w:unhideWhenUsed/>
    <w:qFormat/>
    <w:uiPriority w:val="9"/>
    <w:pPr>
      <w:keepNext/>
      <w:keepLines/>
      <w:spacing w:before="40" w:after="0"/>
      <w:outlineLvl w:val="1"/>
    </w:pPr>
    <w:rPr>
      <w:rFonts w:ascii="Times New Roman" w:hAnsi="Times New Roman" w:eastAsiaTheme="majorEastAsia" w:cstheme="majorBidi"/>
      <w:b/>
      <w:i/>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7"/>
    <w:unhideWhenUsed/>
    <w:uiPriority w:val="99"/>
    <w:pPr>
      <w:tabs>
        <w:tab w:val="center" w:pos="4513"/>
        <w:tab w:val="right" w:pos="9026"/>
      </w:tabs>
      <w:spacing w:after="0" w:line="240" w:lineRule="auto"/>
    </w:pPr>
  </w:style>
  <w:style w:type="paragraph" w:styleId="7">
    <w:name w:val="header"/>
    <w:basedOn w:val="1"/>
    <w:link w:val="16"/>
    <w:unhideWhenUsed/>
    <w:uiPriority w:val="99"/>
    <w:pPr>
      <w:tabs>
        <w:tab w:val="center" w:pos="4513"/>
        <w:tab w:val="right" w:pos="9026"/>
      </w:tabs>
      <w:spacing w:after="0" w:line="240" w:lineRule="auto"/>
    </w:pPr>
  </w:style>
  <w:style w:type="character" w:styleId="8">
    <w:name w:val="Hyperlink"/>
    <w:basedOn w:val="4"/>
    <w:unhideWhenUsed/>
    <w:uiPriority w:val="99"/>
    <w:rPr>
      <w:color w:val="0563C1" w:themeColor="hyperlink"/>
      <w:u w:val="single"/>
      <w14:textFill>
        <w14:solidFill>
          <w14:schemeClr w14:val="hlink"/>
        </w14:solidFill>
      </w14:textFill>
    </w:rPr>
  </w:style>
  <w:style w:type="paragraph" w:styleId="9">
    <w:name w:val="Normal (Web)"/>
    <w:basedOn w:val="1"/>
    <w:semiHidden/>
    <w:unhideWhenUsed/>
    <w:uiPriority w:val="99"/>
    <w:pPr>
      <w:spacing w:before="100" w:beforeAutospacing="1" w:after="100" w:afterAutospacing="1" w:line="240" w:lineRule="auto"/>
    </w:pPr>
    <w:rPr>
      <w:rFonts w:ascii="Times New Roman" w:hAnsi="Times New Roman" w:eastAsia="Times New Roman" w:cs="Times New Roman"/>
      <w:sz w:val="24"/>
      <w:szCs w:val="24"/>
      <w:lang w:val="en-IN" w:eastAsia="en-IN"/>
    </w:rPr>
  </w:style>
  <w:style w:type="paragraph" w:styleId="10">
    <w:name w:val="toc 1"/>
    <w:basedOn w:val="1"/>
    <w:next w:val="1"/>
    <w:autoRedefine/>
    <w:unhideWhenUsed/>
    <w:uiPriority w:val="39"/>
    <w:pPr>
      <w:spacing w:after="100"/>
    </w:pPr>
  </w:style>
  <w:style w:type="paragraph" w:styleId="11">
    <w:name w:val="toc 2"/>
    <w:basedOn w:val="1"/>
    <w:next w:val="1"/>
    <w:autoRedefine/>
    <w:unhideWhenUsed/>
    <w:uiPriority w:val="39"/>
    <w:pPr>
      <w:spacing w:after="100"/>
      <w:ind w:left="220"/>
    </w:pPr>
  </w:style>
  <w:style w:type="character" w:customStyle="1" w:styleId="12">
    <w:name w:val="Heading 1 Char"/>
    <w:basedOn w:val="4"/>
    <w:link w:val="2"/>
    <w:uiPriority w:val="9"/>
    <w:rPr>
      <w:rFonts w:ascii="Times New Roman" w:hAnsi="Times New Roman" w:eastAsiaTheme="majorEastAsia" w:cstheme="majorBidi"/>
      <w:b/>
      <w:sz w:val="28"/>
      <w:szCs w:val="32"/>
      <w:lang w:val="en-US"/>
    </w:rPr>
  </w:style>
  <w:style w:type="character" w:customStyle="1" w:styleId="13">
    <w:name w:val="Heading 2 Char"/>
    <w:basedOn w:val="4"/>
    <w:link w:val="3"/>
    <w:uiPriority w:val="9"/>
    <w:rPr>
      <w:rFonts w:ascii="Times New Roman" w:hAnsi="Times New Roman" w:eastAsiaTheme="majorEastAsia" w:cstheme="majorBidi"/>
      <w:b/>
      <w:i/>
      <w:sz w:val="26"/>
      <w:szCs w:val="26"/>
      <w:lang w:val="en-US"/>
    </w:rPr>
  </w:style>
  <w:style w:type="paragraph" w:styleId="14">
    <w:name w:val="List Paragraph"/>
    <w:basedOn w:val="1"/>
    <w:qFormat/>
    <w:uiPriority w:val="34"/>
    <w:pPr>
      <w:ind w:left="720"/>
      <w:contextualSpacing/>
    </w:pPr>
  </w:style>
  <w:style w:type="paragraph" w:customStyle="1" w:styleId="15">
    <w:name w:val="TOC Heading"/>
    <w:basedOn w:val="2"/>
    <w:next w:val="1"/>
    <w:unhideWhenUsed/>
    <w:qFormat/>
    <w:uiPriority w:val="39"/>
    <w:pPr>
      <w:outlineLvl w:val="9"/>
    </w:pPr>
    <w:rPr>
      <w:rFonts w:asciiTheme="majorHAnsi" w:hAnsiTheme="majorHAnsi"/>
      <w:b w:val="0"/>
      <w:color w:val="2F5597" w:themeColor="accent1" w:themeShade="BF"/>
      <w:sz w:val="32"/>
    </w:rPr>
  </w:style>
  <w:style w:type="character" w:customStyle="1" w:styleId="16">
    <w:name w:val="Header Char"/>
    <w:basedOn w:val="4"/>
    <w:link w:val="7"/>
    <w:uiPriority w:val="99"/>
    <w:rPr>
      <w:lang w:val="en-US"/>
    </w:rPr>
  </w:style>
  <w:style w:type="character" w:customStyle="1" w:styleId="17">
    <w:name w:val="Footer Char"/>
    <w:basedOn w:val="4"/>
    <w:link w:val="6"/>
    <w:uiPriority w:val="99"/>
    <w:rPr>
      <w:lang w:val="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IEEE" Version="2006" SelectedStyle="\IEEE2006OfficeOnline.xsl"/>
</file>

<file path=customXml/itemProps1.xml><?xml version="1.0" encoding="utf-8"?>
<ds:datastoreItem xmlns:ds="http://schemas.openxmlformats.org/officeDocument/2006/customXml" ds:itemID="{93AE3D39-BF06-4E2B-8EA0-E1F8974ECDA7}">
  <ds:schemaRefs/>
</ds:datastoreItem>
</file>

<file path=docProps/app.xml><?xml version="1.0" encoding="utf-8"?>
<Properties xmlns="http://schemas.openxmlformats.org/officeDocument/2006/extended-properties" xmlns:vt="http://schemas.openxmlformats.org/officeDocument/2006/docPropsVTypes">
  <Template>Normal</Template>
  <Pages>12</Pages>
  <Words>2405</Words>
  <Characters>13714</Characters>
  <Lines>114</Lines>
  <Paragraphs>32</Paragraphs>
  <TotalTime>3</TotalTime>
  <ScaleCrop>false</ScaleCrop>
  <LinksUpToDate>false</LinksUpToDate>
  <CharactersWithSpaces>16087</CharactersWithSpaces>
  <Application>WPS Office_6.11.0.8615_F1E327BC-269C-435d-A152-05C5408002CA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2025-05-01T19:31:00Z</dcterms:created>
  <dcterms:modified xsi:type="dcterms:W3CDTF">2025-05-05T23:36:16Z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1033-6.11.0.8615</vt:lpwstr>
  </property>
  <property fmtid="{D5CDD505-2E9C-101B-9397-08002B2CF9AE}" pid="3" name="ICV">
    <vt:lpwstr>89916C0A388736E8502F19688AC0BEA4_42</vt:lpwstr>
  </property>
</Properties>
</file>