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color w:val="203864"/>
          <w:sz w:val="28"/>
        </w:rPr>
        <w:t>Business Administration Fundamentals</w:t>
      </w:r>
    </w:p>
    <w:p>
      <w:pPr>
        <w:spacing w:before="480" w:after="320"/>
        <w:jc w:val="center"/>
      </w:pPr>
      <w:r>
        <w:rPr>
          <w:rFonts w:ascii="Times New Roman" w:hAnsi="Times New Roman"/>
          <w:b/>
          <w:color w:val="1F1F1F"/>
          <w:sz w:val="40"/>
        </w:rPr>
        <w:t>Designing Distributed Authority: Organisational Structure for AI-Supported Decision Systems</w:t>
      </w:r>
    </w:p>
    <w:p>
      <w:pPr>
        <w:jc w:val="center"/>
      </w:pPr>
      <w:r>
        <w:rPr>
          <w:rFonts w:ascii="Times New Roman" w:hAnsi="Times New Roman"/>
          <w:i/>
          <w:color w:val="203864"/>
          <w:sz w:val="24"/>
        </w:rPr>
        <w:t>Option 2: Organisational Structure, Decision-Making and the Rise of AI</w:t>
      </w:r>
    </w:p>
    <w:p/>
    <w:p/>
    <w:p/>
    <w:p>
      <w:pPr>
        <w:spacing w:after="180"/>
        <w:jc w:val="center"/>
      </w:pPr>
      <w:r>
        <w:rPr>
          <w:rFonts w:ascii="Times New Roman" w:hAnsi="Times New Roman"/>
          <w:b w:val="0"/>
          <w:sz w:val="24"/>
        </w:rPr>
        <w:t>Student Name: ______________________________</w:t>
      </w:r>
    </w:p>
    <w:p>
      <w:pPr>
        <w:spacing w:after="180"/>
        <w:jc w:val="center"/>
      </w:pPr>
      <w:r>
        <w:rPr>
          <w:rFonts w:ascii="Times New Roman" w:hAnsi="Times New Roman"/>
          <w:b w:val="0"/>
          <w:sz w:val="24"/>
        </w:rPr>
        <w:t>Student ID: ________________________________</w:t>
      </w:r>
    </w:p>
    <w:p>
      <w:r>
        <w:br w:type="page"/>
      </w:r>
    </w:p>
    <w:p>
      <w:pPr>
        <w:pStyle w:val="TOCHeading"/>
        <w:spacing w:after="240"/>
        <w:jc w:val="center"/>
      </w:pPr>
      <w:r>
        <w:rPr>
          <w:rFonts w:ascii="Times New Roman" w:hAnsi="Times New Roman" w:eastAsia="Times New Roman"/>
          <w:b/>
          <w:color w:val="203864"/>
          <w:sz w:val="28"/>
        </w:rPr>
        <w:t>Table of Contents</w:t>
      </w:r>
    </w:p>
    <w:p>
      <w:pPr>
        <w:pStyle w:val="TOC1"/>
      </w:pPr>
      <w:r>
        <w:rPr>
          <w:rFonts w:ascii="Times New Roman" w:hAnsi="Times New Roman" w:eastAsia="Times New Roman"/>
          <w:b w:val="0"/>
          <w:sz w:val="24"/>
        </w:rPr>
        <w:fldChar w:fldCharType="begin" w:dirty="true"/>
        <w:instrText xml:space="preserve"> TOC \o "1-1" \h \z \u </w:instrText>
      </w:r>
      <w:r>
        <w:rPr>
          <w:rFonts w:ascii="Times New Roman" w:hAnsi="Times New Roman" w:eastAsia="Times New Roman"/>
          <w:b w:val="0"/>
          <w:sz w:val="24"/>
        </w:rPr>
        <w:fldChar w:fldCharType="separate"/>
      </w:r>
      <w:r>
        <w:rPr>
          <w:rFonts w:ascii="Times New Roman" w:hAnsi="Times New Roman" w:eastAsia="Times New Roman"/>
          <w:b w:val="0"/>
          <w:sz w:val="24"/>
        </w:rPr>
        <w:t>Abstract</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Introduction</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Literature Review</w:t>
      </w:r>
      <w:r>
        <w:rPr>
          <w:rFonts w:ascii="Times New Roman" w:hAnsi="Times New Roman" w:eastAsia="Times New Roman"/>
          <w:b w:val="0"/>
          <w:sz w:val="24"/>
        </w:rPr>
        <w:tab/>
      </w:r>
      <w:r>
        <w:rPr>
          <w:rFonts w:ascii="Times New Roman" w:hAnsi="Times New Roman" w:eastAsia="Times New Roman"/>
          <w:b w:val="0"/>
          <w:sz w:val="24"/>
        </w:rPr>
        <w:t>4</w:t>
      </w:r>
    </w:p>
    <w:p>
      <w:pPr>
        <w:pStyle w:val="TOC1"/>
      </w:pPr>
      <w:r>
        <w:rPr>
          <w:rFonts w:ascii="Times New Roman" w:hAnsi="Times New Roman" w:eastAsia="Times New Roman"/>
          <w:b w:val="0"/>
          <w:sz w:val="24"/>
        </w:rPr>
        <w:t>Methodology / Approach</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Findings / Analysis</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Discussion</w:t>
      </w:r>
      <w:r>
        <w:rPr>
          <w:rFonts w:ascii="Times New Roman" w:hAnsi="Times New Roman" w:eastAsia="Times New Roman"/>
          <w:b w:val="0"/>
          <w:sz w:val="24"/>
        </w:rPr>
        <w:tab/>
      </w:r>
      <w:r>
        <w:rPr>
          <w:rFonts w:ascii="Times New Roman" w:hAnsi="Times New Roman" w:eastAsia="Times New Roman"/>
          <w:b w:val="0"/>
          <w:sz w:val="24"/>
        </w:rPr>
        <w:t>13</w:t>
      </w:r>
    </w:p>
    <w:p>
      <w:pPr>
        <w:pStyle w:val="TOC1"/>
      </w:pPr>
      <w:r>
        <w:rPr>
          <w:rFonts w:ascii="Times New Roman" w:hAnsi="Times New Roman" w:eastAsia="Times New Roman"/>
          <w:b w:val="0"/>
          <w:sz w:val="24"/>
        </w:rPr>
        <w:t>Conclusion and Recommendations</w:t>
      </w:r>
      <w:r>
        <w:rPr>
          <w:rFonts w:ascii="Times New Roman" w:hAnsi="Times New Roman" w:eastAsia="Times New Roman"/>
          <w:b w:val="0"/>
          <w:sz w:val="24"/>
        </w:rPr>
        <w:tab/>
      </w:r>
      <w:r>
        <w:rPr>
          <w:rFonts w:ascii="Times New Roman" w:hAnsi="Times New Roman" w:eastAsia="Times New Roman"/>
          <w:b w:val="0"/>
          <w:sz w:val="24"/>
        </w:rPr>
        <w:t>14</w:t>
      </w:r>
    </w:p>
    <w:p>
      <w:pPr>
        <w:pStyle w:val="TOC1"/>
      </w:pPr>
      <w:r>
        <w:rPr>
          <w:rFonts w:ascii="Times New Roman" w:hAnsi="Times New Roman" w:eastAsia="Times New Roman"/>
          <w:b w:val="0"/>
          <w:sz w:val="24"/>
        </w:rPr>
        <w:t>References</w:t>
      </w:r>
      <w:r>
        <w:rPr>
          <w:rFonts w:ascii="Times New Roman" w:hAnsi="Times New Roman" w:eastAsia="Times New Roman"/>
          <w:b w:val="0"/>
          <w:sz w:val="24"/>
        </w:rPr>
        <w:tab/>
      </w:r>
      <w:r>
        <w:rPr>
          <w:rFonts w:ascii="Times New Roman" w:hAnsi="Times New Roman" w:eastAsia="Times New Roman"/>
          <w:b w:val="0"/>
          <w:sz w:val="24"/>
        </w:rPr>
        <w:t>15</w:t>
      </w:r>
    </w:p>
    <w:p>
      <w:pPr>
        <w:pStyle w:val="TOC1"/>
      </w:pPr>
      <w:r>
        <w:rPr>
          <w:rFonts w:ascii="Times New Roman" w:hAnsi="Times New Roman" w:eastAsia="Times New Roman"/>
          <w:b w:val="0"/>
          <w:sz w:val="24"/>
        </w:rPr>
        <w:t>Appendix A: Managerial Implementation Checklist</w:t>
      </w:r>
      <w:r>
        <w:rPr>
          <w:rFonts w:ascii="Times New Roman" w:hAnsi="Times New Roman" w:eastAsia="Times New Roman"/>
          <w:b w:val="0"/>
          <w:sz w:val="24"/>
        </w:rPr>
        <w:tab/>
      </w:r>
      <w:r>
        <w:rPr>
          <w:rFonts w:ascii="Times New Roman" w:hAnsi="Times New Roman" w:eastAsia="Times New Roman"/>
          <w:b w:val="0"/>
          <w:sz w:val="24"/>
        </w:rPr>
        <w:t>16</w:t>
      </w:r>
      <w:r>
        <w:rPr>
          <w:rFonts w:ascii="Times New Roman" w:hAnsi="Times New Roman" w:eastAsia="Times New Roman"/>
          <w:b w:val="0"/>
          <w:sz w:val="24"/>
        </w:rPr>
        <w:fldChar w:fldCharType="end"/>
      </w:r>
    </w:p>
    <w:p>
      <w:pPr>
        <w:spacing w:after="0"/>
      </w:pPr>
    </w:p>
    <w:p>
      <w:r>
        <w:br w:type="page"/>
      </w:r>
    </w:p>
    <w:p>
      <w:pPr>
        <w:pStyle w:val="Heading1"/>
        <w:keepNext/>
      </w:pPr>
      <w:r>
        <w:rPr>
          <w:rFonts w:ascii="Times New Roman" w:hAnsi="Times New Roman"/>
          <w:b/>
          <w:color w:val="203864"/>
          <w:sz w:val="28"/>
        </w:rPr>
        <w:t>Abstract</w:t>
      </w:r>
    </w:p>
    <w:p>
      <w:pPr>
        <w:keepLines w:val="0"/>
        <w:spacing w:line="480" w:lineRule="auto" w:after="0"/>
        <w:ind w:firstLine="432"/>
      </w:pPr>
      <w:r>
        <w:rPr>
          <w:rFonts w:ascii="Times New Roman" w:hAnsi="Times New Roman"/>
          <w:sz w:val="24"/>
        </w:rPr>
        <w:t>AI-supported decision systems require organisations to reconsider how authority, expertise and accountability are distributed. This report approaches the issue from a socio-technical design perspective. Classical structure theory explains why organisations differentiate specialised units, integrate interdependent work and create hierarchical mechanisms for handling uncertainty. AI adds a new source of agency that can recommend or execute actions without occupying a conventional position in the hierarchy. The analysis shows that this creates three design tensions: standardisation versus local discretion, speed versus deliberation, and data centralisation versus contextual knowledge. Evidence from studies of algorithmic implementation, platform work and professional AI use indicates that adoption succeeds when formal authority is matched by practical capacity to understand and challenge the system. The report proposes a distributed-authority architecture built around domain ownership, decision envelopes, escalation protocols, transparent logging and cross-functional model councils. The central conclusion is that AI should not be inserted into old structures as an invisible extra manager. Organisations need explicit structural roles for governing the technology and preserving professional judgement.</w:t>
      </w:r>
    </w:p>
    <w:p>
      <w:pPr>
        <w:pStyle w:val="Heading1"/>
        <w:keepNext/>
      </w:pPr>
      <w:r>
        <w:rPr>
          <w:rFonts w:ascii="Times New Roman" w:hAnsi="Times New Roman"/>
          <w:b/>
          <w:color w:val="203864"/>
          <w:sz w:val="28"/>
        </w:rPr>
        <w:t>Introduction</w:t>
      </w:r>
    </w:p>
    <w:p>
      <w:pPr>
        <w:keepLines w:val="0"/>
        <w:spacing w:line="480" w:lineRule="auto" w:after="0"/>
        <w:ind w:firstLine="432"/>
      </w:pPr>
      <w:r>
        <w:rPr>
          <w:rFonts w:ascii="Times New Roman" w:hAnsi="Times New Roman"/>
          <w:sz w:val="24"/>
        </w:rPr>
        <w:t>Organisation design is the deliberate arrangement of roles, authority and coordination mechanisms so that specialised work can contribute to a common purpose. Classical theories emphasise that structure follows strategy, environmental uncertainty and interdependence. Chandler (1962) links structural change to strategic expansion, Lawrence and Lorsch (1967) emphasise differentiation and integration, and Thompson (1967) explains how organisations buffer and coordinate interdependent activities. Artificial intelligence introduces a new design challenge because it can perform actions that resemble judgement without fitting neatly into a formal role.</w:t>
      </w:r>
    </w:p>
    <w:p>
      <w:pPr>
        <w:keepLines w:val="0"/>
        <w:spacing w:line="480" w:lineRule="auto" w:after="0"/>
        <w:ind w:firstLine="432"/>
      </w:pPr>
      <w:r>
        <w:rPr>
          <w:rFonts w:ascii="Times New Roman" w:hAnsi="Times New Roman"/>
          <w:sz w:val="24"/>
        </w:rPr>
        <w:t>An AI system can prioritise cases, recommend prices, flag employees, approve transactions or route work. These actions have structural consequences even when the system is described as 'decision support.' A recommendation that users rarely override may function as de facto authority. Conversely, a system may technically automate a decision but remain constrained by narrow rules and frequent human escalation. Effective analysis therefore needs to distinguish formal authority from enacted authority.</w:t>
      </w:r>
    </w:p>
    <w:p>
      <w:pPr>
        <w:keepLines w:val="0"/>
        <w:spacing w:line="480" w:lineRule="auto" w:after="0"/>
        <w:ind w:firstLine="432"/>
      </w:pPr>
      <w:r>
        <w:rPr>
          <w:rFonts w:ascii="Times New Roman" w:hAnsi="Times New Roman"/>
          <w:sz w:val="24"/>
        </w:rPr>
        <w:t>This report investigates how AI-supported decision systems affect organisational differentiation, integration and accountability. Its central claim is that firms need to design a distributed-authority architecture in which human and machine responsibilities are explicit. Without such design, AI can create invisible reporting lines, duplicate controls and accountability gaps. With it, organisations can gain speed and analytical depth while preserving the contextual judgement required for high-consequence decisions.</w:t>
      </w:r>
    </w:p>
    <w:p>
      <w:pPr>
        <w:pStyle w:val="Heading1"/>
        <w:keepNext/>
      </w:pPr>
      <w:r>
        <w:rPr>
          <w:rFonts w:ascii="Times New Roman" w:hAnsi="Times New Roman"/>
          <w:b/>
          <w:color w:val="203864"/>
          <w:sz w:val="28"/>
        </w:rPr>
        <w:t>Literature Review</w:t>
      </w:r>
    </w:p>
    <w:p>
      <w:pPr>
        <w:pStyle w:val="Heading2"/>
        <w:keepNext/>
      </w:pPr>
      <w:r>
        <w:rPr>
          <w:rFonts w:ascii="Times New Roman" w:hAnsi="Times New Roman"/>
          <w:b/>
          <w:color w:val="203864"/>
          <w:sz w:val="25"/>
        </w:rPr>
        <w:t>Structure, interdependence and integration</w:t>
      </w:r>
    </w:p>
    <w:p>
      <w:pPr>
        <w:keepLines w:val="0"/>
        <w:spacing w:line="480" w:lineRule="auto" w:after="0"/>
        <w:ind w:firstLine="432"/>
      </w:pPr>
      <w:r>
        <w:rPr>
          <w:rFonts w:ascii="Times New Roman" w:hAnsi="Times New Roman"/>
          <w:sz w:val="24"/>
        </w:rPr>
        <w:t>Thompson (1967) treats organisations as systems managing uncertainty and interdependence. Different technologies create pooled, sequential or reciprocal dependencies that require different coordination arrangements. AI can change the type and intensity of these dependencies. A recommendation engine may connect marketing, operations and finance through a shared model, increasing reciprocal interdependence because changes in one domain affect model outputs used elsewhere.</w:t>
      </w:r>
    </w:p>
    <w:p>
      <w:pPr>
        <w:keepLines w:val="0"/>
        <w:spacing w:line="480" w:lineRule="auto" w:after="0"/>
        <w:ind w:firstLine="432"/>
      </w:pPr>
      <w:r>
        <w:rPr>
          <w:rFonts w:ascii="Times New Roman" w:hAnsi="Times New Roman"/>
          <w:sz w:val="24"/>
        </w:rPr>
        <w:t>Lawrence and Lorsch (1967) show that differentiation creates a need for integration. Specialised AI teams, legal teams, data owners and operational units may interpret the same system differently. The technical team may focus on predictive accuracy, compliance on legal exposure, and business units on workflow performance. AI therefore increases the need for integrative roles and forums. Puranam (2018) likewise emphasises that organisation design involves division of labour and integration; AI changes both by taking on parts of tasks and by creating new dependencies between human and machine work.</w:t>
      </w:r>
    </w:p>
    <w:p>
      <w:pPr>
        <w:keepLines w:val="0"/>
        <w:spacing w:line="480" w:lineRule="auto" w:after="0"/>
        <w:ind w:firstLine="432"/>
      </w:pPr>
      <w:r>
        <w:rPr>
          <w:rFonts w:ascii="Times New Roman" w:hAnsi="Times New Roman"/>
          <w:sz w:val="24"/>
        </w:rPr>
        <w:t>Sociomaterial research also helps explain why structure cannot be separated from technology. Orlikowski and Scott (2008) argue that organisational practices emerge through entanglements of social and material arrangements, while Leonardi (2011) shows how human and material agencies become imbricated in routines. In AI adoption, this means authority is enacted through interfaces, defaults, thresholds and data access as much as through formal job descriptions.</w:t>
      </w:r>
    </w:p>
    <w:p>
      <w:pPr>
        <w:pStyle w:val="Heading2"/>
        <w:keepNext/>
      </w:pPr>
      <w:r>
        <w:rPr>
          <w:rFonts w:ascii="Times New Roman" w:hAnsi="Times New Roman"/>
          <w:b/>
          <w:color w:val="203864"/>
          <w:sz w:val="25"/>
        </w:rPr>
        <w:t>Algorithmic knowledge and professional judgement</w:t>
      </w:r>
    </w:p>
    <w:p>
      <w:pPr>
        <w:keepLines w:val="0"/>
        <w:spacing w:line="480" w:lineRule="auto" w:after="0"/>
        <w:ind w:firstLine="432"/>
      </w:pPr>
      <w:r>
        <w:rPr>
          <w:rFonts w:ascii="Times New Roman" w:hAnsi="Times New Roman"/>
          <w:sz w:val="24"/>
        </w:rPr>
        <w:t>Digitalisation increasingly makes data an organisational imperative. Schildt (2020) describes how data-driven management reshapes organising and work by changing what is visible and valuable. AI intensifies this process because decisions can be built around quantified predictions rather than explicit rules. This can challenge professional groups whose authority rests on experiential judgement.</w:t>
      </w:r>
    </w:p>
    <w:p>
      <w:pPr>
        <w:keepLines w:val="0"/>
        <w:spacing w:line="480" w:lineRule="auto" w:after="0"/>
        <w:ind w:firstLine="432"/>
      </w:pPr>
      <w:r>
        <w:rPr>
          <w:rFonts w:ascii="Times New Roman" w:hAnsi="Times New Roman"/>
          <w:sz w:val="24"/>
        </w:rPr>
        <w:t>Pachidi et al. (2021) show that introducing algorithmic technology can trigger conflict between different 'regimes of knowing.' Incumbent workers and technologists may disagree not only about a tool but about what counts as valid knowledge and who has the right to decide. This is a structural issue because epistemic authority often underpins formal authority.</w:t>
      </w:r>
    </w:p>
    <w:p>
      <w:pPr>
        <w:keepLines w:val="0"/>
        <w:spacing w:line="480" w:lineRule="auto" w:after="0"/>
        <w:ind w:firstLine="432"/>
      </w:pPr>
      <w:r>
        <w:rPr>
          <w:rFonts w:ascii="Times New Roman" w:hAnsi="Times New Roman"/>
          <w:sz w:val="24"/>
        </w:rPr>
        <w:t>Lebovitz et al. (2022), studying medical professionals using opaque AI, demonstrate that experts develop different ways of engaging with AI depending on uncertainty and perceived opacity. Their work shows why organisations should not force uniform reliance. Professionals need structures that support critical engagement, including access to contextual evidence and the ability to escalate when model output conflicts with domain knowledge.</w:t>
      </w:r>
    </w:p>
    <w:p>
      <w:pPr>
        <w:pStyle w:val="Heading1"/>
        <w:keepNext/>
      </w:pPr>
      <w:r>
        <w:rPr>
          <w:rFonts w:ascii="Times New Roman" w:hAnsi="Times New Roman"/>
          <w:b/>
          <w:color w:val="203864"/>
          <w:sz w:val="28"/>
        </w:rPr>
        <w:t>Methodology / Approach</w:t>
      </w:r>
    </w:p>
    <w:p>
      <w:pPr>
        <w:keepLines w:val="0"/>
        <w:spacing w:line="480" w:lineRule="auto" w:after="0"/>
        <w:ind w:firstLine="432"/>
      </w:pPr>
      <w:r>
        <w:rPr>
          <w:rFonts w:ascii="Times New Roman" w:hAnsi="Times New Roman"/>
          <w:sz w:val="24"/>
        </w:rPr>
        <w:t>The report uses an integrative conceptual review organised around structural design problems rather than technologies. Classical organisation theory provides the baseline concepts of differentiation, integration, interdependence and strategic fit. Contemporary research on algorithmic systems is then used to identify how decision support changes authority and work practices.</w:t>
      </w:r>
    </w:p>
    <w:p>
      <w:pPr>
        <w:keepLines w:val="0"/>
        <w:spacing w:line="480" w:lineRule="auto" w:after="0"/>
        <w:ind w:firstLine="432"/>
      </w:pPr>
      <w:r>
        <w:rPr>
          <w:rFonts w:ascii="Times New Roman" w:hAnsi="Times New Roman"/>
          <w:sz w:val="24"/>
        </w:rPr>
        <w:t>The analysis evaluates AI-supported decisions on four structural questions: Who owns the decision domain? What authority is delegated to the system? What evidence is visible to the user? What happens when human and machine judgements diverge? This framework is applied to recurring organisational settings including platform coordination, professional judgement and cross-functional decision systems. The objective is to develop a practical design model rather than to claim that a single structure suits all organisations.</w:t>
      </w:r>
    </w:p>
    <w:p>
      <w:pPr>
        <w:pStyle w:val="Heading1"/>
        <w:keepNext/>
      </w:pPr>
      <w:r>
        <w:rPr>
          <w:rFonts w:ascii="Times New Roman" w:hAnsi="Times New Roman"/>
          <w:b/>
          <w:color w:val="203864"/>
          <w:sz w:val="28"/>
        </w:rPr>
        <w:t>Findings / Analysis</w:t>
      </w:r>
    </w:p>
    <w:p>
      <w:pPr>
        <w:pStyle w:val="Heading2"/>
        <w:keepNext/>
      </w:pPr>
      <w:r>
        <w:rPr>
          <w:rFonts w:ascii="Times New Roman" w:hAnsi="Times New Roman"/>
          <w:b/>
          <w:color w:val="203864"/>
          <w:sz w:val="25"/>
        </w:rPr>
        <w:t>AI as an additional organisational actor</w:t>
      </w:r>
    </w:p>
    <w:p>
      <w:pPr>
        <w:keepLines w:val="0"/>
        <w:spacing w:line="480" w:lineRule="auto" w:after="0"/>
        <w:ind w:firstLine="432"/>
      </w:pPr>
      <w:r>
        <w:rPr>
          <w:rFonts w:ascii="Times New Roman" w:hAnsi="Times New Roman"/>
          <w:sz w:val="24"/>
        </w:rPr>
        <w:t>Traditional charts assume that decision authority belongs to positions or committees. AI complicates this assumption because it can initiate actions, update recommendations and influence behaviour continuously. From a practical perspective, any system that materially changes what people do should be treated as part of the authority structure. This does not mean granting machines legal responsibility; it means making their organisational role explicit.</w:t>
      </w:r>
    </w:p>
    <w:p>
      <w:pPr>
        <w:keepLines w:val="0"/>
        <w:spacing w:line="480" w:lineRule="auto" w:after="0"/>
        <w:ind w:firstLine="432"/>
      </w:pPr>
      <w:r>
        <w:rPr>
          <w:rFonts w:ascii="Times New Roman" w:hAnsi="Times New Roman"/>
          <w:sz w:val="24"/>
        </w:rPr>
        <w:t>A useful design device is a decision envelope. The envelope defines which classes of decision the AI can make or recommend, the data it may use, confidence thresholds, maximum consequence and circumstances requiring escalation. This converts a vague instruction to 'use AI' into a bounded delegation. It also makes it possible to audit whether the system is operating beyond its intended role.</w:t>
      </w:r>
    </w:p>
    <w:p>
      <w:pPr>
        <w:keepLines w:val="0"/>
        <w:spacing w:line="480" w:lineRule="auto" w:after="0"/>
        <w:ind w:firstLine="432"/>
      </w:pPr>
      <w:r>
        <w:rPr>
          <w:rFonts w:ascii="Times New Roman" w:hAnsi="Times New Roman"/>
          <w:sz w:val="24"/>
        </w:rPr>
        <w:t>The envelope should be owned by a named business domain, not only by the technical team. Thompson's (1967) focus on core technologies and interdependence supports this arrangement: operational units understand consequences, while technical teams understand model behaviour. Joint ownership prevents either side from treating the other as a service provider with no responsibility for outcomes.</w:t>
      </w:r>
    </w:p>
    <w:p>
      <w:pPr>
        <w:pStyle w:val="Heading2"/>
        <w:keepNext/>
      </w:pPr>
      <w:r>
        <w:rPr>
          <w:rFonts w:ascii="Times New Roman" w:hAnsi="Times New Roman"/>
          <w:b/>
          <w:color w:val="203864"/>
          <w:sz w:val="25"/>
        </w:rPr>
        <w:t>Differentiation: new roles and specialist units</w:t>
      </w:r>
    </w:p>
    <w:p>
      <w:pPr>
        <w:keepLines w:val="0"/>
        <w:spacing w:line="480" w:lineRule="auto" w:after="0"/>
        <w:ind w:firstLine="432"/>
      </w:pPr>
      <w:r>
        <w:rPr>
          <w:rFonts w:ascii="Times New Roman" w:hAnsi="Times New Roman"/>
          <w:sz w:val="24"/>
        </w:rPr>
        <w:t>AI adoption creates new forms of differentiation. Organisations may establish model-risk teams, AI product owners, data stewards, prompt or knowledge-engineering roles and ethics or compliance specialists. These roles are useful because AI systems cross traditional boundaries between IT and business decision making. Yet excessive specialisation can fragment responsibility.</w:t>
      </w:r>
    </w:p>
    <w:p>
      <w:pPr>
        <w:keepLines w:val="0"/>
        <w:spacing w:line="480" w:lineRule="auto" w:after="0"/>
        <w:ind w:firstLine="432"/>
      </w:pPr>
      <w:r>
        <w:rPr>
          <w:rFonts w:ascii="Times New Roman" w:hAnsi="Times New Roman"/>
          <w:sz w:val="24"/>
        </w:rPr>
        <w:t>The solution is not to centralise every AI decision in one centre of excellence. Lawrence and Lorsch (1967) suggest that differentiated units require integrating mechanisms proportionate to environmental complexity. A central team can set standards and provide expertise, while domain teams retain accountability for how AI affects customers, employees and operations. Cross-functional model councils can review high-impact systems, but routine low-risk decisions should remain close to the domain.</w:t>
      </w:r>
    </w:p>
    <w:p>
      <w:pPr>
        <w:keepLines w:val="0"/>
        <w:spacing w:line="480" w:lineRule="auto" w:after="0"/>
        <w:ind w:firstLine="432"/>
      </w:pPr>
      <w:r>
        <w:rPr>
          <w:rFonts w:ascii="Times New Roman" w:hAnsi="Times New Roman"/>
          <w:sz w:val="24"/>
        </w:rPr>
        <w:t>Puranam's (2018) distinction between task division and integration is relevant. Creating specialist AI roles solves a knowledge problem but creates a coordination problem. Organisations need explicit interfaces: who approves data use, who signs off deployment, who monitors performance and who can suspend the system. These interfaces should be documented before launch.</w:t>
      </w:r>
    </w:p>
    <w:p>
      <w:pPr>
        <w:pStyle w:val="Heading2"/>
        <w:keepNext/>
      </w:pPr>
      <w:r>
        <w:rPr>
          <w:rFonts w:ascii="Times New Roman" w:hAnsi="Times New Roman"/>
          <w:b/>
          <w:color w:val="203864"/>
          <w:sz w:val="25"/>
        </w:rPr>
        <w:t>Integration: data platforms, shared models and cross-functional dependencies</w:t>
      </w:r>
    </w:p>
    <w:p>
      <w:pPr>
        <w:keepLines w:val="0"/>
        <w:spacing w:line="480" w:lineRule="auto" w:after="0"/>
        <w:ind w:firstLine="432"/>
      </w:pPr>
      <w:r>
        <w:rPr>
          <w:rFonts w:ascii="Times New Roman" w:hAnsi="Times New Roman"/>
          <w:sz w:val="24"/>
        </w:rPr>
        <w:t>AI can integrate organisations by creating shared data and analytical platforms. A common demand model, for example, may inform finance, supply chain and marketing. This reduces inconsistent local forecasts and can create a shared language. However, shared models also create systemic coupling: an error or assumption can propagate across several functions.</w:t>
      </w:r>
    </w:p>
    <w:p>
      <w:pPr>
        <w:keepLines w:val="0"/>
        <w:spacing w:line="480" w:lineRule="auto" w:after="0"/>
        <w:ind w:firstLine="432"/>
      </w:pPr>
      <w:r>
        <w:rPr>
          <w:rFonts w:ascii="Times New Roman" w:hAnsi="Times New Roman"/>
          <w:sz w:val="24"/>
        </w:rPr>
        <w:t>This makes integration governance essential. Model outputs should carry provenance, version information and clear ownership so downstream users know what they are relying on. Schildt (2020) shows that datafication reshapes management by elevating quantified representations. Managers should remember that a shared metric simplifies reality; its convenience can conceal domain-specific differences.</w:t>
      </w:r>
    </w:p>
    <w:p>
      <w:pPr>
        <w:keepLines w:val="0"/>
        <w:spacing w:line="480" w:lineRule="auto" w:after="0"/>
        <w:ind w:firstLine="432"/>
      </w:pPr>
      <w:r>
        <w:rPr>
          <w:rFonts w:ascii="Times New Roman" w:hAnsi="Times New Roman"/>
          <w:sz w:val="24"/>
        </w:rPr>
        <w:t>Cross-functional forums should therefore focus on assumptions, not just performance numbers. If a demand model is recalibrated, operations needs to understand whether the change reflects customer behaviour, a data problem or a modelling choice. Integration is strongest when shared systems enable discussion rather than replacing it.</w:t>
      </w:r>
    </w:p>
    <w:p>
      <w:pPr>
        <w:pStyle w:val="Heading2"/>
        <w:keepNext/>
      </w:pPr>
      <w:r>
        <w:rPr>
          <w:rFonts w:ascii="Times New Roman" w:hAnsi="Times New Roman"/>
          <w:b/>
          <w:color w:val="203864"/>
          <w:sz w:val="25"/>
        </w:rPr>
        <w:t>Standardisation versus local discretion</w:t>
      </w:r>
    </w:p>
    <w:p>
      <w:pPr>
        <w:keepLines w:val="0"/>
        <w:spacing w:line="480" w:lineRule="auto" w:after="0"/>
        <w:ind w:firstLine="432"/>
      </w:pPr>
      <w:r>
        <w:rPr>
          <w:rFonts w:ascii="Times New Roman" w:hAnsi="Times New Roman"/>
          <w:sz w:val="24"/>
        </w:rPr>
        <w:t>AI systems are attractive because they can apply decision logic consistently. Consistency can reduce arbitrary variation and support scale, but it may also erase legitimate local differences. Leonardi (2011) helps explain this tension: technologies afford some actions and constrain others, while users adapt routines around those affordances. A rigid recommendation interface can narrow the space in which employees exercise judgement even if no formal rule prohibits deviation.</w:t>
      </w:r>
    </w:p>
    <w:p>
      <w:pPr>
        <w:keepLines w:val="0"/>
        <w:spacing w:line="480" w:lineRule="auto" w:after="0"/>
        <w:ind w:firstLine="432"/>
      </w:pPr>
      <w:r>
        <w:rPr>
          <w:rFonts w:ascii="Times New Roman" w:hAnsi="Times New Roman"/>
          <w:sz w:val="24"/>
        </w:rPr>
        <w:t>Pachidi et al. (2021) demonstrate how incumbent workers may initially resist algorithmic recommendations because they embody a different regime of knowing. Managers should not assume that resistance is ignorance. It may reveal contextual variables that the model does not capture. Structured override processes can transform disagreement into learning: the user records why the recommendation was rejected, and model owners periodically analyse override patterns.</w:t>
      </w:r>
    </w:p>
    <w:p>
      <w:pPr>
        <w:keepLines w:val="0"/>
        <w:spacing w:line="480" w:lineRule="auto" w:after="0"/>
        <w:ind w:firstLine="432"/>
      </w:pPr>
      <w:r>
        <w:rPr>
          <w:rFonts w:ascii="Times New Roman" w:hAnsi="Times New Roman"/>
          <w:sz w:val="24"/>
        </w:rPr>
        <w:t>Local discretion should therefore be designed, not left informal. The decision envelope can specify permissible deviation, documentation requirements and escalation. This retains standardisation where it is valuable while preserving professional judgement for atypical cases.</w:t>
      </w:r>
    </w:p>
    <w:p>
      <w:pPr>
        <w:pStyle w:val="Heading2"/>
        <w:keepNext/>
      </w:pPr>
      <w:r>
        <w:rPr>
          <w:rFonts w:ascii="Times New Roman" w:hAnsi="Times New Roman"/>
          <w:b/>
          <w:color w:val="203864"/>
          <w:sz w:val="25"/>
        </w:rPr>
        <w:t>Professional judgement, opacity and accountability</w:t>
      </w:r>
    </w:p>
    <w:p>
      <w:pPr>
        <w:keepLines w:val="0"/>
        <w:spacing w:line="480" w:lineRule="auto" w:after="0"/>
        <w:ind w:firstLine="432"/>
      </w:pPr>
      <w:r>
        <w:rPr>
          <w:rFonts w:ascii="Times New Roman" w:hAnsi="Times New Roman"/>
          <w:sz w:val="24"/>
        </w:rPr>
        <w:t>High-stakes professional work creates the sharpest structural challenge. Lebovitz et al. (2022) show that professionals using opaque AI need ways to decide when to engage with recommendations and how to interpret them under uncertainty. If an organisation simply instructs professionals to 'use the AI,' responsibility becomes ambiguous. If they follow the model and it is wrong, the professional may be blamed; if they override it and the outcome is poor, they may also be blamed.</w:t>
      </w:r>
    </w:p>
    <w:p>
      <w:pPr>
        <w:keepLines w:val="0"/>
        <w:spacing w:line="480" w:lineRule="auto" w:after="0"/>
        <w:ind w:firstLine="432"/>
      </w:pPr>
      <w:r>
        <w:rPr>
          <w:rFonts w:ascii="Times New Roman" w:hAnsi="Times New Roman"/>
          <w:sz w:val="24"/>
        </w:rPr>
        <w:t>A fair structure must align responsibility with authority and evidence. Professionals should be accountable for judgements only when they have meaningful access to relevant evidence and genuine discretion to depart from the system. Likewise, model owners should be accountable for documented limitations, monitoring and corrective action. This shared accountability is more realistic than pretending that either the human or machine acts alone.</w:t>
      </w:r>
    </w:p>
    <w:p>
      <w:pPr>
        <w:keepLines w:val="0"/>
        <w:spacing w:line="480" w:lineRule="auto" w:after="0"/>
        <w:ind w:firstLine="432"/>
      </w:pPr>
      <w:r>
        <w:rPr>
          <w:rFonts w:ascii="Times New Roman" w:hAnsi="Times New Roman"/>
          <w:sz w:val="24"/>
        </w:rPr>
        <w:t>Structural clarity also requires a stop mechanism. High-impact systems should have a named authority who can pause automated actions when data drift, unexpected errors or ethical concerns emerge. An organisation without a stop owner has delegated speed without retaining control.</w:t>
      </w:r>
    </w:p>
    <w:p>
      <w:pPr>
        <w:pStyle w:val="Heading2"/>
        <w:keepNext/>
      </w:pPr>
      <w:r>
        <w:rPr>
          <w:rFonts w:ascii="Times New Roman" w:hAnsi="Times New Roman"/>
          <w:b/>
          <w:color w:val="203864"/>
          <w:sz w:val="25"/>
        </w:rPr>
        <w:t>Platform work as a warning about invisible structure</w:t>
      </w:r>
    </w:p>
    <w:p>
      <w:pPr>
        <w:keepLines w:val="0"/>
        <w:spacing w:line="480" w:lineRule="auto" w:after="0"/>
        <w:ind w:firstLine="432"/>
      </w:pPr>
      <w:r>
        <w:rPr>
          <w:rFonts w:ascii="Times New Roman" w:hAnsi="Times New Roman"/>
          <w:sz w:val="24"/>
        </w:rPr>
        <w:t>Algorithmic management on labour platforms illustrates what happens when structural rules are embedded in software. Möhlmann et al. (2021) show that algorithms can combine matching and control, producing tensions around execution, compensation and belonging. The lesson extends beyond platform firms. Any organisation that uses AI to allocate work, rank performance or set incentives can create similar dynamics if employees cannot understand or contest the rules.</w:t>
      </w:r>
    </w:p>
    <w:p>
      <w:pPr>
        <w:keepLines w:val="0"/>
        <w:spacing w:line="480" w:lineRule="auto" w:after="0"/>
        <w:ind w:firstLine="432"/>
      </w:pPr>
      <w:r>
        <w:rPr>
          <w:rFonts w:ascii="Times New Roman" w:hAnsi="Times New Roman"/>
          <w:sz w:val="24"/>
        </w:rPr>
        <w:t>The structural risk is invisibility. Traditional supervision is visible: employees know who their manager is and can ask for reasons. Algorithmic supervision can be dispersed across interfaces, scores and automated prompts. This makes it harder to identify the source of authority. Organisations should counter this by naming policy owners and giving workers access to human review for consequential outcomes.</w:t>
      </w:r>
    </w:p>
    <w:p>
      <w:pPr>
        <w:keepLines w:val="0"/>
        <w:spacing w:line="480" w:lineRule="auto" w:after="0"/>
        <w:ind w:firstLine="432"/>
      </w:pPr>
      <w:r>
        <w:rPr>
          <w:rFonts w:ascii="Times New Roman" w:hAnsi="Times New Roman"/>
          <w:sz w:val="24"/>
        </w:rPr>
        <w:t>Used responsibly, algorithmic coordination can reduce administrative burden and improve responsiveness. The goal is to preserve these benefits while avoiding a structure in which software exercises managerial power without corresponding obligations.</w:t>
      </w:r>
    </w:p>
    <w:p>
      <w:pPr>
        <w:pStyle w:val="Heading2"/>
        <w:keepNext/>
      </w:pPr>
      <w:r>
        <w:rPr>
          <w:rFonts w:ascii="Times New Roman" w:hAnsi="Times New Roman"/>
          <w:b/>
          <w:color w:val="203864"/>
          <w:sz w:val="25"/>
        </w:rPr>
        <w:t>Implementation architecture and structural resilience</w:t>
      </w:r>
    </w:p>
    <w:p>
      <w:pPr>
        <w:keepLines w:val="0"/>
        <w:spacing w:line="480" w:lineRule="auto" w:after="0"/>
        <w:ind w:firstLine="432"/>
      </w:pPr>
      <w:r>
        <w:rPr>
          <w:rFonts w:ascii="Times New Roman" w:hAnsi="Times New Roman"/>
          <w:sz w:val="24"/>
        </w:rPr>
        <w:t>Distributed authority becomes workable only when governance mechanisms are embedded in everyday routines. A decision envelope should therefore be more than a technical configuration document. It should state the business purpose, authorised data, affected stakeholders, decision consequence, expected error types, override rights and escalation path in language that operational users can understand. This design translates abstract accountability into concrete behaviour. When the system changes, the envelope should be reviewed as part of change control because a model update can alter practical authority even when the formal policy is unchanged.</w:t>
      </w:r>
    </w:p>
    <w:p>
      <w:pPr>
        <w:keepLines w:val="0"/>
        <w:spacing w:line="480" w:lineRule="auto" w:after="0"/>
        <w:ind w:firstLine="432"/>
      </w:pPr>
      <w:r>
        <w:rPr>
          <w:rFonts w:ascii="Times New Roman" w:hAnsi="Times New Roman"/>
          <w:sz w:val="24"/>
        </w:rPr>
        <w:t>The design also needs separation of responsibilities without fragmentation. A domain owner understands customer, employee or operational consequences; a model owner understands data and technical behaviour; risk and legal specialists understand external obligations. None of these roles should independently control a high-impact system. Lawrence and Lorsch (1967) show that differentiation creates a corresponding need for integration. A cross-functional model council can provide this integration, but its purpose should be specific: review assumptions, approve material changes, examine incident patterns and resolve ownership disputes. It should not become a ceremonial committee that simply receives performance slides.</w:t>
      </w:r>
    </w:p>
    <w:p>
      <w:pPr>
        <w:keepLines w:val="0"/>
        <w:spacing w:line="480" w:lineRule="auto" w:after="0"/>
        <w:ind w:firstLine="432"/>
      </w:pPr>
      <w:r>
        <w:rPr>
          <w:rFonts w:ascii="Times New Roman" w:hAnsi="Times New Roman"/>
          <w:sz w:val="24"/>
        </w:rPr>
        <w:t>Resilience requires a credible mechanism for interruption. Automated systems are attractive partly because they operate continuously and at scale. Those same characteristics can propagate error quickly. The organisation should define trigger conditions for slowing, narrowing or suspending automated action, such as unexpected distribution shifts, abnormal complaint rates, a material data-quality failure or evidence of discriminatory outcomes. The stop authority must have both formal permission and practical access to intervene. This is a structural control analogous to emergency authority in other high-consequence operating systems.</w:t>
      </w:r>
    </w:p>
    <w:p>
      <w:pPr>
        <w:keepLines w:val="0"/>
        <w:spacing w:line="480" w:lineRule="auto" w:after="0"/>
        <w:ind w:firstLine="432"/>
      </w:pPr>
      <w:r>
        <w:rPr>
          <w:rFonts w:ascii="Times New Roman" w:hAnsi="Times New Roman"/>
          <w:sz w:val="24"/>
        </w:rPr>
        <w:t>Local discretion is equally important. Pachidi et al. (2021) show that algorithmic change can produce conflict between different regimes of knowing. When local experts repeatedly override a system, the organisation has at least three possible explanations: the experts are resisting a valid method, the model is missing context, or the formal process has not integrated the two knowledge sources effectively. Treating every override as non-compliance prevents learning. A better mechanism classifies override reasons and reviews patterns across teams, turning disagreement into evidence about structural fit.</w:t>
      </w:r>
    </w:p>
    <w:p>
      <w:pPr>
        <w:keepLines w:val="0"/>
        <w:spacing w:line="480" w:lineRule="auto" w:after="0"/>
        <w:ind w:firstLine="432"/>
      </w:pPr>
      <w:r>
        <w:rPr>
          <w:rFonts w:ascii="Times New Roman" w:hAnsi="Times New Roman"/>
          <w:sz w:val="24"/>
        </w:rPr>
        <w:t>Professional work illustrates why this matters. Lebovitz et al. (2022) show that engagement with opaque AI varies according to uncertainty and the user's ability to make sense of the recommendation. An organisation that demands uniform reliance ignores this variation. Decision envelopes can instead differentiate between routine cases, where AI guidance may be strongly standardised, and ambiguous cases, where professional discretion and second review are required. Responsibility is then aligned with the information available at the point of action.</w:t>
      </w:r>
    </w:p>
    <w:p>
      <w:pPr>
        <w:keepLines w:val="0"/>
        <w:spacing w:line="480" w:lineRule="auto" w:after="0"/>
        <w:ind w:firstLine="432"/>
      </w:pPr>
      <w:r>
        <w:rPr>
          <w:rFonts w:ascii="Times New Roman" w:hAnsi="Times New Roman"/>
          <w:sz w:val="24"/>
        </w:rPr>
        <w:t>The architecture should also include employee and stakeholder voice. Möhlmann et al. (2021) demonstrate that algorithmic management can produce tensions involving control and belonging. Workers affected by automated scheduling, ranking or allocation systems often encounter the practical consequences before governance teams see them in metrics. Structured feedback channels, appeal routes and periodic user panels can therefore function as sensors for design failure. These mechanisms are not merely participatory gestures; they improve the organisation's information-processing capacity.</w:t>
      </w:r>
    </w:p>
    <w:p>
      <w:pPr>
        <w:keepLines w:val="0"/>
        <w:spacing w:line="480" w:lineRule="auto" w:after="0"/>
        <w:ind w:firstLine="432"/>
      </w:pPr>
      <w:r>
        <w:rPr>
          <w:rFonts w:ascii="Times New Roman" w:hAnsi="Times New Roman"/>
          <w:sz w:val="24"/>
        </w:rPr>
        <w:t>Finally, structural effectiveness should be evaluated with a balanced set of measures. Speed and cost are necessary but incomplete. Organisations should also track override quality, escalation volume, time to resolve contested decisions, recurring model incidents, employee comprehension of decision rules and the distribution of adverse outcomes. Puranam (2018) emphasises that organisation design must solve both division-of-labour and integration problems. AI-enabled structure succeeds when it makes decisions faster while maintaining integration, learning and clear responsibility under changing conditions.</w:t>
      </w:r>
    </w:p>
    <w:p>
      <w:pPr>
        <w:keepNext/>
        <w:spacing w:before="120" w:after="100"/>
      </w:pPr>
      <w:r>
        <w:rPr>
          <w:rFonts w:ascii="Times New Roman" w:hAnsi="Times New Roman"/>
          <w:b/>
          <w:i/>
          <w:color w:val="203864"/>
          <w:sz w:val="21"/>
        </w:rPr>
        <w:t>Table 1. Distributed-authority architecture for AI-supported decisions</w:t>
      </w:r>
    </w:p>
    <w:tbl>
      <w:tblPr>
        <w:tblW w:type="auto" w:w="0"/>
        <w:jc w:val="center"/>
        <w:tblLayout w:type="fixed"/>
        <w:tblLook w:firstColumn="1" w:firstRow="1" w:lastColumn="0" w:lastRow="0" w:noHBand="0" w:noVBand="1" w:val="04A0"/>
      </w:tblPr>
      <w:tblGrid>
        <w:gridCol w:w="1800"/>
        <w:gridCol w:w="3528"/>
        <w:gridCol w:w="4032"/>
      </w:tblGrid>
      <w:tr>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Design element</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Purpose</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Example control</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Decision envelope</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Bound AI authority to a defined domain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Confidence, consequence and escalation thresholds</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Dual ownership</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Combine business context with technical accountability</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Named domain owner plus model owner</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Integration forum</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Coordinate cross-functional dependencies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Model council for high-impact systems</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Override mechanism</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Preserve local judgement and learning</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Reason-coded override with periodic review</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Stop authority</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Prevent uncontrolled propagation of failure</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Named role empowered to pause automated action</w:t>
            </w:r>
          </w:p>
        </w:tc>
      </w:tr>
    </w:tbl>
    <w:p>
      <w:pPr>
        <w:spacing w:after="0"/>
      </w:pPr>
    </w:p>
    <w:p>
      <w:pPr>
        <w:pStyle w:val="Heading1"/>
        <w:keepNext/>
      </w:pPr>
      <w:r>
        <w:rPr>
          <w:rFonts w:ascii="Times New Roman" w:hAnsi="Times New Roman"/>
          <w:b/>
          <w:color w:val="203864"/>
          <w:sz w:val="28"/>
        </w:rPr>
        <w:t>Discussion</w:t>
      </w:r>
    </w:p>
    <w:p>
      <w:pPr>
        <w:keepLines w:val="0"/>
        <w:spacing w:line="480" w:lineRule="auto" w:after="0"/>
        <w:ind w:firstLine="432"/>
      </w:pPr>
      <w:r>
        <w:rPr>
          <w:rFonts w:ascii="Times New Roman" w:hAnsi="Times New Roman"/>
          <w:sz w:val="24"/>
        </w:rPr>
        <w:t>The findings suggest that AI adds a layer of organisational agency that must be designed explicitly. Treating AI as neutral infrastructure is inadequate when outputs shape resource allocation, professional judgement or employee evaluation. The correct structural response is not necessarily a new department; it is a clear architecture of domain ownership, delegated authority and escalation.</w:t>
      </w:r>
    </w:p>
    <w:p>
      <w:pPr>
        <w:keepLines w:val="0"/>
        <w:spacing w:line="480" w:lineRule="auto" w:after="0"/>
        <w:ind w:firstLine="432"/>
      </w:pPr>
      <w:r>
        <w:rPr>
          <w:rFonts w:ascii="Times New Roman" w:hAnsi="Times New Roman"/>
          <w:sz w:val="24"/>
        </w:rPr>
        <w:t>A distributed-authority model is preferable to both extremes of full centralisation and uncontrolled decentralisation. Central standards are useful for security, data governance and model risk, while domain-level ownership is necessary for context and accountability. Cross-functional councils provide integration for high-impact systems, and local override mechanisms preserve learning. This combination reflects classical contingency logic: integration mechanisms should increase with differentiation and uncertainty.</w:t>
      </w:r>
    </w:p>
    <w:p>
      <w:pPr>
        <w:keepLines w:val="0"/>
        <w:spacing w:line="480" w:lineRule="auto" w:after="0"/>
        <w:ind w:firstLine="432"/>
      </w:pPr>
      <w:r>
        <w:rPr>
          <w:rFonts w:ascii="Times New Roman" w:hAnsi="Times New Roman"/>
          <w:sz w:val="24"/>
        </w:rPr>
        <w:t>The model also reframes transparency. Full technical explainability is sometimes impossible or unnecessary, but practical accountability is always necessary. Users need enough information to know what role the system plays, what inputs matter, how reliable it is in relevant conditions and where to appeal. Structure should make those answers easy to locate.</w:t>
      </w:r>
    </w:p>
    <w:p>
      <w:pPr>
        <w:pStyle w:val="Heading2"/>
        <w:keepNext/>
      </w:pPr>
      <w:r>
        <w:rPr>
          <w:rFonts w:ascii="Times New Roman" w:hAnsi="Times New Roman"/>
          <w:b/>
          <w:color w:val="203864"/>
          <w:sz w:val="25"/>
        </w:rPr>
        <w:t>Sequencing structural change</w:t>
      </w:r>
    </w:p>
    <w:p>
      <w:pPr>
        <w:keepLines w:val="0"/>
        <w:spacing w:line="480" w:lineRule="auto" w:after="0"/>
        <w:ind w:firstLine="432"/>
      </w:pPr>
      <w:r>
        <w:rPr>
          <w:rFonts w:ascii="Times New Roman" w:hAnsi="Times New Roman"/>
          <w:sz w:val="24"/>
        </w:rPr>
        <w:t>Structural redesign should be sequenced rather than launched as a single enterprise-wide change. A sensible first stage maps current decision rights and identifies where AI already influences action informally. The second stage selects a limited set of decisions and establishes envelopes, ownership and escalation rules. The third stage tests these arrangements under real operating conditions, including deliberately examining edge cases and conflicting recommendations. Only after the organisation has evidence about workload, override behaviour and incident response should it extend the architecture to additional domains.</w:t>
      </w:r>
    </w:p>
    <w:p>
      <w:pPr>
        <w:keepLines w:val="0"/>
        <w:spacing w:line="480" w:lineRule="auto" w:after="0"/>
        <w:ind w:firstLine="432"/>
      </w:pPr>
      <w:r>
        <w:rPr>
          <w:rFonts w:ascii="Times New Roman" w:hAnsi="Times New Roman"/>
          <w:sz w:val="24"/>
        </w:rPr>
        <w:t>This sequence reduces the risk of designing governance that looks complete on paper but fails under pressure. It also allows integration mechanisms to grow with actual differentiation. Lawrence and Lorsch (1967) argue that organisations facing complex environments need both specialised units and effective integration; premature centralisation can suppress local knowledge, whereas uncoordinated decentralisation can create inconsistent standards. Piloted structural change provides evidence for locating the appropriate balance.</w:t>
      </w:r>
    </w:p>
    <w:p>
      <w:pPr>
        <w:keepLines w:val="0"/>
        <w:spacing w:line="480" w:lineRule="auto" w:after="0"/>
        <w:ind w:firstLine="432"/>
      </w:pPr>
      <w:r>
        <w:rPr>
          <w:rFonts w:ascii="Times New Roman" w:hAnsi="Times New Roman"/>
          <w:sz w:val="24"/>
        </w:rPr>
        <w:t>Change communication should explain why new roles and controls exist. Employees may otherwise interpret model councils, logging or escalation procedures as bureaucracy imposed on top of AI. Leaders should connect each mechanism to a concrete risk or learning need: decision envelopes clarify authority, logs enable review, and stop rights prevent rapid propagation of error. When users understand this logic, governance is more likely to function as part of the operating model rather than as paperwork completed around it.</w:t>
      </w:r>
    </w:p>
    <w:p>
      <w:pPr>
        <w:pStyle w:val="Heading1"/>
        <w:keepNext/>
      </w:pPr>
      <w:r>
        <w:rPr>
          <w:rFonts w:ascii="Times New Roman" w:hAnsi="Times New Roman"/>
          <w:b/>
          <w:color w:val="203864"/>
          <w:sz w:val="28"/>
        </w:rPr>
        <w:t>Conclusion and Recommendations</w:t>
      </w:r>
    </w:p>
    <w:p>
      <w:pPr>
        <w:keepLines w:val="0"/>
        <w:spacing w:line="480" w:lineRule="auto" w:after="0"/>
        <w:ind w:firstLine="432"/>
      </w:pPr>
      <w:r>
        <w:rPr>
          <w:rFonts w:ascii="Times New Roman" w:hAnsi="Times New Roman"/>
          <w:sz w:val="24"/>
        </w:rPr>
        <w:t>AI-supported decision systems can make organisations faster and more analytically capable, but they also create invisible authority if inserted into existing workflows without structural redesign. Classical organisation theory remains valuable because AI does not remove differentiation, interdependence or uncertainty; it changes how they are managed.</w:t>
      </w:r>
    </w:p>
    <w:p>
      <w:pPr>
        <w:keepLines w:val="0"/>
        <w:spacing w:line="480" w:lineRule="auto" w:after="0"/>
        <w:ind w:firstLine="432"/>
      </w:pPr>
      <w:r>
        <w:rPr>
          <w:rFonts w:ascii="Times New Roman" w:hAnsi="Times New Roman"/>
          <w:sz w:val="24"/>
        </w:rPr>
        <w:t>Six recommendations follow. First, create decision envelopes that define the scope, consequence and escalation rules of each significant AI system. Second, assign a business-domain owner and a technical owner so operational and model responsibilities are both visible. Third, establish cross-functional governance for high-impact systems while keeping low-risk decisions close to the work. Fourth, provide structured override mechanisms and analyse overrides as organisational learning data. Fifth, align accountability with actual authority and evidence, especially in professional work. Sixth, designate a clear stop authority who can suspend automated decisions when risk signals emerge.</w:t>
      </w:r>
    </w:p>
    <w:p>
      <w:pPr>
        <w:keepLines w:val="0"/>
        <w:spacing w:line="480" w:lineRule="auto" w:after="0"/>
        <w:ind w:firstLine="432"/>
      </w:pPr>
      <w:r>
        <w:rPr>
          <w:rFonts w:ascii="Times New Roman" w:hAnsi="Times New Roman"/>
          <w:sz w:val="24"/>
        </w:rPr>
        <w:t>The strongest AI-enabled structure is not the one with the most automation. It is the one in which every consequential decision has a visible owner, every delegated authority has boundaries and every affected stakeholder has a credible path to human review.</w:t>
      </w:r>
    </w:p>
    <w:p>
      <w:pPr>
        <w:pStyle w:val="Heading1"/>
        <w:keepNext/>
      </w:pPr>
      <w:r>
        <w:rPr>
          <w:rFonts w:ascii="Times New Roman" w:hAnsi="Times New Roman"/>
          <w:b/>
          <w:color w:val="203864"/>
          <w:sz w:val="28"/>
        </w:rPr>
        <w:t>References</w:t>
      </w:r>
    </w:p>
    <w:p>
      <w:pPr>
        <w:spacing w:line="480" w:lineRule="auto" w:after="0"/>
        <w:ind w:left="432" w:hanging="432"/>
      </w:pPr>
      <w:r>
        <w:rPr>
          <w:rFonts w:ascii="Times New Roman" w:hAnsi="Times New Roman"/>
          <w:sz w:val="23"/>
        </w:rPr>
        <w:t>Chandler, A. D., Jr. (1962). Strategy and structure: Chapters in the history of the industrial enterprise. MIT Press.</w:t>
      </w:r>
    </w:p>
    <w:p>
      <w:pPr>
        <w:spacing w:line="480" w:lineRule="auto" w:after="0"/>
        <w:ind w:left="432" w:hanging="432"/>
      </w:pPr>
      <w:r>
        <w:rPr>
          <w:rFonts w:ascii="Times New Roman" w:hAnsi="Times New Roman"/>
          <w:sz w:val="23"/>
        </w:rPr>
        <w:t>Lawrence, P. R., &amp; Lorsch, J. W. (1967). Organization and environment: Managing differentiation and integration. Harvard University.</w:t>
      </w:r>
    </w:p>
    <w:p>
      <w:pPr>
        <w:spacing w:line="480" w:lineRule="auto" w:after="0"/>
        <w:ind w:left="432" w:hanging="432"/>
      </w:pPr>
      <w:r>
        <w:rPr>
          <w:rFonts w:ascii="Times New Roman" w:hAnsi="Times New Roman"/>
          <w:sz w:val="23"/>
        </w:rPr>
        <w:t>Lebovitz, S., Lifshitz-Assaf, H., &amp; Levina, N. (2022). To engage or not to engage with AI for critical judgments: How professionals deal with opacity when using AI for medical diagnosis. Organization Science, 33(1), 126-148. https://doi.org/10.1287/orsc.2021.1549</w:t>
      </w:r>
    </w:p>
    <w:p>
      <w:pPr>
        <w:spacing w:line="480" w:lineRule="auto" w:after="0"/>
        <w:ind w:left="432" w:hanging="432"/>
      </w:pPr>
      <w:r>
        <w:rPr>
          <w:rFonts w:ascii="Times New Roman" w:hAnsi="Times New Roman"/>
          <w:sz w:val="23"/>
        </w:rPr>
        <w:t>Leonardi, P. M. (2011). When flexible routines meet flexible technologies: Affordance, constraint, and the imbrication of human and material agencies. MIS Quarterly, 35(1), 147-167.</w:t>
      </w:r>
    </w:p>
    <w:p>
      <w:pPr>
        <w:spacing w:line="480" w:lineRule="auto" w:after="0"/>
        <w:ind w:left="432" w:hanging="432"/>
      </w:pPr>
      <w:r>
        <w:rPr>
          <w:rFonts w:ascii="Times New Roman" w:hAnsi="Times New Roman"/>
          <w:sz w:val="23"/>
        </w:rPr>
        <w:t>Möhlmann, M., Zalmanson, L., Henfridsson, O., &amp; Gregory, R. W. (2021). Algorithmic management of work on online labor platforms: When matching meets control. MIS Quarterly, 45(4), 1999-2022. https://doi.org/10.25300/MISQ/2021/15333</w:t>
      </w:r>
    </w:p>
    <w:p>
      <w:pPr>
        <w:spacing w:line="480" w:lineRule="auto" w:after="0"/>
        <w:ind w:left="432" w:hanging="432"/>
      </w:pPr>
      <w:r>
        <w:rPr>
          <w:rFonts w:ascii="Times New Roman" w:hAnsi="Times New Roman"/>
          <w:sz w:val="23"/>
        </w:rPr>
        <w:t>Orlikowski, W. J., &amp; Scott, S. V. (2008). Sociomateriality: Challenging the separation of technology, work and organization. Academy of Management Annals, 2(1), 433-474.</w:t>
      </w:r>
    </w:p>
    <w:p>
      <w:pPr>
        <w:spacing w:line="480" w:lineRule="auto" w:after="0"/>
        <w:ind w:left="432" w:hanging="432"/>
      </w:pPr>
      <w:r>
        <w:rPr>
          <w:rFonts w:ascii="Times New Roman" w:hAnsi="Times New Roman"/>
          <w:sz w:val="23"/>
        </w:rPr>
        <w:t>Pachidi, S., Berends, H., Faraj, S., &amp; Huysman, M. (2021). Make way for the algorithms: Symbolic actions and change in a regime of knowing. Organization Science, 32(1), 18-41. https://doi.org/10.1287/orsc.2020.1377</w:t>
      </w:r>
    </w:p>
    <w:p>
      <w:pPr>
        <w:spacing w:line="480" w:lineRule="auto" w:after="0"/>
        <w:ind w:left="432" w:hanging="432"/>
      </w:pPr>
      <w:r>
        <w:rPr>
          <w:rFonts w:ascii="Times New Roman" w:hAnsi="Times New Roman"/>
          <w:sz w:val="23"/>
        </w:rPr>
        <w:t>Puranam, P. (2018). The microstructure of organizations. Oxford University Press.</w:t>
      </w:r>
    </w:p>
    <w:p>
      <w:pPr>
        <w:spacing w:line="480" w:lineRule="auto" w:after="0"/>
        <w:ind w:left="432" w:hanging="432"/>
      </w:pPr>
      <w:r>
        <w:rPr>
          <w:rFonts w:ascii="Times New Roman" w:hAnsi="Times New Roman"/>
          <w:sz w:val="23"/>
        </w:rPr>
        <w:t>Schildt, H. (2020). The data imperative: How digitalization is reshaping management, organizing, and work. Oxford University Press.</w:t>
      </w:r>
    </w:p>
    <w:p>
      <w:pPr>
        <w:spacing w:line="480" w:lineRule="auto" w:after="0"/>
        <w:ind w:left="432" w:hanging="432"/>
      </w:pPr>
      <w:r>
        <w:rPr>
          <w:rFonts w:ascii="Times New Roman" w:hAnsi="Times New Roman"/>
          <w:sz w:val="23"/>
        </w:rPr>
        <w:t>Thompson, J. D. (1967). Organizations in action: Social science bases of administrative theory. McGraw-Hill.</w:t>
      </w:r>
    </w:p>
    <w:p>
      <w:pPr>
        <w:pStyle w:val="Heading1"/>
        <w:keepNext/>
      </w:pPr>
      <w:r>
        <w:rPr>
          <w:rFonts w:ascii="Times New Roman" w:hAnsi="Times New Roman"/>
          <w:b/>
          <w:color w:val="203864"/>
          <w:sz w:val="28"/>
        </w:rPr>
        <w:t>Appendix A: Managerial Implementation Checklist</w:t>
      </w:r>
    </w:p>
    <w:p>
      <w:pPr>
        <w:pStyle w:val="ListBullet"/>
        <w:spacing w:line="360" w:lineRule="auto" w:after="60"/>
        <w:ind w:firstLine="0"/>
      </w:pPr>
      <w:r>
        <w:rPr>
          <w:rFonts w:ascii="Times New Roman" w:hAnsi="Times New Roman"/>
          <w:sz w:val="22"/>
        </w:rPr>
        <w:t>Define the decision or people/process outcome before choosing the AI tool.</w:t>
      </w:r>
    </w:p>
    <w:p>
      <w:pPr>
        <w:pStyle w:val="ListBullet"/>
        <w:spacing w:line="360" w:lineRule="auto" w:after="60"/>
        <w:ind w:firstLine="0"/>
      </w:pPr>
      <w:r>
        <w:rPr>
          <w:rFonts w:ascii="Times New Roman" w:hAnsi="Times New Roman"/>
          <w:sz w:val="22"/>
        </w:rPr>
        <w:t>Name the accountable business owner and the technical/model owner.</w:t>
      </w:r>
    </w:p>
    <w:p>
      <w:pPr>
        <w:pStyle w:val="ListBullet"/>
        <w:spacing w:line="360" w:lineRule="auto" w:after="60"/>
        <w:ind w:firstLine="0"/>
      </w:pPr>
      <w:r>
        <w:rPr>
          <w:rFonts w:ascii="Times New Roman" w:hAnsi="Times New Roman"/>
          <w:sz w:val="22"/>
        </w:rPr>
        <w:t>Document data sources, limitations, affected stakeholders and expected error modes.</w:t>
      </w:r>
    </w:p>
    <w:p>
      <w:pPr>
        <w:pStyle w:val="ListBullet"/>
        <w:spacing w:line="360" w:lineRule="auto" w:after="60"/>
        <w:ind w:firstLine="0"/>
      </w:pPr>
      <w:r>
        <w:rPr>
          <w:rFonts w:ascii="Times New Roman" w:hAnsi="Times New Roman"/>
          <w:sz w:val="22"/>
        </w:rPr>
        <w:t>Specify which outputs are advisory, which are automated and which require human approval.</w:t>
      </w:r>
    </w:p>
    <w:p>
      <w:pPr>
        <w:pStyle w:val="ListBullet"/>
        <w:spacing w:line="360" w:lineRule="auto" w:after="60"/>
        <w:ind w:firstLine="0"/>
      </w:pPr>
      <w:r>
        <w:rPr>
          <w:rFonts w:ascii="Times New Roman" w:hAnsi="Times New Roman"/>
          <w:sz w:val="22"/>
        </w:rPr>
        <w:t>Create an escalation and appeal route for unusual or consequential cases.</w:t>
      </w:r>
    </w:p>
    <w:p>
      <w:pPr>
        <w:pStyle w:val="ListBullet"/>
        <w:spacing w:line="360" w:lineRule="auto" w:after="60"/>
        <w:ind w:firstLine="0"/>
      </w:pPr>
      <w:r>
        <w:rPr>
          <w:rFonts w:ascii="Times New Roman" w:hAnsi="Times New Roman"/>
          <w:sz w:val="22"/>
        </w:rPr>
        <w:t>Monitor technical performance together with behavioural, fairness and trust indicators.</w:t>
      </w:r>
    </w:p>
    <w:p>
      <w:pPr>
        <w:pStyle w:val="ListBullet"/>
        <w:spacing w:line="360" w:lineRule="auto" w:after="60"/>
        <w:ind w:firstLine="0"/>
      </w:pPr>
      <w:r>
        <w:rPr>
          <w:rFonts w:ascii="Times New Roman" w:hAnsi="Times New Roman"/>
          <w:sz w:val="22"/>
        </w:rPr>
        <w:t>Review the system periodically and retire or redesign it when assumptions no longer hold.</w:t>
      </w:r>
    </w:p>
    <w:sectPr w:rsidR="00FC693F" w:rsidRPr="0006063C" w:rsidSect="00034616">
      <w:footerReference w:type="default" r:id="rId9"/>
      <w:pgSz w:w="12240" w:h="15840"/>
      <w:pgMar w:top="1224"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Times New Roman" w:hAnsi="Times New Roman"/>
      <w:b/>
      <w:bCs/>
      <w:color w:val="203864"/>
      <w:sz w:val="28"/>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Times New Roman" w:hAnsi="Times New Roman"/>
      <w:b/>
      <w:bCs/>
      <w:color w:val="203864"/>
      <w:sz w:val="25"/>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Times New Roman" w:hAnsi="Times New Roman"/>
      <w:b/>
      <w:bCs/>
      <w:color w:val="20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20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0" w:line="480" w:lineRule="auto"/>
      <w:ind w:firstLine="432"/>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9000" w:val="right" w:leader="dot"/>
      </w:tabs>
      <w:spacing w:before="0" w:after="40" w:line="240" w:lineRule="auto"/>
      <w:ind w:left="0" w:right="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Distributed Authority: Organisational Structure for AI-Supported Decision Systems</dc:title>
  <dc:subject>Business Administration Fundamentals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