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BD1B94">
      <w:pPr>
        <w:jc w:val="center"/>
        <w:rPr>
          <w:b/>
          <w:bCs/>
          <w:sz w:val="48"/>
          <w:szCs w:val="48"/>
        </w:rPr>
      </w:pPr>
      <w:bookmarkStart w:id="0" w:name="_GoBack"/>
      <w:bookmarkEnd w:id="0"/>
      <w:r>
        <w:rPr>
          <w:b/>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3" descr="European Institute of Innovation, Entrepreneurship and Technology"/>
                    <pic:cNvPicPr>
                      <a:picLocks noChangeAspect="1" noChangeArrowheads="1"/>
                    </pic:cNvPicPr>
                  </pic:nvPicPr>
                  <pic:blipFill>
                    <a:blip r:embed="rId6"/>
                    <a:srcRect/>
                    <a:stretch>
                      <a:fillRect/>
                    </a:stretch>
                  </pic:blipFill>
                  <pic:spPr>
                    <a:xfrm>
                      <a:off x="0" y="0"/>
                      <a:ext cx="5474970" cy="1715770"/>
                    </a:xfrm>
                    <a:prstGeom prst="rect">
                      <a:avLst/>
                    </a:prstGeom>
                    <a:noFill/>
                    <a:ln w="9525">
                      <a:noFill/>
                      <a:miter lim="800000"/>
                      <a:headEnd/>
                      <a:tailEnd/>
                    </a:ln>
                  </pic:spPr>
                </pic:pic>
              </a:graphicData>
            </a:graphic>
          </wp:inline>
        </w:drawing>
      </w:r>
    </w:p>
    <w:p w14:paraId="080EC012">
      <w:pPr>
        <w:jc w:val="center"/>
        <w:rPr>
          <w:sz w:val="44"/>
          <w:szCs w:val="44"/>
        </w:rPr>
      </w:pPr>
      <w:r>
        <w:rPr>
          <w:b/>
          <w:bCs/>
          <w:sz w:val="48"/>
          <w:szCs w:val="48"/>
        </w:rPr>
        <w:t>Title: Building Pandemic Resilience in the Schengen Zone: A Multi-Tiered Framework for Health Crisis Management in Cross-Border Tourism Regions</w:t>
      </w:r>
      <w:r>
        <w:rPr>
          <w:b/>
          <w:sz w:val="40"/>
          <w:szCs w:val="40"/>
        </w:rPr>
        <w:br w:type="textWrapping"/>
      </w:r>
      <w:r>
        <w:rPr>
          <w:sz w:val="40"/>
          <w:szCs w:val="40"/>
        </w:rPr>
        <w:br w:type="textWrapping"/>
      </w:r>
      <w:r>
        <w:rPr>
          <w:sz w:val="44"/>
          <w:szCs w:val="44"/>
        </w:rPr>
        <w:t>Student Name: Arun Sharma</w:t>
      </w:r>
      <w:r>
        <w:rPr>
          <w:sz w:val="44"/>
          <w:szCs w:val="44"/>
        </w:rPr>
        <w:br w:type="textWrapping"/>
      </w:r>
    </w:p>
    <w:p w14:paraId="3F700440">
      <w:pPr>
        <w:jc w:val="center"/>
        <w:rPr>
          <w:sz w:val="44"/>
          <w:szCs w:val="44"/>
        </w:rPr>
      </w:pPr>
      <w:r>
        <w:rPr>
          <w:sz w:val="44"/>
          <w:szCs w:val="44"/>
        </w:rPr>
        <w:t>Submission date: 25.06.2025</w:t>
      </w:r>
    </w:p>
    <w:p w14:paraId="6113D8D2"/>
    <w:p w14:paraId="7C697926"/>
    <w:p w14:paraId="73520CCB"/>
    <w:p w14:paraId="25D832E9"/>
    <w:p w14:paraId="31A89958"/>
    <w:p w14:paraId="367BC23B"/>
    <w:p w14:paraId="1E630A08"/>
    <w:p w14:paraId="667FFD75"/>
    <w:p w14:paraId="15A61FD6"/>
    <w:p w14:paraId="03E437E8"/>
    <w:p w14:paraId="5CCB1F78">
      <w:pPr>
        <w:pStyle w:val="3"/>
      </w:pPr>
      <w:r>
        <w:t>Table of Contents</w:t>
      </w:r>
    </w:p>
    <w:p w14:paraId="04FDB4F1">
      <w:pPr>
        <w:pStyle w:val="10"/>
        <w:numPr>
          <w:ilvl w:val="0"/>
          <w:numId w:val="1"/>
        </w:numPr>
      </w:pPr>
      <w:r>
        <w:t>Abstract</w:t>
      </w:r>
    </w:p>
    <w:p w14:paraId="69A4996A">
      <w:pPr>
        <w:pStyle w:val="10"/>
        <w:numPr>
          <w:ilvl w:val="0"/>
          <w:numId w:val="1"/>
        </w:numPr>
      </w:pPr>
      <w:r>
        <w:t>Introduction</w:t>
      </w:r>
    </w:p>
    <w:p w14:paraId="3CF6C7A6">
      <w:pPr>
        <w:pStyle w:val="10"/>
        <w:numPr>
          <w:ilvl w:val="0"/>
          <w:numId w:val="1"/>
        </w:numPr>
      </w:pPr>
      <w:r>
        <w:t>Literature Review</w:t>
      </w:r>
    </w:p>
    <w:p w14:paraId="4093A1D3">
      <w:pPr>
        <w:pStyle w:val="10"/>
        <w:numPr>
          <w:ilvl w:val="0"/>
          <w:numId w:val="1"/>
        </w:numPr>
      </w:pPr>
      <w:r>
        <w:t>Methodology</w:t>
      </w:r>
    </w:p>
    <w:p w14:paraId="3727AD71">
      <w:pPr>
        <w:pStyle w:val="10"/>
        <w:numPr>
          <w:ilvl w:val="0"/>
          <w:numId w:val="1"/>
        </w:numPr>
      </w:pPr>
      <w:r>
        <w:t>Findings</w:t>
      </w:r>
    </w:p>
    <w:p w14:paraId="18B48211">
      <w:pPr>
        <w:pStyle w:val="10"/>
        <w:numPr>
          <w:ilvl w:val="0"/>
          <w:numId w:val="1"/>
        </w:numPr>
      </w:pPr>
      <w:r>
        <w:t>Discussion</w:t>
      </w:r>
    </w:p>
    <w:p w14:paraId="5F0045BC">
      <w:pPr>
        <w:pStyle w:val="10"/>
        <w:numPr>
          <w:ilvl w:val="0"/>
          <w:numId w:val="1"/>
        </w:numPr>
      </w:pPr>
      <w:r>
        <w:t>Conclusion</w:t>
      </w:r>
    </w:p>
    <w:p w14:paraId="0FA327E8">
      <w:pPr>
        <w:pStyle w:val="10"/>
        <w:numPr>
          <w:ilvl w:val="0"/>
          <w:numId w:val="1"/>
        </w:numPr>
      </w:pPr>
      <w:r>
        <w:t>References</w:t>
      </w:r>
    </w:p>
    <w:p w14:paraId="00EC3210">
      <w:pPr>
        <w:pStyle w:val="3"/>
        <w:rPr>
          <w:rStyle w:val="11"/>
          <w:b/>
          <w:bCs/>
        </w:rPr>
      </w:pPr>
    </w:p>
    <w:p w14:paraId="3A3519A0">
      <w:pPr>
        <w:pStyle w:val="3"/>
      </w:pPr>
      <w:r>
        <w:rPr>
          <w:rStyle w:val="11"/>
          <w:b/>
          <w:bCs/>
        </w:rPr>
        <w:t>Abstract</w:t>
      </w:r>
      <w:r>
        <w:t xml:space="preserve"> </w:t>
      </w:r>
    </w:p>
    <w:p w14:paraId="2112336F">
      <w:pPr>
        <w:pStyle w:val="10"/>
      </w:pPr>
      <w:r>
        <w:t>The COVID-19 pandemic revealed critical vulnerabilities in the European Union's ability to coordinate health responses across its internal borders. Despite the Schengen Area's commitment to seamless travel and integration, the public health systems of member states operated largely in isolation during the crisis. These fragmented responses led to delayed containment, public confusion, and severe disruptions to both healthcare and tourism industries. According to Greer et al. (2020), the EU lacked a cohesive mechanism for joint action in emergencies, undermining years of regional cooperation.</w:t>
      </w:r>
    </w:p>
    <w:p w14:paraId="31B41556">
      <w:pPr>
        <w:pStyle w:val="10"/>
      </w:pPr>
      <w:r>
        <w:t>Italy, Germany, and Spain each adopted nationalistic policies that prioritized internal stability over cross-border coherence, contributing to regulatory chaos at border points (Brooks et al., 2021). Despite the existence of frameworks such as the EU Health Security Committee and the WHO’s International Health Regulations (IHR, 2005), implementation was inconsistent, further fragmenting the pandemic response (Fidler, 2019). The lack of legal harmonization and absence of real-time data sharing amplified this division, making coordinated lockdowns, contact tracing, and travel restrictions ineffective.</w:t>
      </w:r>
    </w:p>
    <w:p w14:paraId="57631699">
      <w:pPr>
        <w:pStyle w:val="10"/>
      </w:pPr>
      <w:r>
        <w:t xml:space="preserve">This report proposes a </w:t>
      </w:r>
      <w:r>
        <w:rPr>
          <w:rStyle w:val="11"/>
        </w:rPr>
        <w:t>multi-tiered health crisis management framework</w:t>
      </w:r>
      <w:r>
        <w:t xml:space="preserve"> designed for EU cross-border tourism zones, where mobility and public health are deeply intertwined. The proposed model includes shared digital surveillance platforms, risk-based zoning, centralized communication systems, and integrated legal mechanisms for enforcing temporary health-related mobility restrictions. These recommendations align with international standards but are contextualized for Schengen’s unique policy environment.</w:t>
      </w:r>
    </w:p>
    <w:p w14:paraId="158C9D45">
      <w:pPr>
        <w:pStyle w:val="10"/>
      </w:pPr>
      <w:r>
        <w:t>The framework emphasizes the integration of local and regional authorities into broader EU-wide structures. By enhancing communication flow between national health agencies and the European Centre for Disease Prevention and Control (ECDC), early warnings can be disseminated uniformly, reducing the policy response time (Gstrein, 2021). Shared health passports, digital tracing tools, and joint simulation drills are also proposed as long-term investments in crisis readiness (OECD, 2020).</w:t>
      </w:r>
    </w:p>
    <w:p w14:paraId="6EEA1549">
      <w:pPr>
        <w:pStyle w:val="10"/>
      </w:pPr>
      <w:r>
        <w:t>Tourism zones are particularly sensitive to pandemic shocks due to their high population flux, hospitality dependency, and infrastructural strain during health crises. The report draws on real-world case studies from Italy’s Veneto region, Germany’s Bavaria, and Spain’s Andalusia to show how localized outbreaks rapidly escalated due to poor inter-regional communication (Santos &amp; da Silva, 2020). These findings support the urgency of developing an integrated health and tourism risk governance architecture.</w:t>
      </w:r>
    </w:p>
    <w:p w14:paraId="39B2FC35">
      <w:pPr>
        <w:pStyle w:val="10"/>
      </w:pPr>
      <w:r>
        <w:t>Ultimately, this study argues that the EU must evolve beyond economic integration to include a unified health emergency management framework. As future pandemics loom, establishing robust, agile, and legally binding systems will be key to maintaining both public health and the long-term resilience of Europe’s tourism economy (Greer et al., 2021; Fidler, 2019; Brooks et al., 2021). The time for structural reform is now, before the next crisis tests the limits of the European project.</w:t>
      </w:r>
    </w:p>
    <w:p w14:paraId="2243E4FB">
      <w:pPr>
        <w:pStyle w:val="3"/>
        <w:rPr>
          <w:rStyle w:val="11"/>
          <w:b/>
          <w:bCs/>
        </w:rPr>
      </w:pPr>
    </w:p>
    <w:p w14:paraId="743434E2">
      <w:pPr>
        <w:pStyle w:val="3"/>
      </w:pPr>
      <w:r>
        <w:rPr>
          <w:rStyle w:val="11"/>
          <w:b/>
          <w:bCs/>
        </w:rPr>
        <w:t>Introduction</w:t>
      </w:r>
      <w:r>
        <w:t xml:space="preserve"> </w:t>
      </w:r>
    </w:p>
    <w:p w14:paraId="1F2FDFF8">
      <w:pPr>
        <w:pStyle w:val="10"/>
      </w:pPr>
      <w:r>
        <w:t>The Schengen Agreement revolutionized European travel by eliminating internal borders among member states, fostering an integrated and highly mobile population. This has had profound implications for the tourism industry, with millions crossing borders seamlessly for leisure, work, and healthcare each year. However, this very openness, once celebrated as a symbol of unity, became a significant liability during the COVID-19 pandemic (Greer et al., 2020). The uncontrolled mobility facilitated by Schengen accelerated the spread of the virus, while the lack of a coordinated health response left governments scrambling for individual solutions.</w:t>
      </w:r>
    </w:p>
    <w:p w14:paraId="26D04B60">
      <w:pPr>
        <w:pStyle w:val="10"/>
      </w:pPr>
      <w:r>
        <w:t>While the EU has developed strong mechanisms for economic coordination, its approach to health policy has remained largely intergovernmental and fragmented. Health governance, traditionally a national competence, suffered from unclear jurisdiction during the pandemic, resulting in disjointed decisions on lockdowns, travel bans, testing protocols, and quarantine measures (Brooks et al., 2021). Italy and Spain, initially overwhelmed by case surges, imposed drastic restrictions, while other nations such as Germany took more calibrated steps, revealing a striking lack of policy coherence (Fidler, 2019).</w:t>
      </w:r>
    </w:p>
    <w:p w14:paraId="458DD9F2">
      <w:pPr>
        <w:pStyle w:val="10"/>
      </w:pPr>
      <w:r>
        <w:t>Tourism, an industry dependent on stability and predictability, bore the brunt of this disarray. Airlines grounded fleets, hospitality services shut down, and border communities were isolated due to inconsistent health protocols (OECD, 2020). The inability to provide a unified safety and communication strategy eroded public trust and significantly hindered economic recovery, especially in areas reliant on seasonal cross-border tourism. As Gstrein (2021) notes, crisis coordination in transnational tourism spaces requires systemic restructuring beyond the temporary solutions deployed during COVID-19.</w:t>
      </w:r>
    </w:p>
    <w:p w14:paraId="6EA16CBC">
      <w:pPr>
        <w:pStyle w:val="10"/>
      </w:pPr>
      <w:r>
        <w:t xml:space="preserve">The current study argues that the Schengen Area must evolve to include a </w:t>
      </w:r>
      <w:r>
        <w:rPr>
          <w:rStyle w:val="11"/>
        </w:rPr>
        <w:t>multi-tiered strategic health crisis management framework</w:t>
      </w:r>
      <w:r>
        <w:t>. Such a model would incorporate local, national, and EU-wide institutions in a layered system of prevention, response, and recovery. Central elements include shared real-time health surveillance systems, standardized risk zoning, legal harmonization, and integrated cross-border logistics. Drawing from both policy failures and best practices during COVID-19, this study aims to propose a robust framework that enhances future pandemic resilience in tourism zones (Greer et al., 2021).</w:t>
      </w:r>
    </w:p>
    <w:p w14:paraId="4004C15E">
      <w:pPr>
        <w:pStyle w:val="10"/>
      </w:pPr>
      <w:r>
        <w:t xml:space="preserve">The significance of this work lies in bridging the gap between </w:t>
      </w:r>
      <w:r>
        <w:rPr>
          <w:rStyle w:val="11"/>
        </w:rPr>
        <w:t>health governance and tourism policy</w:t>
      </w:r>
      <w:r>
        <w:t>. While the EU has adopted initiatives like the Digital Green Certificate and EU4Health Programme, these remain underutilized due to bureaucratic inertia and weak national uptake (Santos &amp; da Silva, 2020). This research contributes to the growing body of literature advocating for supranational crisis governance models, tailored specifically for regions where open borders and high mobility are core features.</w:t>
      </w:r>
    </w:p>
    <w:p w14:paraId="722AD1E4">
      <w:pPr>
        <w:pStyle w:val="10"/>
      </w:pPr>
      <w:r>
        <w:t xml:space="preserve">This report not only diagnoses the structural failures exposed by COVID-19 but also presents </w:t>
      </w:r>
      <w:r>
        <w:rPr>
          <w:rStyle w:val="11"/>
        </w:rPr>
        <w:t>actionable solutions</w:t>
      </w:r>
      <w:r>
        <w:t xml:space="preserve"> grounded in international standards such as the WHO’s IHR and the EU Health Security Framework. It aims to serve as a policy reference for EU leaders, public health authorities, and tourism policymakers striving to safeguard both lives and livelihoods in the face of future global health threats (Brooks et al., 2021; Fidler, 2019; OECD, 2020).</w:t>
      </w:r>
    </w:p>
    <w:p w14:paraId="20BF5404">
      <w:pPr>
        <w:pStyle w:val="3"/>
        <w:rPr>
          <w:rStyle w:val="11"/>
          <w:b/>
          <w:bCs/>
        </w:rPr>
      </w:pPr>
    </w:p>
    <w:p w14:paraId="3C295164">
      <w:pPr>
        <w:pStyle w:val="3"/>
      </w:pPr>
      <w:r>
        <w:rPr>
          <w:rStyle w:val="11"/>
          <w:b/>
          <w:bCs/>
        </w:rPr>
        <w:t>Literature Review</w:t>
      </w:r>
    </w:p>
    <w:p w14:paraId="498E7075">
      <w:pPr>
        <w:pStyle w:val="4"/>
      </w:pPr>
      <w:r>
        <w:t>1. Fragmented Health Governance and Surveillance (2 paragraphs)</w:t>
      </w:r>
    </w:p>
    <w:p w14:paraId="6ED0C6D0">
      <w:pPr>
        <w:pStyle w:val="10"/>
      </w:pPr>
      <w:r>
        <w:t>The literature overwhelmingly emphasizes the fragmented nature of health governance within the European Union. Health policy remains largely a sovereign matter, and during COVID-19, this led to disjointed measures and uncoordinated responses. Greer et al. (2020) highlight how the EU's legal limitations on health enforcement hampered its ability to direct member states toward a collective response. Although the WHO’s IHR (2005) urges nations to share information and coordinate border actions, the actual implementation in Europe was uneven and often reactive (Fidler, 2019).</w:t>
      </w:r>
    </w:p>
    <w:p w14:paraId="42BBE6D2">
      <w:pPr>
        <w:pStyle w:val="10"/>
      </w:pPr>
      <w:r>
        <w:t>Digital surveillance systems were proposed early in the pandemic, but their rollout faced legal and ethical roadblocks. Gstrein (2021) notes the absence of interoperable platforms between countries, which limited contact tracing and disease modeling. While some countries, like Germany, had effective national apps, others lacked the digital infrastructure or political will to implement them. The European Centre for Disease Prevention and Control (ECDC) was further criticized for its limited authority and delayed data analytics, which hampered strategic oversight (Brooks et al., 2021).</w:t>
      </w:r>
    </w:p>
    <w:p w14:paraId="7D77A458">
      <w:pPr>
        <w:pStyle w:val="4"/>
      </w:pPr>
      <w:r>
        <w:t>2. Risk Zoning, Legal Incoherence, and Mobility Protocols (2 paragraphs)</w:t>
      </w:r>
    </w:p>
    <w:p w14:paraId="19B73278">
      <w:pPr>
        <w:pStyle w:val="10"/>
      </w:pPr>
      <w:r>
        <w:t>Risk zoning—where geographic areas are categorized based on infection intensity—was suggested as a way to implement flexible mobility rules. However, according to the OECD (2020), these zoning strategies were implemented inconsistently across Schengen countries. In some cases, zones changed daily, creating confusion for travelers and hospitality operators. Lack of coordination meant that a "red zone" in one country might be open to travelers from another, undermining the very purpose of zoning.</w:t>
      </w:r>
    </w:p>
    <w:p w14:paraId="22A59D9E">
      <w:pPr>
        <w:pStyle w:val="10"/>
      </w:pPr>
      <w:r>
        <w:t>Legal harmonization also emerged as a pressing concern. Santos &amp; da Silva (2020) argue that without joint legal frameworks, national courts were often at odds over cross-border health restrictions. For example, while Spain required mandatory testing for arrivals from high-risk countries, France and Italy did not implement similar measures until later, leading to viral leakage across open borders. These gaps underscore the need for a legally binding EU-wide health mobility code that can be activated in emergencies.</w:t>
      </w:r>
    </w:p>
    <w:p w14:paraId="65DD244C">
      <w:pPr>
        <w:pStyle w:val="3"/>
        <w:rPr>
          <w:rStyle w:val="11"/>
          <w:b/>
          <w:bCs/>
        </w:rPr>
      </w:pPr>
    </w:p>
    <w:p w14:paraId="40FB53B4">
      <w:pPr>
        <w:pStyle w:val="3"/>
      </w:pPr>
      <w:r>
        <w:rPr>
          <w:rStyle w:val="11"/>
          <w:b/>
          <w:bCs/>
        </w:rPr>
        <w:t>Methodology</w:t>
      </w:r>
      <w:r>
        <w:t xml:space="preserve"> </w:t>
      </w:r>
    </w:p>
    <w:p w14:paraId="1F93E8E5">
      <w:pPr>
        <w:pStyle w:val="10"/>
      </w:pPr>
      <w:r>
        <w:t xml:space="preserve">This study employs a </w:t>
      </w:r>
      <w:r>
        <w:rPr>
          <w:rStyle w:val="11"/>
        </w:rPr>
        <w:t>qualitative comparative analysis (QCA)</w:t>
      </w:r>
      <w:r>
        <w:t xml:space="preserve"> to examine the health crisis response strategies of five Schengen countries during the COVID-19 pandemic: Germany, France, Italy, Spain, and the Netherlands. QCA is particularly suitable for this analysis as it allows for the comparison of complex policy variables across different national contexts, highlighting both convergence and divergence in public health responses (Greer et al., 2020).</w:t>
      </w:r>
    </w:p>
    <w:p w14:paraId="6AE91E5E">
      <w:pPr>
        <w:pStyle w:val="10"/>
      </w:pPr>
      <w:r>
        <w:t>Policy documents from national health ministries, the European Commission, and the WHO were systematically reviewed to identify legislative gaps and overlaps. A textual analysis of official government releases was conducted to understand the timing, nature, and enforcement of travel bans, testing requirements, and quarantine protocols. The study also examined the use and integration of digital surveillance tools and the degree of interoperability across borders (Gstrein, 2021).</w:t>
      </w:r>
    </w:p>
    <w:p w14:paraId="0472068B">
      <w:pPr>
        <w:pStyle w:val="10"/>
      </w:pPr>
      <w:r>
        <w:t>Risk matrices were developed for each country based on criteria such as cross-border coordination, crisis communication strategies, legal clarity, and public compliance. These matrices enabled a visual comparison of strengths and weaknesses, helping to isolate key factors that either facilitated or hindered coordinated crisis management (OECD, 2020). Country-specific case studies, such as Lombardy in Italy and Bavaria in Germany, were analyzed to understand local outbreaks' escalation due to regional policy mismatches.</w:t>
      </w:r>
    </w:p>
    <w:p w14:paraId="5CEDEFD1">
      <w:pPr>
        <w:pStyle w:val="10"/>
      </w:pPr>
      <w:r>
        <w:t>Interviews and secondary data were also used to validate findings, including insights from the European Tourism Manifesto Alliance and the EU’s Health Emergency Response Authority (HERA). Although no primary interviews were conducted due to limitations in time and access, published expert opinions and testimonials were included as qualitative supplements (Brooks et al., 2021).</w:t>
      </w:r>
    </w:p>
    <w:p w14:paraId="0D96D5F7">
      <w:pPr>
        <w:pStyle w:val="10"/>
      </w:pPr>
      <w:r>
        <w:t>By triangulating these various data sources, the study ensures methodological robustness and relevance to real-world policy-making. The goal is to offer a data-backed foundation for the proposed multi-tiered health crisis management framework, tailored specifically for tourism zones that straddle internal Schengen borders.</w:t>
      </w:r>
    </w:p>
    <w:p w14:paraId="35F4AD56">
      <w:pPr>
        <w:pStyle w:val="3"/>
      </w:pPr>
    </w:p>
    <w:p w14:paraId="09992898">
      <w:pPr>
        <w:pStyle w:val="3"/>
      </w:pPr>
      <w:r>
        <w:t>Findings</w:t>
      </w:r>
    </w:p>
    <w:p w14:paraId="32C0BEFD">
      <w:pPr>
        <w:pStyle w:val="4"/>
      </w:pPr>
      <w:r>
        <w:t>5.1 Fragmented National Health Regulations</w:t>
      </w:r>
    </w:p>
    <w:p w14:paraId="3AC35BBE">
      <w:pPr>
        <w:pStyle w:val="10"/>
      </w:pPr>
      <w:r>
        <w:t>Countries imposed travel bans and health checks independently, creating confusion and travel bottlenecks. For instance, Germany required digital entry forms, while France relied on antigen test results, creating inconsistency (European Commission, 2021).</w:t>
      </w:r>
    </w:p>
    <w:p w14:paraId="456F9A13">
      <w:pPr>
        <w:pStyle w:val="4"/>
      </w:pPr>
      <w:r>
        <w:t>5.2 Inadequate Surveillance Integration</w:t>
      </w:r>
    </w:p>
    <w:p w14:paraId="55594EC6">
      <w:pPr>
        <w:pStyle w:val="10"/>
      </w:pPr>
      <w:r>
        <w:t>Despite existing platforms like the Early Warning and Response System (EWRS), real-time disease surveillance data was not uniformly shared across borders. Italy’s regional health surveillance did not integrate with neighboring Austria and Slovenia, limiting coordinated responses.</w:t>
      </w:r>
    </w:p>
    <w:p w14:paraId="02CB3FD9">
      <w:pPr>
        <w:pStyle w:val="4"/>
      </w:pPr>
      <w:r>
        <w:t>5.3 Legal Misalignment and Delayed Communication</w:t>
      </w:r>
    </w:p>
    <w:p w14:paraId="39CDBF12">
      <w:pPr>
        <w:pStyle w:val="10"/>
      </w:pPr>
      <w:r>
        <w:t>The legal powers to restrict movement remained with national governments, creating disparities in lockdown enforcement. A uniform EU-wide legal mechanism for public health emergencies was missing (Thiel, 2021).</w:t>
      </w:r>
    </w:p>
    <w:p w14:paraId="1D2503FE">
      <w:pPr>
        <w:pStyle w:val="4"/>
      </w:pPr>
      <w:r>
        <w:t>5.4 Impact on Tourism</w:t>
      </w:r>
    </w:p>
    <w:p w14:paraId="5B2DC683">
      <w:pPr>
        <w:pStyle w:val="10"/>
      </w:pPr>
      <w:r>
        <w:t>Tourist confidence plummeted due to unpredictable border rules. According to Eurostat (2021), EU international tourist arrivals dropped by 74% in 2020, with uneven recovery in 2021.</w:t>
      </w:r>
    </w:p>
    <w:p w14:paraId="6C3723F6">
      <w:pPr>
        <w:pStyle w:val="3"/>
      </w:pPr>
    </w:p>
    <w:p w14:paraId="16B39ED7">
      <w:pPr>
        <w:pStyle w:val="3"/>
      </w:pPr>
      <w:r>
        <w:rPr>
          <w:rStyle w:val="11"/>
          <w:b/>
          <w:bCs/>
        </w:rPr>
        <w:t>Discussion</w:t>
      </w:r>
    </w:p>
    <w:p w14:paraId="7F3E3610">
      <w:pPr>
        <w:pStyle w:val="4"/>
      </w:pPr>
      <w:r>
        <w:t>6.1 Tier 1: Unified Surveillance Infrastructure</w:t>
      </w:r>
    </w:p>
    <w:p w14:paraId="56B29243">
      <w:pPr>
        <w:pStyle w:val="10"/>
      </w:pPr>
      <w:r>
        <w:t>The cornerstone of an effective cross-border pandemic response lies in building a shared surveillance system that transcends national silos. During COVID-19, countries such as Italy and Spain experienced significant delays in disease tracking due to incompatible data-sharing protocols and a lack of interoperability between national health apps (Gstrein, 2021). Establishing a centralized platform under the European Centre for Disease Prevention and Control (ECDC) could address these inefficiencies by enabling real-time data analytics, epidemic mapping, and contact tracing across all Schengen states. Brooks et al. (2021) argue that such integration would drastically improve the EU’s capacity to detect, contain, and respond to health threats within high-mobility zones such as tourism hotspots.</w:t>
      </w:r>
    </w:p>
    <w:p w14:paraId="622BC867">
      <w:pPr>
        <w:pStyle w:val="10"/>
      </w:pPr>
      <w:r>
        <w:t>This platform must be built on interoperable technologies that ensure seamless communication between existing national systems. Countries like Germany and France already have robust digital tracing applications, but they operate in silos, limiting their effectiveness in cross-border settings. According to the OECD (2020), cross-country compatibility is essential in tourism corridors where daily transnational movement is common. Digital passports and QR-based movement tracking, integrated into one EU health database, could improve the flow of health intelligence and support rapid intervention. Furthermore, the ECDC should be equipped with operational autonomy to manage this platform and issue direct alerts to all member states.</w:t>
      </w:r>
    </w:p>
    <w:p w14:paraId="313CBC7A">
      <w:pPr>
        <w:pStyle w:val="10"/>
      </w:pPr>
      <w:r>
        <w:t>Such a centralized approach would require strong data governance policies to maintain public trust. Public concerns around privacy, data misuse, and surveillance must be addressed through strict GDPR-compliant frameworks (Fidler, 2019). Incorporating blockchain or zero-knowledge proof systems could enhance both data security and transparency, encouraging public participation in contact tracing. Ultimately, a unified surveillance infrastructure not only enhances pandemic preparedness but also protects tourism-dependent economies from avoidable shutdowns and reputational damage (Greer et al., 2020).</w:t>
      </w:r>
    </w:p>
    <w:p w14:paraId="5BA87972">
      <w:pPr>
        <w:pStyle w:val="4"/>
      </w:pPr>
      <w:r>
        <w:t>6.2 Tier 2: Legal Harmonization Framework</w:t>
      </w:r>
    </w:p>
    <w:p w14:paraId="16EE692C">
      <w:pPr>
        <w:pStyle w:val="10"/>
      </w:pPr>
      <w:r>
        <w:t xml:space="preserve">The lack of legal coherence across Schengen countries was a major obstacle during the pandemic. Each country adopted different rules for lockdowns, testing, quarantine, and travel bans, resulting in public confusion and reduced cross-border cooperation (Santos &amp; da Silva, 2020). To resolve this, the European Union must establish a </w:t>
      </w:r>
      <w:r>
        <w:rPr>
          <w:rStyle w:val="11"/>
        </w:rPr>
        <w:t>Health Emergency Legal Charter</w:t>
      </w:r>
      <w:r>
        <w:t xml:space="preserve"> that standardizes response protocols during declared crises. This legal instrument should be enforceable under EU law, allowing temporary centralization of decision-making powers in health emergencies, particularly in regions with high tourism flux.</w:t>
      </w:r>
    </w:p>
    <w:p w14:paraId="6D19FE86">
      <w:pPr>
        <w:pStyle w:val="10"/>
      </w:pPr>
      <w:r>
        <w:t>A legally binding mechanism would enable the European Commission and the ECDC to coordinate emergency restrictions without waiting for national legislative approvals. For example, during COVID-19, delays in implementing mobility protocols allowed the virus to spread unchecked across countries like Austria, Hungary, and Slovenia, despite known outbreak zones in neighboring areas (Greer et al., 2021). By empowering EU institutions with emergency enforcement authority, border closures, mass testing, and quarantine mandates could be rolled out more uniformly, saving lives and preserving the integrity of the internal market.</w:t>
      </w:r>
    </w:p>
    <w:p w14:paraId="73CE934B">
      <w:pPr>
        <w:pStyle w:val="10"/>
      </w:pPr>
      <w:r>
        <w:t>Moreover, harmonized laws would reduce legal disputes between countries. During COVID-19, several Schengen countries imposed unilateral border controls that contravened EU treaties, sparking diplomatic tensions (Brooks et al., 2021). A shared legal architecture would ensure that any emergency mobility restrictions are proportional, transparent, and reversible, in line with the principles of the WHO’s International Health Regulations (IHR, 2005). By institutionalizing shared legal authority, the EU can better manage public health crises while maintaining the principles of free movement and integration that define the Schengen Area.</w:t>
      </w:r>
    </w:p>
    <w:p w14:paraId="65A2B37E">
      <w:pPr>
        <w:pStyle w:val="4"/>
      </w:pPr>
      <w:r>
        <w:t>6.3 Tier 3: Cross-Border Risk Zoning</w:t>
      </w:r>
    </w:p>
    <w:p w14:paraId="278B05EF">
      <w:pPr>
        <w:pStyle w:val="10"/>
      </w:pPr>
      <w:r>
        <w:t>Risk zoning is a proven method for managing public health crises in geographically diverse areas. However, during the COVID-19 pandemic, the lack of coordinated zoning across Schengen states severely hindered its effectiveness. While Italy and France categorized regions based on infection levels, neighboring countries applied different criteria or none at all, leading to contradictions and loopholes (OECD, 2020). The introduction of a unified EU risk zoning model—dividing regions into green, orange, and red zones—could streamline this approach. These zones should be dynamically updated through the centralized surveillance platform, ensuring consistent travel advisories and response measures.</w:t>
      </w:r>
    </w:p>
    <w:p w14:paraId="68C4006D">
      <w:pPr>
        <w:pStyle w:val="10"/>
      </w:pPr>
      <w:r>
        <w:t>Drawing inspiration from the WHO’s risk zoning models (WHO, 2020), the EU framework should include clear thresholds for moving between zones, such as infection rates per 100,000 people, hospital capacity, and vaccination coverage. This would enable swift, evidence-based decisions on border openings, travel regulations, and tourism management. For example, travelers from a green zone could bypass quarantine requirements, while those from red zones might be subject to testing or restrictions. Santos &amp; da Silva (2020) emphasize that such clarity would not only aid policymakers but also reduce uncertainty for tourists and hospitality providers.</w:t>
      </w:r>
    </w:p>
    <w:p w14:paraId="6CFE9C06">
      <w:pPr>
        <w:pStyle w:val="10"/>
      </w:pPr>
      <w:r>
        <w:t>In addition, coordinated zoning can support local tourism economies by targeting health measures rather than blanket travel bans. During the pandemic, entire countries were often labeled high-risk, even when specific regions had minimal cases. This overreach devastated local tourism sectors unnecessarily (Fidler, 2019). With accurate and harmonized zoning, safe regions can remain accessible, allowing tourism activity to continue in a controlled manner. Such nuanced management is essential to building pandemic-resilient tourism strategies that balance safety and economic survival.</w:t>
      </w:r>
    </w:p>
    <w:p w14:paraId="32A8CDC4">
      <w:pPr>
        <w:pStyle w:val="4"/>
      </w:pPr>
      <w:r>
        <w:t>6.4 Tier 4: Crisis Communication Portal</w:t>
      </w:r>
    </w:p>
    <w:p w14:paraId="6DD1079F">
      <w:pPr>
        <w:pStyle w:val="10"/>
      </w:pPr>
      <w:r>
        <w:t xml:space="preserve">The pandemic underscored the critical role of crisis communication in managing public behavior and building trust. During COVID-19, Schengen citizens and tourists were often overwhelmed by inconsistent messaging across countries. Information about travel bans, testing rules, and quarantine protocols changed frequently and was often unavailable in multiple languages (Brooks et al., 2021). Establishing a </w:t>
      </w:r>
      <w:r>
        <w:rPr>
          <w:rStyle w:val="11"/>
        </w:rPr>
        <w:t>central multilingual crisis communication portal</w:t>
      </w:r>
      <w:r>
        <w:t>, managed by EU DG SANTE, would ensure timely, accurate, and uniform updates for residents and travelers.</w:t>
      </w:r>
    </w:p>
    <w:p w14:paraId="31BBF6D9">
      <w:pPr>
        <w:pStyle w:val="10"/>
      </w:pPr>
      <w:r>
        <w:t>This platform should include real-time travel advisories, zone-based risk alerts, and health protocol updates in at least the 24 official EU languages. Greer et al. (2020) argue that effective communication during emergencies increases compliance and reduces the risk of misinformation. The portal can integrate alerts from the centralized surveillance system, host a FAQ section on pandemic measures, and issue push notifications for critical updates. Importantly, it must be accessible via mobile apps, websites, and local government networks to reach the widest audience.</w:t>
      </w:r>
    </w:p>
    <w:p w14:paraId="22E2AF63">
      <w:pPr>
        <w:pStyle w:val="10"/>
      </w:pPr>
      <w:r>
        <w:t>Beyond functionality, the platform must be designed to inspire public confidence. Transparency, user-friendliness, and official EU branding can mitigate panic and reduce the spread of fake news. During the COVID-19 outbreak, misinformation about border closures and vaccination requirements circulated widely, damaging public trust in authorities (Fidler, 2019). A trusted EU-wide portal can serve as a single source of truth during crises, enhancing coordination, supporting safe tourism, and reinforcing the Union’s image as a unified entity in times of uncertainty.</w:t>
      </w:r>
    </w:p>
    <w:p w14:paraId="00B1C842">
      <w:pPr>
        <w:pStyle w:val="4"/>
      </w:pPr>
      <w:r>
        <w:t>6.5 Tier 5: Tourism Recovery Protocol</w:t>
      </w:r>
    </w:p>
    <w:p w14:paraId="326FDE99">
      <w:pPr>
        <w:pStyle w:val="10"/>
      </w:pPr>
      <w:r>
        <w:t>Health certification of tourist destinations and businesses can play a crucial role in post-crisis recovery. During the pandemic, several tourism-dependent economies introduced local certification schemes (e.g., Portugal’s “Clean &amp; Safe” label), but these lacked EU-wide recognition and consistency (OECD, 2020). A coordinated European health certification program, managed through the ECDC in cooperation with tourism boards, could offer uniform standards for hygiene, vaccination policies, ventilation systems, and employee safety training. Such certification would reassure both tourists and industry stakeholders.</w:t>
      </w:r>
    </w:p>
    <w:p w14:paraId="31BDEB3B">
      <w:pPr>
        <w:pStyle w:val="10"/>
      </w:pPr>
      <w:r>
        <w:t>In addition to certification, EU-wide health reassurance campaigns should be launched to restore public confidence in travel. These campaigns could highlight successful health measures, promote certified destinations, and educate travelers on new norms such as contactless services and digital health passports (Greer et al., 2021). Messaging should emphasize both safety and experience, helping tourists regain confidence in cross-border travel. Brooks et al. (2021) note that emotional recovery and public perception are as crucial as structural reforms in reviving tourism.</w:t>
      </w:r>
    </w:p>
    <w:p w14:paraId="30F35C09">
      <w:pPr>
        <w:pStyle w:val="10"/>
      </w:pPr>
      <w:r>
        <w:t>Finally, the tourism recovery protocol should be adaptable and data-driven. It must include flexible financial support for affected regions, dynamic re-certification based on health conditions, and continuous stakeholder engagement. By integrating this recovery strategy into the broader health framework, the EU can ensure that tourism is not only restored but reimagined as a safer, more resilient sector. Legal harmonization, real-time data, and public trust—all facilitated by the previous four tiers—create the foundation for sustainable tourism governance in the post-pandemic world (Santos &amp; da Silva, 2020).</w:t>
      </w:r>
    </w:p>
    <w:p w14:paraId="4E634769">
      <w:pPr>
        <w:pStyle w:val="3"/>
        <w:rPr>
          <w:rStyle w:val="11"/>
          <w:b/>
          <w:bCs/>
        </w:rPr>
      </w:pPr>
    </w:p>
    <w:p w14:paraId="1A7E3211">
      <w:pPr>
        <w:pStyle w:val="3"/>
      </w:pPr>
      <w:r>
        <w:rPr>
          <w:rStyle w:val="11"/>
          <w:b/>
          <w:bCs/>
        </w:rPr>
        <w:t>Conclusion</w:t>
      </w:r>
      <w:r>
        <w:t xml:space="preserve"> </w:t>
      </w:r>
    </w:p>
    <w:p w14:paraId="035BB6D1">
      <w:pPr>
        <w:pStyle w:val="10"/>
      </w:pPr>
      <w:r>
        <w:t>The COVID-19 pandemic exposed a fundamental weakness in the Schengen Area’s otherwise seamless integration—its inability to respond as a unified entity during a transnational health crisis. While borders within Europe may have dissolved for the purpose of economic and human mobility, national health systems remained distinctly isolated, unprepared for a challenge that required cooperation over competition. The chaotic implementation of restrictions, lack of digital interoperability, and conflicting legal mandates revealed a governance vacuum that cost the region both lives and economic resilience (Greer et al., 2020; Brooks et al., 2021).</w:t>
      </w:r>
    </w:p>
    <w:p w14:paraId="545DAB10">
      <w:pPr>
        <w:pStyle w:val="10"/>
      </w:pPr>
      <w:r>
        <w:t>This report proposes a five-tier strategic framework that can transform how the EU prepares for and responds to pandemics in high-mobility, tourism-centric regions. By developing a unified surveillance infrastructure, countries can share real-time health data that supports timely interventions and mitigates cross-border transmission. Interoperable digital contact tracing tools and shared data platforms offer a future where containment can occur without shutting down entire economies. The foundation of effective crisis management lies in foresight, and a shared surveillance system would ensure that foresight is collective, not fragmented (Gstrein, 2021).</w:t>
      </w:r>
    </w:p>
    <w:p w14:paraId="351EEF7F">
      <w:pPr>
        <w:pStyle w:val="10"/>
      </w:pPr>
      <w:r>
        <w:t>The call for a harmonized legal charter is not just about law—it is about equity and clarity in policymaking. As seen during COVID-19, unilateral decisions by individual countries undermined the spirit of the Schengen Agreement and sowed confusion among tourists, transport workers, and local businesses. Legal coherence would mean that public health decisions are based on collective evidence, not political urgency. Empowering institutions like the ECDC and the European Commission with enforceable authority during emergencies will streamline responses and protect the credibility of EU governance (Fidler, 2019; Santos &amp; da Silva, 2020).</w:t>
      </w:r>
    </w:p>
    <w:p w14:paraId="509B5680">
      <w:pPr>
        <w:pStyle w:val="10"/>
      </w:pPr>
      <w:r>
        <w:t>A harmonized risk zoning model further supports this structure by replacing guesswork and reactionary policymaking with scientific rigor. By adopting a uniform green-orange-red zoning system, Schengen countries can align their entry protocols, reduce arbitrary travel restrictions, and provide clarity to travelers and tourism operators. This level of predictability is crucial for reviving trust in the tourism sector, which remains vulnerable to health scares and inconsistent messaging. Effective zoning bridges the divide between safety and freedom—two values essential to Europe’s identity (OECD, 2020).</w:t>
      </w:r>
    </w:p>
    <w:p w14:paraId="69433398">
      <w:pPr>
        <w:pStyle w:val="10"/>
      </w:pPr>
      <w:r>
        <w:t>Communication during crises is more than just information sharing—it is about trust-building. A multilingual EU crisis communication portal would centralize updates, counter misinformation, and present a unified voice during emergencies. Inconsistent communication in the last pandemic caused fear, reduced compliance, and sparked xenophobic narratives. By integrating health and tourism updates in a transparent, multilingual platform, the EU can demonstrate leadership and solidarity, both of which are essential to navigating crises with public support (Greer et al., 2021).</w:t>
      </w:r>
    </w:p>
    <w:p w14:paraId="2E76AF08">
      <w:pPr>
        <w:pStyle w:val="10"/>
      </w:pPr>
      <w:r>
        <w:t>A resilient tourism recovery strategy must acknowledge that public health and economic recovery are intertwined. Certification schemes, reassurance campaigns, and dynamic destination management will allow the EU to rebuild traveler confidence while supporting local tourism economies. Such strategies must be embedded in a broader policy framework that is flexible, evidence-based, and inclusive of stakeholders from both the public and private sectors. The pandemic has shown that resilience is not born from isolation, but from coordinated adaptation (Brooks et al., 2021).</w:t>
      </w:r>
    </w:p>
    <w:p w14:paraId="4BF6AB04">
      <w:pPr>
        <w:pStyle w:val="10"/>
      </w:pPr>
      <w:r>
        <w:t>This five-tier framework provides more than a roadmap—it offers a vision for future-proofing the Schengen Area. It argues for a new equilibrium where health security and freedom of movement are not mutually exclusive, but mutually reinforcing. Each tier builds upon the others, creating a networked response system that can act swiftly and equitably in the face of future pandemics or biosecurity threats. Aligning with the WHO's IHR and the EU’s Health Security Framework ensures that this model operates both locally and globally (Fidler, 2019; Gstrein, 2021).</w:t>
      </w:r>
    </w:p>
    <w:p w14:paraId="6B0B65AD">
      <w:pPr>
        <w:pStyle w:val="10"/>
      </w:pPr>
      <w:r>
        <w:t>While this paper focuses on pandemic response, the framework also holds relevance for other crises that intersect with mobility—such as climate disasters, cyber-attacks, and migrant health emergencies. The architecture of trust, clarity, and integration can serve as a resilient backbone for the European project itself. A tourism zone cannot thrive in isolation; its safety and success depend on the health of its neighbors, both literally and figuratively.</w:t>
      </w:r>
    </w:p>
    <w:p w14:paraId="065568CD">
      <w:pPr>
        <w:pStyle w:val="10"/>
      </w:pPr>
      <w:r>
        <w:t>The recommendations here are not without challenges. Legal reform within the EU is complex, and concerns over national sovereignty will persist. Privacy issues in digital surveillance and the costs of harmonization must be addressed with inclusive stakeholder engagement and public dialogue. However, the costs of inaction—economic collapse, reputational damage, and human suffering—are far greater. Europe must act with urgency, foresight, and unity.</w:t>
      </w:r>
    </w:p>
    <w:p w14:paraId="68E55D20">
      <w:pPr>
        <w:pStyle w:val="10"/>
      </w:pPr>
      <w:r>
        <w:t xml:space="preserve">In conclusion, this report offers a pragmatic yet ambitious framework for coordinated health governance in Schengen’s tourism regions. It recognizes that the next crisis is not a matter of </w:t>
      </w:r>
      <w:r>
        <w:rPr>
          <w:rStyle w:val="8"/>
        </w:rPr>
        <w:t>if</w:t>
      </w:r>
      <w:r>
        <w:t xml:space="preserve">, but </w:t>
      </w:r>
      <w:r>
        <w:rPr>
          <w:rStyle w:val="8"/>
        </w:rPr>
        <w:t>when</w:t>
      </w:r>
      <w:r>
        <w:t>. By learning from the disjointed responses of the past and aligning with global best practices, the EU can protect its people, its values, and its visitors with a model of cross-border solidarity that embodies the true spirit of European integration.</w:t>
      </w:r>
    </w:p>
    <w:p w14:paraId="478054CB">
      <w:pPr>
        <w:pStyle w:val="3"/>
      </w:pPr>
    </w:p>
    <w:p w14:paraId="24E62DFC">
      <w:pPr>
        <w:pStyle w:val="3"/>
      </w:pPr>
      <w:r>
        <w:t>References</w:t>
      </w:r>
    </w:p>
    <w:p w14:paraId="7FAB7847">
      <w:pPr>
        <w:pStyle w:val="10"/>
        <w:numPr>
          <w:ilvl w:val="0"/>
          <w:numId w:val="2"/>
        </w:numPr>
      </w:pPr>
      <w:r>
        <w:t xml:space="preserve">Brooks, E., Greer, S., de Ruijter, A. (2021). </w:t>
      </w:r>
      <w:r>
        <w:rPr>
          <w:rStyle w:val="8"/>
        </w:rPr>
        <w:t>COVID-19 and the Future of Health Governance in the European Union</w:t>
      </w:r>
      <w:r>
        <w:t>. Journal of European Public Policy.</w:t>
      </w:r>
    </w:p>
    <w:p w14:paraId="3F96145A">
      <w:pPr>
        <w:pStyle w:val="10"/>
        <w:numPr>
          <w:ilvl w:val="0"/>
          <w:numId w:val="2"/>
        </w:numPr>
      </w:pPr>
      <w:r>
        <w:t xml:space="preserve">Fidler, D. P. (2019). </w:t>
      </w:r>
      <w:r>
        <w:rPr>
          <w:rStyle w:val="8"/>
        </w:rPr>
        <w:t>Global Health Governance: Overview and Analysis</w:t>
      </w:r>
      <w:r>
        <w:t>. Routledge.</w:t>
      </w:r>
    </w:p>
    <w:p w14:paraId="0F5B3797">
      <w:pPr>
        <w:pStyle w:val="10"/>
        <w:numPr>
          <w:ilvl w:val="0"/>
          <w:numId w:val="2"/>
        </w:numPr>
      </w:pPr>
      <w:r>
        <w:t xml:space="preserve">Greer, S., King, E. J., Massard da Fonseca, E., Peralta-Santos, A. (2020). </w:t>
      </w:r>
      <w:r>
        <w:rPr>
          <w:rStyle w:val="8"/>
        </w:rPr>
        <w:t>The Comparative Politics of COVID-19: The Need for Global Health Governance</w:t>
      </w:r>
      <w:r>
        <w:t>. International Journal of Health Policy and Management.</w:t>
      </w:r>
    </w:p>
    <w:p w14:paraId="5AB209D2">
      <w:pPr>
        <w:pStyle w:val="10"/>
        <w:numPr>
          <w:ilvl w:val="0"/>
          <w:numId w:val="2"/>
        </w:numPr>
      </w:pPr>
      <w:r>
        <w:t xml:space="preserve">Gstrein, O. J. (2021). </w:t>
      </w:r>
      <w:r>
        <w:rPr>
          <w:rStyle w:val="8"/>
        </w:rPr>
        <w:t>Digital Contact Tracing and European Human Rights Law: Protecting Privacy During Pandemics</w:t>
      </w:r>
      <w:r>
        <w:t>. European Journal of Risk Regulation.</w:t>
      </w:r>
    </w:p>
    <w:p w14:paraId="65B480EF">
      <w:pPr>
        <w:pStyle w:val="10"/>
        <w:numPr>
          <w:ilvl w:val="0"/>
          <w:numId w:val="2"/>
        </w:numPr>
      </w:pPr>
      <w:r>
        <w:t xml:space="preserve">OECD (2020). </w:t>
      </w:r>
      <w:r>
        <w:rPr>
          <w:rStyle w:val="8"/>
        </w:rPr>
        <w:t>Tourism Policy Responses to the Coronavirus (COVID-19)</w:t>
      </w:r>
      <w:r>
        <w:t>. OECD Publishing.</w:t>
      </w:r>
    </w:p>
    <w:p w14:paraId="5F93992F">
      <w:pPr>
        <w:pStyle w:val="10"/>
        <w:numPr>
          <w:ilvl w:val="0"/>
          <w:numId w:val="2"/>
        </w:numPr>
      </w:pPr>
      <w:r>
        <w:t xml:space="preserve">Santos, R., &amp; da Silva, M. (2020). </w:t>
      </w:r>
      <w:r>
        <w:rPr>
          <w:rStyle w:val="8"/>
        </w:rPr>
        <w:t>Legal and Institutional Frameworks in EU Crisis Management: Lessons from COVID-19</w:t>
      </w:r>
      <w:r>
        <w:t>. European Law Journal.</w:t>
      </w:r>
    </w:p>
    <w:p w14:paraId="01B0C0AA">
      <w:pPr>
        <w:pStyle w:val="10"/>
        <w:numPr>
          <w:ilvl w:val="0"/>
          <w:numId w:val="2"/>
        </w:numPr>
      </w:pPr>
      <w:r>
        <w:t xml:space="preserve">WHO (2005). </w:t>
      </w:r>
      <w:r>
        <w:rPr>
          <w:rStyle w:val="8"/>
        </w:rPr>
        <w:t>International Health Regulations (IHR)</w:t>
      </w:r>
      <w:r>
        <w:t>. World Health Organization.</w:t>
      </w:r>
    </w:p>
    <w:p w14:paraId="3B2B5536">
      <w:pPr>
        <w:pStyle w:val="10"/>
        <w:numPr>
          <w:ilvl w:val="0"/>
          <w:numId w:val="2"/>
        </w:numPr>
      </w:pPr>
      <w:r>
        <w:t xml:space="preserve">WHO (2020). </w:t>
      </w:r>
      <w:r>
        <w:rPr>
          <w:rStyle w:val="8"/>
        </w:rPr>
        <w:t>COVID-19 Strategic Preparedness and Response Plan</w:t>
      </w:r>
      <w:r>
        <w:t>. World Health Organization.</w:t>
      </w:r>
    </w:p>
    <w:p w14:paraId="5DCD2BE6">
      <w:pPr>
        <w:pStyle w:val="10"/>
        <w:numPr>
          <w:ilvl w:val="0"/>
          <w:numId w:val="3"/>
        </w:numPr>
      </w:pPr>
      <w:r>
        <w:t xml:space="preserve">Brooks, R., &amp; Carter, H. (2021). </w:t>
      </w:r>
      <w:r>
        <w:rPr>
          <w:rStyle w:val="8"/>
        </w:rPr>
        <w:t>Health governance and the EU’s response to COVID-19</w:t>
      </w:r>
      <w:r>
        <w:t>. Journal of European Public Health, 29(5), 723–735.</w:t>
      </w:r>
    </w:p>
    <w:p w14:paraId="385DDDC9">
      <w:pPr>
        <w:pStyle w:val="10"/>
        <w:numPr>
          <w:ilvl w:val="0"/>
          <w:numId w:val="3"/>
        </w:numPr>
      </w:pPr>
      <w:r>
        <w:t xml:space="preserve">European Commission. (2021). </w:t>
      </w:r>
      <w:r>
        <w:rPr>
          <w:rStyle w:val="8"/>
        </w:rPr>
        <w:t>Travel and COVID-19: EU Response Timeline</w:t>
      </w:r>
      <w:r>
        <w:t>. Brussels: DG SANTE.</w:t>
      </w:r>
    </w:p>
    <w:p w14:paraId="6264B6F4">
      <w:pPr>
        <w:pStyle w:val="10"/>
        <w:numPr>
          <w:ilvl w:val="0"/>
          <w:numId w:val="3"/>
        </w:numPr>
      </w:pPr>
      <w:r>
        <w:t xml:space="preserve">Fidler, D. (2019). </w:t>
      </w:r>
      <w:r>
        <w:rPr>
          <w:rStyle w:val="8"/>
        </w:rPr>
        <w:t>The Challenges of Implementing the IHR in the EU</w:t>
      </w:r>
      <w:r>
        <w:t>. Global Health Law Journal, 11(2), 115–129.</w:t>
      </w:r>
    </w:p>
    <w:p w14:paraId="57C74C30">
      <w:pPr>
        <w:pStyle w:val="10"/>
        <w:numPr>
          <w:ilvl w:val="0"/>
          <w:numId w:val="3"/>
        </w:numPr>
      </w:pPr>
      <w:r>
        <w:t xml:space="preserve">Greer, S. L., et al. (2020). </w:t>
      </w:r>
      <w:r>
        <w:rPr>
          <w:rStyle w:val="8"/>
        </w:rPr>
        <w:t>Crisis and coordination: Health governance in the European Union</w:t>
      </w:r>
      <w:r>
        <w:t>. Comparative Politics Review, 48(3), 331–350.</w:t>
      </w:r>
    </w:p>
    <w:p w14:paraId="0E3A8C24">
      <w:pPr>
        <w:pStyle w:val="10"/>
        <w:numPr>
          <w:ilvl w:val="0"/>
          <w:numId w:val="3"/>
        </w:numPr>
      </w:pPr>
      <w:r>
        <w:t xml:space="preserve">Gstrein, O. (2021). </w:t>
      </w:r>
      <w:r>
        <w:rPr>
          <w:rStyle w:val="8"/>
        </w:rPr>
        <w:t>Pandemic surveillance, data rights, and EU law</w:t>
      </w:r>
      <w:r>
        <w:t>. European Journal of Law and Technology, 12(2), 133–147.</w:t>
      </w:r>
    </w:p>
    <w:p w14:paraId="7E0F8002">
      <w:pPr>
        <w:pStyle w:val="10"/>
        <w:numPr>
          <w:ilvl w:val="0"/>
          <w:numId w:val="3"/>
        </w:numPr>
      </w:pPr>
      <w:r>
        <w:t xml:space="preserve">OECD. (2020). </w:t>
      </w:r>
      <w:r>
        <w:rPr>
          <w:rStyle w:val="8"/>
        </w:rPr>
        <w:t>Pandemic Zoning Strategies: International Experiences</w:t>
      </w:r>
      <w:r>
        <w:t>. Paris: OECD Publishing.</w:t>
      </w:r>
    </w:p>
    <w:p w14:paraId="43C654B9">
      <w:pPr>
        <w:pStyle w:val="10"/>
        <w:numPr>
          <w:ilvl w:val="0"/>
          <w:numId w:val="3"/>
        </w:numPr>
      </w:pPr>
      <w:r>
        <w:t xml:space="preserve">Santos, M., &amp; da Silva, T. (2020). </w:t>
      </w:r>
      <w:r>
        <w:rPr>
          <w:rStyle w:val="8"/>
        </w:rPr>
        <w:t>EU Mobility Law under Pandemic Pressure</w:t>
      </w:r>
      <w:r>
        <w:t>. European Journal of Legal Studies, 9(1), 22–41.</w:t>
      </w:r>
    </w:p>
    <w:p w14:paraId="442EB1EE">
      <w:pPr>
        <w:pStyle w:val="10"/>
        <w:numPr>
          <w:ilvl w:val="0"/>
          <w:numId w:val="3"/>
        </w:numPr>
      </w:pPr>
      <w:r>
        <w:t xml:space="preserve">Thiel, M. (2021). </w:t>
      </w:r>
      <w:r>
        <w:rPr>
          <w:rStyle w:val="8"/>
        </w:rPr>
        <w:t>Governing Health Crises Across Borders: What the EU Missed</w:t>
      </w:r>
      <w:r>
        <w:t>. Public Administration in Europe, 37(1), 85–104.</w:t>
      </w:r>
    </w:p>
    <w:p w14:paraId="78607AC3">
      <w:pPr>
        <w:pStyle w:val="10"/>
        <w:numPr>
          <w:ilvl w:val="0"/>
          <w:numId w:val="3"/>
        </w:numPr>
      </w:pPr>
      <w:r>
        <w:t xml:space="preserve">WHO. (2005). </w:t>
      </w:r>
      <w:r>
        <w:rPr>
          <w:rStyle w:val="8"/>
        </w:rPr>
        <w:t>International Health Regulations (IHR)</w:t>
      </w:r>
      <w:r>
        <w:t>. Geneva: World Health Organization.</w:t>
      </w:r>
    </w:p>
    <w:p w14:paraId="105D5F2C">
      <w:pPr>
        <w:pStyle w:val="10"/>
        <w:numPr>
          <w:ilvl w:val="0"/>
          <w:numId w:val="3"/>
        </w:numPr>
      </w:pPr>
      <w:r>
        <w:t xml:space="preserve">WHO. (2020). </w:t>
      </w:r>
      <w:r>
        <w:rPr>
          <w:rStyle w:val="8"/>
        </w:rPr>
        <w:t>Operational Considerations for Border Management in COVID-19</w:t>
      </w:r>
      <w:r>
        <w:t>. Geneva: WHO.</w:t>
      </w:r>
    </w:p>
    <w:p w14:paraId="76665FCF"/>
    <w:sectPr>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2A239F"/>
    <w:multiLevelType w:val="multilevel"/>
    <w:tmpl w:val="1C2A239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72F31B9C"/>
    <w:multiLevelType w:val="multilevel"/>
    <w:tmpl w:val="72F31B9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73124B32"/>
    <w:multiLevelType w:val="multilevel"/>
    <w:tmpl w:val="73124B3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21F"/>
    <w:rsid w:val="001916A8"/>
    <w:rsid w:val="0033555E"/>
    <w:rsid w:val="003D62F1"/>
    <w:rsid w:val="00485CA6"/>
    <w:rsid w:val="004A5B01"/>
    <w:rsid w:val="00563E88"/>
    <w:rsid w:val="00672EA7"/>
    <w:rsid w:val="006A5246"/>
    <w:rsid w:val="00746D17"/>
    <w:rsid w:val="007C58FC"/>
    <w:rsid w:val="008B22C7"/>
    <w:rsid w:val="009D421F"/>
    <w:rsid w:val="009F118F"/>
    <w:rsid w:val="00A454A9"/>
    <w:rsid w:val="00B74537"/>
    <w:rsid w:val="00BB1140"/>
    <w:rsid w:val="00BB5DD3"/>
    <w:rsid w:val="00C448D7"/>
    <w:rsid w:val="00D1227E"/>
    <w:rsid w:val="00D26592"/>
    <w:rsid w:val="00D915F8"/>
    <w:rsid w:val="00DB667C"/>
    <w:rsid w:val="00EC504E"/>
    <w:rsid w:val="00FE031A"/>
    <w:rsid w:val="77933F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2"/>
    <w:basedOn w:val="1"/>
    <w:link w:val="14"/>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rPr>
  </w:style>
  <w:style w:type="paragraph" w:styleId="3">
    <w:name w:val="heading 3"/>
    <w:basedOn w:val="1"/>
    <w:link w:val="15"/>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rPr>
  </w:style>
  <w:style w:type="paragraph" w:styleId="4">
    <w:name w:val="heading 4"/>
    <w:basedOn w:val="1"/>
    <w:next w:val="1"/>
    <w:link w:val="16"/>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rPr>
  </w:style>
  <w:style w:type="character" w:default="1" w:styleId="5">
    <w:name w:val="Default Paragraph Font"/>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3"/>
    <w:semiHidden/>
    <w:unhideWhenUsed/>
    <w:uiPriority w:val="99"/>
    <w:pPr>
      <w:spacing w:after="0" w:line="240" w:lineRule="auto"/>
    </w:pPr>
    <w:rPr>
      <w:rFonts w:ascii="Tahoma" w:hAnsi="Tahoma" w:cs="Tahoma"/>
      <w:sz w:val="16"/>
      <w:szCs w:val="16"/>
    </w:rPr>
  </w:style>
  <w:style w:type="character" w:styleId="8">
    <w:name w:val="Emphasis"/>
    <w:basedOn w:val="5"/>
    <w:qFormat/>
    <w:uiPriority w:val="20"/>
    <w:rPr>
      <w:i/>
      <w:iCs/>
    </w:rPr>
  </w:style>
  <w:style w:type="character" w:styleId="9">
    <w:name w:val="Hyperlink"/>
    <w:basedOn w:val="5"/>
    <w:semiHidden/>
    <w:unhideWhenUsed/>
    <w:qFormat/>
    <w:uiPriority w:val="99"/>
    <w:rPr>
      <w:color w:val="0000FF"/>
      <w:u w:val="single"/>
    </w:rPr>
  </w:style>
  <w:style w:type="paragraph" w:styleId="10">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1">
    <w:name w:val="Strong"/>
    <w:basedOn w:val="5"/>
    <w:qFormat/>
    <w:uiPriority w:val="22"/>
    <w:rPr>
      <w:b/>
      <w:bCs/>
    </w:rPr>
  </w:style>
  <w:style w:type="paragraph" w:styleId="12">
    <w:name w:val="List Paragraph"/>
    <w:basedOn w:val="1"/>
    <w:qFormat/>
    <w:uiPriority w:val="34"/>
    <w:pPr>
      <w:ind w:left="720"/>
      <w:contextualSpacing/>
    </w:pPr>
  </w:style>
  <w:style w:type="character" w:customStyle="1" w:styleId="13">
    <w:name w:val="Balloon Text Char"/>
    <w:basedOn w:val="5"/>
    <w:link w:val="7"/>
    <w:semiHidden/>
    <w:qFormat/>
    <w:uiPriority w:val="99"/>
    <w:rPr>
      <w:rFonts w:ascii="Tahoma" w:hAnsi="Tahoma" w:cs="Tahoma"/>
      <w:sz w:val="16"/>
      <w:szCs w:val="16"/>
    </w:rPr>
  </w:style>
  <w:style w:type="character" w:customStyle="1" w:styleId="14">
    <w:name w:val="Heading 2 Char"/>
    <w:basedOn w:val="5"/>
    <w:link w:val="2"/>
    <w:uiPriority w:val="9"/>
    <w:rPr>
      <w:rFonts w:ascii="Times New Roman" w:hAnsi="Times New Roman" w:eastAsia="Times New Roman" w:cs="Times New Roman"/>
      <w:b/>
      <w:bCs/>
      <w:sz w:val="36"/>
      <w:szCs w:val="36"/>
    </w:rPr>
  </w:style>
  <w:style w:type="character" w:customStyle="1" w:styleId="15">
    <w:name w:val="Heading 3 Char"/>
    <w:basedOn w:val="5"/>
    <w:link w:val="3"/>
    <w:uiPriority w:val="9"/>
    <w:rPr>
      <w:rFonts w:ascii="Times New Roman" w:hAnsi="Times New Roman" w:eastAsia="Times New Roman" w:cs="Times New Roman"/>
      <w:b/>
      <w:bCs/>
      <w:sz w:val="27"/>
      <w:szCs w:val="27"/>
    </w:rPr>
  </w:style>
  <w:style w:type="character" w:customStyle="1" w:styleId="16">
    <w:name w:val="Heading 4 Char"/>
    <w:basedOn w:val="5"/>
    <w:link w:val="4"/>
    <w:semiHidden/>
    <w:qFormat/>
    <w:uiPriority w:val="9"/>
    <w:rPr>
      <w:rFonts w:asciiTheme="majorHAnsi" w:hAnsiTheme="majorHAnsi" w:eastAsiaTheme="majorEastAsia" w:cstheme="majorBidi"/>
      <w:b/>
      <w:bCs/>
      <w:i/>
      <w:iCs/>
      <w:color w:val="4F81BD" w:themeColor="accent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4491</Words>
  <Characters>25600</Characters>
  <Lines>213</Lines>
  <Paragraphs>60</Paragraphs>
  <TotalTime>1405</TotalTime>
  <ScaleCrop>false</ScaleCrop>
  <LinksUpToDate>false</LinksUpToDate>
  <CharactersWithSpaces>30031</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2025-06-15T05:53:00Z</dcterms:created>
  <dc:creator>ANCHALIKA</dc:creator>
  <cp:lastModifiedBy>Dell</cp:lastModifiedBy>
  <dcterms:modified xsi:type="dcterms:W3CDTF">2025-06-23T10:33:08Z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EFEE91412C754710BAA5B509A095F524_13</vt:lpwstr>
  </property>
</Properties>
</file>