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613E81" w:rsidRDefault="000437FE" w:rsidP="00013DBD">
      <w:pPr>
        <w:spacing w:line="480" w:lineRule="auto"/>
        <w:rPr>
          <w:rFonts w:ascii="Times New Roman" w:hAnsi="Times New Roman" w:cs="Times New Roman"/>
          <w:szCs w:val="24"/>
          <w:lang w:val="en-US"/>
        </w:rPr>
      </w:pPr>
      <w:r w:rsidRPr="00613E81">
        <w:rPr>
          <w:rFonts w:ascii="Times New Roman" w:hAnsi="Times New Roman" w:cs="Times New Roman"/>
          <w:noProof/>
          <w:szCs w:val="24"/>
          <w:lang w:val="en-US"/>
        </w:rPr>
        <w:drawing>
          <wp:anchor distT="0" distB="0" distL="114300" distR="114300" simplePos="0" relativeHeight="251659264" behindDoc="1" locked="0" layoutInCell="1" allowOverlap="1" wp14:anchorId="1BEB24B7" wp14:editId="13CCD34C">
            <wp:simplePos x="0" y="0"/>
            <wp:positionH relativeFrom="margin">
              <wp:posOffset>5666740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613E81" w:rsidRDefault="00D33052" w:rsidP="00013DBD">
      <w:pPr>
        <w:spacing w:line="480" w:lineRule="auto"/>
        <w:rPr>
          <w:rFonts w:ascii="Times New Roman" w:hAnsi="Times New Roman" w:cs="Times New Roman"/>
          <w:szCs w:val="24"/>
          <w:lang w:val="en-US"/>
        </w:rPr>
      </w:pPr>
    </w:p>
    <w:p w14:paraId="7E3FD4C8" w14:textId="77777777" w:rsidR="004A1F6F" w:rsidRPr="00613E81" w:rsidRDefault="004A1F6F" w:rsidP="00013DBD">
      <w:pPr>
        <w:spacing w:line="480" w:lineRule="auto"/>
        <w:jc w:val="center"/>
        <w:rPr>
          <w:rFonts w:ascii="Times New Roman" w:hAnsi="Times New Roman" w:cs="Times New Roman"/>
          <w:szCs w:val="24"/>
        </w:rPr>
      </w:pPr>
    </w:p>
    <w:p w14:paraId="463B55AB" w14:textId="77777777" w:rsidR="004A1F6F" w:rsidRPr="00613E81" w:rsidRDefault="004A1F6F" w:rsidP="00013DBD">
      <w:pPr>
        <w:spacing w:line="480" w:lineRule="auto"/>
        <w:jc w:val="center"/>
        <w:rPr>
          <w:rFonts w:ascii="Times New Roman" w:hAnsi="Times New Roman" w:cs="Times New Roman"/>
          <w:szCs w:val="24"/>
        </w:rPr>
      </w:pPr>
    </w:p>
    <w:p w14:paraId="0C7555A9" w14:textId="77777777" w:rsidR="004A1F6F" w:rsidRPr="00613E81" w:rsidRDefault="004A1F6F" w:rsidP="00013DBD">
      <w:pPr>
        <w:spacing w:line="480" w:lineRule="auto"/>
        <w:jc w:val="center"/>
        <w:rPr>
          <w:rFonts w:ascii="Times New Roman" w:hAnsi="Times New Roman" w:cs="Times New Roman"/>
          <w:szCs w:val="24"/>
        </w:rPr>
      </w:pPr>
    </w:p>
    <w:p w14:paraId="3E48C347" w14:textId="77777777" w:rsidR="00F72ED2" w:rsidRPr="00613E81" w:rsidRDefault="00F72ED2" w:rsidP="00013DBD">
      <w:pPr>
        <w:spacing w:line="480" w:lineRule="auto"/>
        <w:jc w:val="center"/>
        <w:rPr>
          <w:rFonts w:ascii="Times New Roman" w:hAnsi="Times New Roman" w:cs="Times New Roman"/>
          <w:b/>
          <w:bCs/>
          <w:szCs w:val="24"/>
        </w:rPr>
      </w:pPr>
      <w:proofErr w:type="gramStart"/>
      <w:r w:rsidRPr="00613E81">
        <w:rPr>
          <w:rFonts w:ascii="Times New Roman" w:hAnsi="Times New Roman" w:cs="Times New Roman"/>
          <w:b/>
          <w:bCs/>
          <w:szCs w:val="24"/>
        </w:rPr>
        <w:t>Bachelor's</w:t>
      </w:r>
      <w:proofErr w:type="gramEnd"/>
      <w:r w:rsidRPr="00613E81">
        <w:rPr>
          <w:rFonts w:ascii="Times New Roman" w:hAnsi="Times New Roman" w:cs="Times New Roman"/>
          <w:b/>
          <w:bCs/>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szCs w:val="24"/>
        </w:rPr>
      </w:pPr>
      <w:r w:rsidRPr="0023731E">
        <w:rPr>
          <w:rFonts w:ascii="Times New Roman" w:hAnsi="Times New Roman" w:cs="Times New Roman"/>
          <w:b/>
          <w:bCs/>
          <w:szCs w:val="24"/>
        </w:rPr>
        <w:t>Tourism Law</w:t>
      </w:r>
    </w:p>
    <w:p w14:paraId="2C8D5449" w14:textId="10FB2868" w:rsidR="00A76B20" w:rsidRPr="00613E81" w:rsidRDefault="00632ED6" w:rsidP="00013DBD">
      <w:pPr>
        <w:spacing w:line="480" w:lineRule="auto"/>
        <w:rPr>
          <w:rFonts w:ascii="Times New Roman" w:hAnsi="Times New Roman" w:cs="Times New Roman"/>
          <w:szCs w:val="24"/>
          <w:lang w:val="en-US"/>
        </w:rPr>
      </w:pPr>
      <w:r w:rsidRPr="00632ED6">
        <w:rPr>
          <w:rFonts w:ascii="Times New Roman" w:hAnsi="Times New Roman" w:cs="Times New Roman"/>
          <w:szCs w:val="24"/>
          <w:lang w:val="en-US"/>
        </w:rPr>
        <w:drawing>
          <wp:inline distT="0" distB="0" distL="0" distR="0" wp14:anchorId="0E49CC04" wp14:editId="7E44DBBA">
            <wp:extent cx="5943600" cy="3442335"/>
            <wp:effectExtent l="0" t="0" r="0" b="5715"/>
            <wp:docPr id="1937041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41946" name=""/>
                    <pic:cNvPicPr/>
                  </pic:nvPicPr>
                  <pic:blipFill>
                    <a:blip r:embed="rId7"/>
                    <a:stretch>
                      <a:fillRect/>
                    </a:stretch>
                  </pic:blipFill>
                  <pic:spPr>
                    <a:xfrm>
                      <a:off x="0" y="0"/>
                      <a:ext cx="5943600" cy="3442335"/>
                    </a:xfrm>
                    <a:prstGeom prst="rect">
                      <a:avLst/>
                    </a:prstGeom>
                  </pic:spPr>
                </pic:pic>
              </a:graphicData>
            </a:graphic>
          </wp:inline>
        </w:drawing>
      </w:r>
    </w:p>
    <w:p w14:paraId="22EFAC9B" w14:textId="77777777" w:rsidR="0095171B" w:rsidRPr="00613E81" w:rsidRDefault="0095171B" w:rsidP="00013DBD">
      <w:pPr>
        <w:spacing w:line="480" w:lineRule="auto"/>
        <w:rPr>
          <w:rFonts w:ascii="Times New Roman" w:hAnsi="Times New Roman" w:cs="Times New Roman"/>
          <w:szCs w:val="24"/>
          <w:lang w:val="en-US"/>
        </w:rPr>
      </w:pPr>
    </w:p>
    <w:p w14:paraId="7F15E401" w14:textId="77777777" w:rsidR="00857685" w:rsidRPr="00613E81" w:rsidRDefault="00857685" w:rsidP="00013DBD">
      <w:pPr>
        <w:spacing w:line="480" w:lineRule="auto"/>
        <w:rPr>
          <w:rFonts w:ascii="Times New Roman" w:hAnsi="Times New Roman" w:cs="Times New Roman"/>
          <w:szCs w:val="24"/>
          <w:lang w:val="en-US"/>
        </w:rPr>
      </w:pPr>
    </w:p>
    <w:p w14:paraId="2491E09E" w14:textId="77777777" w:rsidR="000F369F" w:rsidRPr="00613E81" w:rsidRDefault="000F369F" w:rsidP="005B0192">
      <w:pPr>
        <w:spacing w:line="480" w:lineRule="auto"/>
        <w:rPr>
          <w:rFonts w:ascii="Times New Roman" w:hAnsi="Times New Roman" w:cs="Times New Roman"/>
          <w:szCs w:val="24"/>
          <w:lang w:val="en-US"/>
        </w:rPr>
      </w:pPr>
    </w:p>
    <w:p w14:paraId="25BE1823" w14:textId="307F7400" w:rsidR="00EA7FD8" w:rsidRPr="00613E81" w:rsidRDefault="00D33052" w:rsidP="005B0192">
      <w:pPr>
        <w:spacing w:line="480" w:lineRule="auto"/>
        <w:rPr>
          <w:rFonts w:ascii="Times New Roman" w:hAnsi="Times New Roman" w:cs="Times New Roman"/>
          <w:szCs w:val="24"/>
        </w:rPr>
      </w:pPr>
      <w:bookmarkStart w:id="0" w:name="_Toc221201954"/>
      <w:r w:rsidRPr="00613E81">
        <w:rPr>
          <w:rStyle w:val="Heading1Char"/>
          <w:rFonts w:ascii="Times New Roman" w:hAnsi="Times New Roman" w:cs="Times New Roman"/>
          <w:b/>
          <w:bCs/>
          <w:color w:val="auto"/>
          <w:sz w:val="24"/>
          <w:szCs w:val="24"/>
        </w:rPr>
        <w:lastRenderedPageBreak/>
        <w:t>Abstract</w:t>
      </w:r>
      <w:bookmarkEnd w:id="0"/>
    </w:p>
    <w:p w14:paraId="187C6A3B" w14:textId="77777777" w:rsidR="00002165" w:rsidRPr="00002165" w:rsidRDefault="00002165" w:rsidP="00002165">
      <w:pPr>
        <w:spacing w:line="480" w:lineRule="auto"/>
        <w:rPr>
          <w:rFonts w:ascii="Times New Roman" w:eastAsiaTheme="majorEastAsia" w:hAnsi="Times New Roman" w:cs="Times New Roman"/>
          <w:kern w:val="0"/>
          <w:szCs w:val="24"/>
          <w:lang w:bidi="ar-SA"/>
          <w14:ligatures w14:val="none"/>
        </w:rPr>
      </w:pPr>
      <w:r w:rsidRPr="00002165">
        <w:rPr>
          <w:rFonts w:ascii="Times New Roman" w:eastAsiaTheme="majorEastAsia" w:hAnsi="Times New Roman" w:cs="Times New Roman"/>
          <w:kern w:val="0"/>
          <w:szCs w:val="24"/>
          <w:lang w:bidi="ar-SA"/>
          <w14:ligatures w14:val="none"/>
        </w:rPr>
        <w:t xml:space="preserve">Consumer protection laws play a crucial role in regulating the tourism industry by safeguarding </w:t>
      </w:r>
      <w:proofErr w:type="spellStart"/>
      <w:r w:rsidRPr="00002165">
        <w:rPr>
          <w:rFonts w:ascii="Times New Roman" w:eastAsiaTheme="majorEastAsia" w:hAnsi="Times New Roman" w:cs="Times New Roman"/>
          <w:kern w:val="0"/>
          <w:szCs w:val="24"/>
          <w:lang w:bidi="ar-SA"/>
          <w14:ligatures w14:val="none"/>
        </w:rPr>
        <w:t>travelers’</w:t>
      </w:r>
      <w:proofErr w:type="spellEnd"/>
      <w:r w:rsidRPr="00002165">
        <w:rPr>
          <w:rFonts w:ascii="Times New Roman" w:eastAsiaTheme="majorEastAsia" w:hAnsi="Times New Roman" w:cs="Times New Roman"/>
          <w:kern w:val="0"/>
          <w:szCs w:val="24"/>
          <w:lang w:bidi="ar-SA"/>
          <w14:ligatures w14:val="none"/>
        </w:rPr>
        <w:t xml:space="preserve"> rights and ensuring fair treatment by service providers. Tourism transactions often involve advance payments, complex contractual terms, and cross-border services, which expose consumers to risks such as misleading advertising, unfair practices, and unsafe products or services. This assignment examines the role of consumer protection laws in the tourism industry, with a particular focus on </w:t>
      </w:r>
      <w:proofErr w:type="spellStart"/>
      <w:r w:rsidRPr="00002165">
        <w:rPr>
          <w:rFonts w:ascii="Times New Roman" w:eastAsiaTheme="majorEastAsia" w:hAnsi="Times New Roman" w:cs="Times New Roman"/>
          <w:kern w:val="0"/>
          <w:szCs w:val="24"/>
          <w:lang w:bidi="ar-SA"/>
          <w14:ligatures w14:val="none"/>
        </w:rPr>
        <w:t>travelers’</w:t>
      </w:r>
      <w:proofErr w:type="spellEnd"/>
      <w:r w:rsidRPr="00002165">
        <w:rPr>
          <w:rFonts w:ascii="Times New Roman" w:eastAsiaTheme="majorEastAsia" w:hAnsi="Times New Roman" w:cs="Times New Roman"/>
          <w:kern w:val="0"/>
          <w:szCs w:val="24"/>
          <w:lang w:bidi="ar-SA"/>
          <w14:ligatures w14:val="none"/>
        </w:rPr>
        <w:t xml:space="preserve"> rights and obligations. It explores key legislative frameworks, including the Package Travel Directive and comparable consumer protection regulations across different jurisdictions. The study further </w:t>
      </w:r>
      <w:proofErr w:type="spellStart"/>
      <w:r w:rsidRPr="00002165">
        <w:rPr>
          <w:rFonts w:ascii="Times New Roman" w:eastAsiaTheme="majorEastAsia" w:hAnsi="Times New Roman" w:cs="Times New Roman"/>
          <w:kern w:val="0"/>
          <w:szCs w:val="24"/>
          <w:lang w:bidi="ar-SA"/>
          <w14:ligatures w14:val="none"/>
        </w:rPr>
        <w:t>analyzes</w:t>
      </w:r>
      <w:proofErr w:type="spellEnd"/>
      <w:r w:rsidRPr="00002165">
        <w:rPr>
          <w:rFonts w:ascii="Times New Roman" w:eastAsiaTheme="majorEastAsia" w:hAnsi="Times New Roman" w:cs="Times New Roman"/>
          <w:kern w:val="0"/>
          <w:szCs w:val="24"/>
          <w:lang w:bidi="ar-SA"/>
          <w14:ligatures w14:val="none"/>
        </w:rPr>
        <w:t xml:space="preserve"> how these laws address unfair commercial practices, enhance transparency, and promote safety standards within tourism services. In addition, the assignment evaluates the legal responsibilities of tourism service providers in ensuring compliance with consumer protection requirements. </w:t>
      </w:r>
      <w:proofErr w:type="gramStart"/>
      <w:r w:rsidRPr="00002165">
        <w:rPr>
          <w:rFonts w:ascii="Times New Roman" w:eastAsiaTheme="majorEastAsia" w:hAnsi="Times New Roman" w:cs="Times New Roman"/>
          <w:kern w:val="0"/>
          <w:szCs w:val="24"/>
          <w:lang w:bidi="ar-SA"/>
          <w14:ligatures w14:val="none"/>
        </w:rPr>
        <w:t>Through the use of</w:t>
      </w:r>
      <w:proofErr w:type="gramEnd"/>
      <w:r w:rsidRPr="00002165">
        <w:rPr>
          <w:rFonts w:ascii="Times New Roman" w:eastAsiaTheme="majorEastAsia" w:hAnsi="Times New Roman" w:cs="Times New Roman"/>
          <w:kern w:val="0"/>
          <w:szCs w:val="24"/>
          <w:lang w:bidi="ar-SA"/>
          <w14:ligatures w14:val="none"/>
        </w:rPr>
        <w:t xml:space="preserve"> case studies involving consumer disputes in tourism, the paper demonstrates how legal frameworks are applied in practice to resolve conflicts and restore consumer confidence. Overall, the analysis highlights that consumer protection laws are essential not only for protecting </w:t>
      </w:r>
      <w:proofErr w:type="spellStart"/>
      <w:r w:rsidRPr="00002165">
        <w:rPr>
          <w:rFonts w:ascii="Times New Roman" w:eastAsiaTheme="majorEastAsia" w:hAnsi="Times New Roman" w:cs="Times New Roman"/>
          <w:kern w:val="0"/>
          <w:szCs w:val="24"/>
          <w:lang w:bidi="ar-SA"/>
          <w14:ligatures w14:val="none"/>
        </w:rPr>
        <w:t>travelers</w:t>
      </w:r>
      <w:proofErr w:type="spellEnd"/>
      <w:r w:rsidRPr="00002165">
        <w:rPr>
          <w:rFonts w:ascii="Times New Roman" w:eastAsiaTheme="majorEastAsia" w:hAnsi="Times New Roman" w:cs="Times New Roman"/>
          <w:kern w:val="0"/>
          <w:szCs w:val="24"/>
          <w:lang w:bidi="ar-SA"/>
          <w14:ligatures w14:val="none"/>
        </w:rPr>
        <w:t xml:space="preserve"> but also for promoting trust, accountability, and sustainable growth within the global tourism industry.</w:t>
      </w:r>
    </w:p>
    <w:p w14:paraId="715E436B" w14:textId="77777777" w:rsidR="000F369F" w:rsidRPr="00613E81" w:rsidRDefault="000F369F" w:rsidP="00EA7FD8">
      <w:pPr>
        <w:spacing w:line="480" w:lineRule="auto"/>
        <w:rPr>
          <w:rFonts w:ascii="Times New Roman" w:eastAsiaTheme="majorEastAsia" w:hAnsi="Times New Roman" w:cs="Times New Roman"/>
          <w:kern w:val="0"/>
          <w:szCs w:val="24"/>
          <w:lang w:bidi="ar-SA"/>
          <w14:ligatures w14:val="none"/>
        </w:rPr>
      </w:pPr>
    </w:p>
    <w:p w14:paraId="58A86A76" w14:textId="77777777" w:rsidR="000F369F" w:rsidRPr="00613E81" w:rsidRDefault="000F369F" w:rsidP="00EA7FD8">
      <w:pPr>
        <w:spacing w:line="480" w:lineRule="auto"/>
        <w:rPr>
          <w:rFonts w:ascii="Times New Roman" w:eastAsiaTheme="majorEastAsia" w:hAnsi="Times New Roman" w:cs="Times New Roman"/>
          <w:kern w:val="0"/>
          <w:szCs w:val="24"/>
          <w:lang w:bidi="ar-SA"/>
          <w14:ligatures w14:val="none"/>
        </w:rPr>
      </w:pPr>
    </w:p>
    <w:p w14:paraId="09594BFC" w14:textId="77777777" w:rsidR="000F369F" w:rsidRPr="00613E81" w:rsidRDefault="000F369F" w:rsidP="00EA7FD8">
      <w:pPr>
        <w:spacing w:line="480" w:lineRule="auto"/>
        <w:rPr>
          <w:rFonts w:ascii="Times New Roman" w:eastAsiaTheme="majorEastAsia" w:hAnsi="Times New Roman" w:cs="Times New Roman"/>
          <w:kern w:val="0"/>
          <w:szCs w:val="24"/>
          <w:lang w:bidi="ar-SA"/>
          <w14:ligatures w14:val="none"/>
        </w:rPr>
      </w:pPr>
    </w:p>
    <w:p w14:paraId="33D266FB" w14:textId="77777777" w:rsidR="000F369F" w:rsidRPr="00EA7FD8" w:rsidRDefault="000F369F" w:rsidP="00EA7FD8">
      <w:pPr>
        <w:spacing w:line="480" w:lineRule="auto"/>
        <w:rPr>
          <w:rFonts w:ascii="Times New Roman" w:eastAsiaTheme="majorEastAsia" w:hAnsi="Times New Roman" w:cs="Times New Roman"/>
          <w:kern w:val="0"/>
          <w:szCs w:val="24"/>
          <w:lang w:bidi="ar-SA"/>
          <w14:ligatures w14:val="none"/>
        </w:rPr>
      </w:pPr>
    </w:p>
    <w:sdt>
      <w:sdtPr>
        <w:rPr>
          <w:rFonts w:ascii="Times New Roman" w:hAnsi="Times New Roman" w:cs="Times New Roman"/>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613E81" w:rsidRDefault="004D7D13" w:rsidP="00EA7FD8">
          <w:pPr>
            <w:pStyle w:val="TOCHeading"/>
            <w:spacing w:line="480" w:lineRule="auto"/>
            <w:rPr>
              <w:rFonts w:ascii="Times New Roman" w:hAnsi="Times New Roman" w:cs="Times New Roman"/>
              <w:color w:val="auto"/>
              <w:sz w:val="24"/>
              <w:szCs w:val="24"/>
            </w:rPr>
          </w:pPr>
          <w:r w:rsidRPr="00613E81">
            <w:rPr>
              <w:rFonts w:ascii="Times New Roman" w:hAnsi="Times New Roman" w:cs="Times New Roman"/>
              <w:color w:val="auto"/>
              <w:sz w:val="24"/>
              <w:szCs w:val="24"/>
            </w:rPr>
            <w:t>Contents</w:t>
          </w:r>
        </w:p>
        <w:p w14:paraId="7191005F" w14:textId="2E0B9E02" w:rsidR="000437FE" w:rsidRPr="00613E81"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613E81">
            <w:rPr>
              <w:rFonts w:ascii="Times New Roman" w:hAnsi="Times New Roman"/>
              <w:sz w:val="24"/>
              <w:szCs w:val="24"/>
            </w:rPr>
            <w:fldChar w:fldCharType="begin"/>
          </w:r>
          <w:r w:rsidRPr="00613E81">
            <w:rPr>
              <w:rFonts w:ascii="Times New Roman" w:hAnsi="Times New Roman"/>
              <w:sz w:val="24"/>
              <w:szCs w:val="24"/>
            </w:rPr>
            <w:instrText xml:space="preserve"> TOC \o "1-3" \h \z \u </w:instrText>
          </w:r>
          <w:r w:rsidRPr="00613E81">
            <w:rPr>
              <w:rFonts w:ascii="Times New Roman" w:hAnsi="Times New Roman"/>
              <w:sz w:val="24"/>
              <w:szCs w:val="24"/>
            </w:rPr>
            <w:fldChar w:fldCharType="separate"/>
          </w:r>
          <w:hyperlink w:anchor="_Toc221201954" w:history="1">
            <w:r w:rsidR="000437FE" w:rsidRPr="00613E81">
              <w:rPr>
                <w:rStyle w:val="Hyperlink"/>
                <w:rFonts w:ascii="Times New Roman" w:hAnsi="Times New Roman"/>
                <w:noProof/>
                <w:color w:val="auto"/>
                <w:sz w:val="24"/>
                <w:szCs w:val="24"/>
              </w:rPr>
              <w:t>Abstract</w:t>
            </w:r>
            <w:r w:rsidR="000437FE" w:rsidRPr="00613E81">
              <w:rPr>
                <w:rFonts w:ascii="Times New Roman" w:hAnsi="Times New Roman"/>
                <w:noProof/>
                <w:webHidden/>
                <w:sz w:val="24"/>
                <w:szCs w:val="24"/>
              </w:rPr>
              <w:tab/>
            </w:r>
            <w:r w:rsidR="000437FE" w:rsidRPr="00613E81">
              <w:rPr>
                <w:rFonts w:ascii="Times New Roman" w:hAnsi="Times New Roman"/>
                <w:noProof/>
                <w:webHidden/>
                <w:sz w:val="24"/>
                <w:szCs w:val="24"/>
              </w:rPr>
              <w:fldChar w:fldCharType="begin"/>
            </w:r>
            <w:r w:rsidR="000437FE" w:rsidRPr="00613E81">
              <w:rPr>
                <w:rFonts w:ascii="Times New Roman" w:hAnsi="Times New Roman"/>
                <w:noProof/>
                <w:webHidden/>
                <w:sz w:val="24"/>
                <w:szCs w:val="24"/>
              </w:rPr>
              <w:instrText xml:space="preserve"> PAGEREF _Toc221201954 \h </w:instrText>
            </w:r>
            <w:r w:rsidR="000437FE" w:rsidRPr="00613E81">
              <w:rPr>
                <w:rFonts w:ascii="Times New Roman" w:hAnsi="Times New Roman"/>
                <w:noProof/>
                <w:webHidden/>
                <w:sz w:val="24"/>
                <w:szCs w:val="24"/>
              </w:rPr>
            </w:r>
            <w:r w:rsidR="000437FE" w:rsidRPr="00613E81">
              <w:rPr>
                <w:rFonts w:ascii="Times New Roman" w:hAnsi="Times New Roman"/>
                <w:noProof/>
                <w:webHidden/>
                <w:sz w:val="24"/>
                <w:szCs w:val="24"/>
              </w:rPr>
              <w:fldChar w:fldCharType="separate"/>
            </w:r>
            <w:r w:rsidR="000437FE" w:rsidRPr="00613E81">
              <w:rPr>
                <w:rFonts w:ascii="Times New Roman" w:hAnsi="Times New Roman"/>
                <w:noProof/>
                <w:webHidden/>
                <w:sz w:val="24"/>
                <w:szCs w:val="24"/>
              </w:rPr>
              <w:t>2</w:t>
            </w:r>
            <w:r w:rsidR="000437FE" w:rsidRPr="00613E81">
              <w:rPr>
                <w:rFonts w:ascii="Times New Roman" w:hAnsi="Times New Roman"/>
                <w:noProof/>
                <w:webHidden/>
                <w:sz w:val="24"/>
                <w:szCs w:val="24"/>
              </w:rPr>
              <w:fldChar w:fldCharType="end"/>
            </w:r>
          </w:hyperlink>
        </w:p>
        <w:p w14:paraId="62C82D21" w14:textId="7FCE02C8" w:rsidR="000437FE" w:rsidRPr="00613E8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5" w:history="1">
            <w:r w:rsidRPr="00613E81">
              <w:rPr>
                <w:rStyle w:val="Hyperlink"/>
                <w:rFonts w:ascii="Times New Roman" w:hAnsi="Times New Roman"/>
                <w:noProof/>
                <w:color w:val="auto"/>
                <w:sz w:val="24"/>
                <w:szCs w:val="24"/>
              </w:rPr>
              <w:t>1.Introduction</w:t>
            </w:r>
            <w:r w:rsidRPr="00613E81">
              <w:rPr>
                <w:rFonts w:ascii="Times New Roman" w:hAnsi="Times New Roman"/>
                <w:noProof/>
                <w:webHidden/>
                <w:sz w:val="24"/>
                <w:szCs w:val="24"/>
              </w:rPr>
              <w:tab/>
            </w:r>
            <w:r w:rsidRPr="00613E81">
              <w:rPr>
                <w:rFonts w:ascii="Times New Roman" w:hAnsi="Times New Roman"/>
                <w:noProof/>
                <w:webHidden/>
                <w:sz w:val="24"/>
                <w:szCs w:val="24"/>
              </w:rPr>
              <w:fldChar w:fldCharType="begin"/>
            </w:r>
            <w:r w:rsidRPr="00613E81">
              <w:rPr>
                <w:rFonts w:ascii="Times New Roman" w:hAnsi="Times New Roman"/>
                <w:noProof/>
                <w:webHidden/>
                <w:sz w:val="24"/>
                <w:szCs w:val="24"/>
              </w:rPr>
              <w:instrText xml:space="preserve"> PAGEREF _Toc221201955 \h </w:instrText>
            </w:r>
            <w:r w:rsidRPr="00613E81">
              <w:rPr>
                <w:rFonts w:ascii="Times New Roman" w:hAnsi="Times New Roman"/>
                <w:noProof/>
                <w:webHidden/>
                <w:sz w:val="24"/>
                <w:szCs w:val="24"/>
              </w:rPr>
            </w:r>
            <w:r w:rsidRPr="00613E81">
              <w:rPr>
                <w:rFonts w:ascii="Times New Roman" w:hAnsi="Times New Roman"/>
                <w:noProof/>
                <w:webHidden/>
                <w:sz w:val="24"/>
                <w:szCs w:val="24"/>
              </w:rPr>
              <w:fldChar w:fldCharType="separate"/>
            </w:r>
            <w:r w:rsidRPr="00613E81">
              <w:rPr>
                <w:rFonts w:ascii="Times New Roman" w:hAnsi="Times New Roman"/>
                <w:noProof/>
                <w:webHidden/>
                <w:sz w:val="24"/>
                <w:szCs w:val="24"/>
              </w:rPr>
              <w:t>4</w:t>
            </w:r>
            <w:r w:rsidRPr="00613E81">
              <w:rPr>
                <w:rFonts w:ascii="Times New Roman" w:hAnsi="Times New Roman"/>
                <w:noProof/>
                <w:webHidden/>
                <w:sz w:val="24"/>
                <w:szCs w:val="24"/>
              </w:rPr>
              <w:fldChar w:fldCharType="end"/>
            </w:r>
          </w:hyperlink>
        </w:p>
        <w:p w14:paraId="34782521" w14:textId="4AF2BB27" w:rsidR="000437FE" w:rsidRPr="00613E8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6" w:history="1">
            <w:r w:rsidRPr="00613E81">
              <w:rPr>
                <w:rStyle w:val="Hyperlink"/>
                <w:rFonts w:ascii="Times New Roman" w:hAnsi="Times New Roman"/>
                <w:noProof/>
                <w:color w:val="auto"/>
                <w:sz w:val="24"/>
                <w:szCs w:val="24"/>
              </w:rPr>
              <w:t>2. Literature Review</w:t>
            </w:r>
            <w:r w:rsidRPr="00613E81">
              <w:rPr>
                <w:rFonts w:ascii="Times New Roman" w:hAnsi="Times New Roman"/>
                <w:noProof/>
                <w:webHidden/>
                <w:sz w:val="24"/>
                <w:szCs w:val="24"/>
              </w:rPr>
              <w:tab/>
            </w:r>
            <w:r w:rsidRPr="00613E81">
              <w:rPr>
                <w:rFonts w:ascii="Times New Roman" w:hAnsi="Times New Roman"/>
                <w:noProof/>
                <w:webHidden/>
                <w:sz w:val="24"/>
                <w:szCs w:val="24"/>
              </w:rPr>
              <w:fldChar w:fldCharType="begin"/>
            </w:r>
            <w:r w:rsidRPr="00613E81">
              <w:rPr>
                <w:rFonts w:ascii="Times New Roman" w:hAnsi="Times New Roman"/>
                <w:noProof/>
                <w:webHidden/>
                <w:sz w:val="24"/>
                <w:szCs w:val="24"/>
              </w:rPr>
              <w:instrText xml:space="preserve"> PAGEREF _Toc221201956 \h </w:instrText>
            </w:r>
            <w:r w:rsidRPr="00613E81">
              <w:rPr>
                <w:rFonts w:ascii="Times New Roman" w:hAnsi="Times New Roman"/>
                <w:noProof/>
                <w:webHidden/>
                <w:sz w:val="24"/>
                <w:szCs w:val="24"/>
              </w:rPr>
            </w:r>
            <w:r w:rsidRPr="00613E81">
              <w:rPr>
                <w:rFonts w:ascii="Times New Roman" w:hAnsi="Times New Roman"/>
                <w:noProof/>
                <w:webHidden/>
                <w:sz w:val="24"/>
                <w:szCs w:val="24"/>
              </w:rPr>
              <w:fldChar w:fldCharType="separate"/>
            </w:r>
            <w:r w:rsidRPr="00613E81">
              <w:rPr>
                <w:rFonts w:ascii="Times New Roman" w:hAnsi="Times New Roman"/>
                <w:noProof/>
                <w:webHidden/>
                <w:sz w:val="24"/>
                <w:szCs w:val="24"/>
              </w:rPr>
              <w:t>6</w:t>
            </w:r>
            <w:r w:rsidRPr="00613E81">
              <w:rPr>
                <w:rFonts w:ascii="Times New Roman" w:hAnsi="Times New Roman"/>
                <w:noProof/>
                <w:webHidden/>
                <w:sz w:val="24"/>
                <w:szCs w:val="24"/>
              </w:rPr>
              <w:fldChar w:fldCharType="end"/>
            </w:r>
          </w:hyperlink>
        </w:p>
        <w:p w14:paraId="00352A2D" w14:textId="4718D038" w:rsidR="000437FE" w:rsidRPr="00613E8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7" w:history="1">
            <w:r w:rsidRPr="00613E81">
              <w:rPr>
                <w:rStyle w:val="Hyperlink"/>
                <w:rFonts w:ascii="Times New Roman" w:hAnsi="Times New Roman"/>
                <w:noProof/>
                <w:color w:val="auto"/>
                <w:sz w:val="24"/>
                <w:szCs w:val="24"/>
              </w:rPr>
              <w:t>3 Methodology</w:t>
            </w:r>
            <w:r w:rsidRPr="00613E81">
              <w:rPr>
                <w:rFonts w:ascii="Times New Roman" w:hAnsi="Times New Roman"/>
                <w:noProof/>
                <w:webHidden/>
                <w:sz w:val="24"/>
                <w:szCs w:val="24"/>
              </w:rPr>
              <w:tab/>
            </w:r>
            <w:r w:rsidRPr="00613E81">
              <w:rPr>
                <w:rFonts w:ascii="Times New Roman" w:hAnsi="Times New Roman"/>
                <w:noProof/>
                <w:webHidden/>
                <w:sz w:val="24"/>
                <w:szCs w:val="24"/>
              </w:rPr>
              <w:fldChar w:fldCharType="begin"/>
            </w:r>
            <w:r w:rsidRPr="00613E81">
              <w:rPr>
                <w:rFonts w:ascii="Times New Roman" w:hAnsi="Times New Roman"/>
                <w:noProof/>
                <w:webHidden/>
                <w:sz w:val="24"/>
                <w:szCs w:val="24"/>
              </w:rPr>
              <w:instrText xml:space="preserve"> PAGEREF _Toc221201957 \h </w:instrText>
            </w:r>
            <w:r w:rsidRPr="00613E81">
              <w:rPr>
                <w:rFonts w:ascii="Times New Roman" w:hAnsi="Times New Roman"/>
                <w:noProof/>
                <w:webHidden/>
                <w:sz w:val="24"/>
                <w:szCs w:val="24"/>
              </w:rPr>
            </w:r>
            <w:r w:rsidRPr="00613E81">
              <w:rPr>
                <w:rFonts w:ascii="Times New Roman" w:hAnsi="Times New Roman"/>
                <w:noProof/>
                <w:webHidden/>
                <w:sz w:val="24"/>
                <w:szCs w:val="24"/>
              </w:rPr>
              <w:fldChar w:fldCharType="separate"/>
            </w:r>
            <w:r w:rsidRPr="00613E81">
              <w:rPr>
                <w:rFonts w:ascii="Times New Roman" w:hAnsi="Times New Roman"/>
                <w:noProof/>
                <w:webHidden/>
                <w:sz w:val="24"/>
                <w:szCs w:val="24"/>
              </w:rPr>
              <w:t>11</w:t>
            </w:r>
            <w:r w:rsidRPr="00613E81">
              <w:rPr>
                <w:rFonts w:ascii="Times New Roman" w:hAnsi="Times New Roman"/>
                <w:noProof/>
                <w:webHidden/>
                <w:sz w:val="24"/>
                <w:szCs w:val="24"/>
              </w:rPr>
              <w:fldChar w:fldCharType="end"/>
            </w:r>
          </w:hyperlink>
        </w:p>
        <w:p w14:paraId="129FA2E5" w14:textId="6EAB7FFE" w:rsidR="000437FE" w:rsidRPr="00613E8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8" w:history="1">
            <w:r w:rsidRPr="00613E81">
              <w:rPr>
                <w:rStyle w:val="Hyperlink"/>
                <w:rFonts w:ascii="Times New Roman" w:hAnsi="Times New Roman"/>
                <w:noProof/>
                <w:color w:val="auto"/>
                <w:sz w:val="24"/>
                <w:szCs w:val="24"/>
              </w:rPr>
              <w:t>4 Finding</w:t>
            </w:r>
            <w:r w:rsidRPr="00613E81">
              <w:rPr>
                <w:rFonts w:ascii="Times New Roman" w:hAnsi="Times New Roman"/>
                <w:noProof/>
                <w:webHidden/>
                <w:sz w:val="24"/>
                <w:szCs w:val="24"/>
              </w:rPr>
              <w:tab/>
            </w:r>
            <w:r w:rsidRPr="00613E81">
              <w:rPr>
                <w:rFonts w:ascii="Times New Roman" w:hAnsi="Times New Roman"/>
                <w:noProof/>
                <w:webHidden/>
                <w:sz w:val="24"/>
                <w:szCs w:val="24"/>
              </w:rPr>
              <w:fldChar w:fldCharType="begin"/>
            </w:r>
            <w:r w:rsidRPr="00613E81">
              <w:rPr>
                <w:rFonts w:ascii="Times New Roman" w:hAnsi="Times New Roman"/>
                <w:noProof/>
                <w:webHidden/>
                <w:sz w:val="24"/>
                <w:szCs w:val="24"/>
              </w:rPr>
              <w:instrText xml:space="preserve"> PAGEREF _Toc221201958 \h </w:instrText>
            </w:r>
            <w:r w:rsidRPr="00613E81">
              <w:rPr>
                <w:rFonts w:ascii="Times New Roman" w:hAnsi="Times New Roman"/>
                <w:noProof/>
                <w:webHidden/>
                <w:sz w:val="24"/>
                <w:szCs w:val="24"/>
              </w:rPr>
            </w:r>
            <w:r w:rsidRPr="00613E81">
              <w:rPr>
                <w:rFonts w:ascii="Times New Roman" w:hAnsi="Times New Roman"/>
                <w:noProof/>
                <w:webHidden/>
                <w:sz w:val="24"/>
                <w:szCs w:val="24"/>
              </w:rPr>
              <w:fldChar w:fldCharType="separate"/>
            </w:r>
            <w:r w:rsidRPr="00613E81">
              <w:rPr>
                <w:rFonts w:ascii="Times New Roman" w:hAnsi="Times New Roman"/>
                <w:noProof/>
                <w:webHidden/>
                <w:sz w:val="24"/>
                <w:szCs w:val="24"/>
              </w:rPr>
              <w:t>15</w:t>
            </w:r>
            <w:r w:rsidRPr="00613E81">
              <w:rPr>
                <w:rFonts w:ascii="Times New Roman" w:hAnsi="Times New Roman"/>
                <w:noProof/>
                <w:webHidden/>
                <w:sz w:val="24"/>
                <w:szCs w:val="24"/>
              </w:rPr>
              <w:fldChar w:fldCharType="end"/>
            </w:r>
          </w:hyperlink>
        </w:p>
        <w:p w14:paraId="1138D48E" w14:textId="50146812" w:rsidR="000437FE" w:rsidRPr="00613E8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9" w:history="1">
            <w:r w:rsidRPr="00613E81">
              <w:rPr>
                <w:rStyle w:val="Hyperlink"/>
                <w:rFonts w:ascii="Times New Roman" w:hAnsi="Times New Roman"/>
                <w:noProof/>
                <w:color w:val="auto"/>
                <w:sz w:val="24"/>
                <w:szCs w:val="24"/>
              </w:rPr>
              <w:t>5. Discussion</w:t>
            </w:r>
            <w:r w:rsidRPr="00613E81">
              <w:rPr>
                <w:rFonts w:ascii="Times New Roman" w:hAnsi="Times New Roman"/>
                <w:noProof/>
                <w:webHidden/>
                <w:sz w:val="24"/>
                <w:szCs w:val="24"/>
              </w:rPr>
              <w:tab/>
            </w:r>
            <w:r w:rsidRPr="00613E81">
              <w:rPr>
                <w:rFonts w:ascii="Times New Roman" w:hAnsi="Times New Roman"/>
                <w:noProof/>
                <w:webHidden/>
                <w:sz w:val="24"/>
                <w:szCs w:val="24"/>
              </w:rPr>
              <w:fldChar w:fldCharType="begin"/>
            </w:r>
            <w:r w:rsidRPr="00613E81">
              <w:rPr>
                <w:rFonts w:ascii="Times New Roman" w:hAnsi="Times New Roman"/>
                <w:noProof/>
                <w:webHidden/>
                <w:sz w:val="24"/>
                <w:szCs w:val="24"/>
              </w:rPr>
              <w:instrText xml:space="preserve"> PAGEREF _Toc221201959 \h </w:instrText>
            </w:r>
            <w:r w:rsidRPr="00613E81">
              <w:rPr>
                <w:rFonts w:ascii="Times New Roman" w:hAnsi="Times New Roman"/>
                <w:noProof/>
                <w:webHidden/>
                <w:sz w:val="24"/>
                <w:szCs w:val="24"/>
              </w:rPr>
            </w:r>
            <w:r w:rsidRPr="00613E81">
              <w:rPr>
                <w:rFonts w:ascii="Times New Roman" w:hAnsi="Times New Roman"/>
                <w:noProof/>
                <w:webHidden/>
                <w:sz w:val="24"/>
                <w:szCs w:val="24"/>
              </w:rPr>
              <w:fldChar w:fldCharType="separate"/>
            </w:r>
            <w:r w:rsidRPr="00613E81">
              <w:rPr>
                <w:rFonts w:ascii="Times New Roman" w:hAnsi="Times New Roman"/>
                <w:noProof/>
                <w:webHidden/>
                <w:sz w:val="24"/>
                <w:szCs w:val="24"/>
              </w:rPr>
              <w:t>17</w:t>
            </w:r>
            <w:r w:rsidRPr="00613E81">
              <w:rPr>
                <w:rFonts w:ascii="Times New Roman" w:hAnsi="Times New Roman"/>
                <w:noProof/>
                <w:webHidden/>
                <w:sz w:val="24"/>
                <w:szCs w:val="24"/>
              </w:rPr>
              <w:fldChar w:fldCharType="end"/>
            </w:r>
          </w:hyperlink>
        </w:p>
        <w:p w14:paraId="4C3F179E" w14:textId="458813BB" w:rsidR="000437FE" w:rsidRPr="00613E8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0" w:history="1">
            <w:r w:rsidRPr="00613E81">
              <w:rPr>
                <w:rStyle w:val="Hyperlink"/>
                <w:rFonts w:ascii="Times New Roman" w:hAnsi="Times New Roman"/>
                <w:noProof/>
                <w:color w:val="auto"/>
                <w:sz w:val="24"/>
                <w:szCs w:val="24"/>
              </w:rPr>
              <w:t>6. Conclusion</w:t>
            </w:r>
            <w:r w:rsidRPr="00613E81">
              <w:rPr>
                <w:rFonts w:ascii="Times New Roman" w:hAnsi="Times New Roman"/>
                <w:noProof/>
                <w:webHidden/>
                <w:sz w:val="24"/>
                <w:szCs w:val="24"/>
              </w:rPr>
              <w:tab/>
            </w:r>
            <w:r w:rsidRPr="00613E81">
              <w:rPr>
                <w:rFonts w:ascii="Times New Roman" w:hAnsi="Times New Roman"/>
                <w:noProof/>
                <w:webHidden/>
                <w:sz w:val="24"/>
                <w:szCs w:val="24"/>
              </w:rPr>
              <w:fldChar w:fldCharType="begin"/>
            </w:r>
            <w:r w:rsidRPr="00613E81">
              <w:rPr>
                <w:rFonts w:ascii="Times New Roman" w:hAnsi="Times New Roman"/>
                <w:noProof/>
                <w:webHidden/>
                <w:sz w:val="24"/>
                <w:szCs w:val="24"/>
              </w:rPr>
              <w:instrText xml:space="preserve"> PAGEREF _Toc221201960 \h </w:instrText>
            </w:r>
            <w:r w:rsidRPr="00613E81">
              <w:rPr>
                <w:rFonts w:ascii="Times New Roman" w:hAnsi="Times New Roman"/>
                <w:noProof/>
                <w:webHidden/>
                <w:sz w:val="24"/>
                <w:szCs w:val="24"/>
              </w:rPr>
            </w:r>
            <w:r w:rsidRPr="00613E81">
              <w:rPr>
                <w:rFonts w:ascii="Times New Roman" w:hAnsi="Times New Roman"/>
                <w:noProof/>
                <w:webHidden/>
                <w:sz w:val="24"/>
                <w:szCs w:val="24"/>
              </w:rPr>
              <w:fldChar w:fldCharType="separate"/>
            </w:r>
            <w:r w:rsidRPr="00613E81">
              <w:rPr>
                <w:rFonts w:ascii="Times New Roman" w:hAnsi="Times New Roman"/>
                <w:noProof/>
                <w:webHidden/>
                <w:sz w:val="24"/>
                <w:szCs w:val="24"/>
              </w:rPr>
              <w:t>19</w:t>
            </w:r>
            <w:r w:rsidRPr="00613E81">
              <w:rPr>
                <w:rFonts w:ascii="Times New Roman" w:hAnsi="Times New Roman"/>
                <w:noProof/>
                <w:webHidden/>
                <w:sz w:val="24"/>
                <w:szCs w:val="24"/>
              </w:rPr>
              <w:fldChar w:fldCharType="end"/>
            </w:r>
          </w:hyperlink>
        </w:p>
        <w:p w14:paraId="2B79F819" w14:textId="469C38D9" w:rsidR="000437FE" w:rsidRPr="00613E81"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1" w:history="1">
            <w:r w:rsidRPr="00613E81">
              <w:rPr>
                <w:rStyle w:val="Hyperlink"/>
                <w:rFonts w:ascii="Times New Roman" w:hAnsi="Times New Roman"/>
                <w:noProof/>
                <w:color w:val="auto"/>
                <w:sz w:val="24"/>
                <w:szCs w:val="24"/>
              </w:rPr>
              <w:t>Reference List</w:t>
            </w:r>
            <w:r w:rsidRPr="00613E81">
              <w:rPr>
                <w:rFonts w:ascii="Times New Roman" w:hAnsi="Times New Roman"/>
                <w:noProof/>
                <w:webHidden/>
                <w:sz w:val="24"/>
                <w:szCs w:val="24"/>
              </w:rPr>
              <w:tab/>
            </w:r>
            <w:r w:rsidRPr="00613E81">
              <w:rPr>
                <w:rFonts w:ascii="Times New Roman" w:hAnsi="Times New Roman"/>
                <w:noProof/>
                <w:webHidden/>
                <w:sz w:val="24"/>
                <w:szCs w:val="24"/>
              </w:rPr>
              <w:fldChar w:fldCharType="begin"/>
            </w:r>
            <w:r w:rsidRPr="00613E81">
              <w:rPr>
                <w:rFonts w:ascii="Times New Roman" w:hAnsi="Times New Roman"/>
                <w:noProof/>
                <w:webHidden/>
                <w:sz w:val="24"/>
                <w:szCs w:val="24"/>
              </w:rPr>
              <w:instrText xml:space="preserve"> PAGEREF _Toc221201961 \h </w:instrText>
            </w:r>
            <w:r w:rsidRPr="00613E81">
              <w:rPr>
                <w:rFonts w:ascii="Times New Roman" w:hAnsi="Times New Roman"/>
                <w:noProof/>
                <w:webHidden/>
                <w:sz w:val="24"/>
                <w:szCs w:val="24"/>
              </w:rPr>
            </w:r>
            <w:r w:rsidRPr="00613E81">
              <w:rPr>
                <w:rFonts w:ascii="Times New Roman" w:hAnsi="Times New Roman"/>
                <w:noProof/>
                <w:webHidden/>
                <w:sz w:val="24"/>
                <w:szCs w:val="24"/>
              </w:rPr>
              <w:fldChar w:fldCharType="separate"/>
            </w:r>
            <w:r w:rsidRPr="00613E81">
              <w:rPr>
                <w:rFonts w:ascii="Times New Roman" w:hAnsi="Times New Roman"/>
                <w:noProof/>
                <w:webHidden/>
                <w:sz w:val="24"/>
                <w:szCs w:val="24"/>
              </w:rPr>
              <w:t>20</w:t>
            </w:r>
            <w:r w:rsidRPr="00613E81">
              <w:rPr>
                <w:rFonts w:ascii="Times New Roman" w:hAnsi="Times New Roman"/>
                <w:noProof/>
                <w:webHidden/>
                <w:sz w:val="24"/>
                <w:szCs w:val="24"/>
              </w:rPr>
              <w:fldChar w:fldCharType="end"/>
            </w:r>
          </w:hyperlink>
        </w:p>
        <w:p w14:paraId="646EF9D8" w14:textId="012FB220" w:rsidR="004D7D13" w:rsidRPr="00613E81" w:rsidRDefault="004D7D13" w:rsidP="00013DBD">
          <w:pPr>
            <w:spacing w:line="480" w:lineRule="auto"/>
            <w:rPr>
              <w:rFonts w:ascii="Times New Roman" w:hAnsi="Times New Roman" w:cs="Times New Roman"/>
              <w:szCs w:val="24"/>
            </w:rPr>
          </w:pPr>
          <w:r w:rsidRPr="00613E81">
            <w:rPr>
              <w:rFonts w:ascii="Times New Roman" w:hAnsi="Times New Roman" w:cs="Times New Roman"/>
              <w:noProof/>
              <w:szCs w:val="24"/>
            </w:rPr>
            <w:fldChar w:fldCharType="end"/>
          </w:r>
        </w:p>
      </w:sdtContent>
    </w:sdt>
    <w:p w14:paraId="1EDA022C" w14:textId="77777777" w:rsidR="004D7D13" w:rsidRPr="00613E81" w:rsidRDefault="004D7D13" w:rsidP="00013DBD">
      <w:pPr>
        <w:spacing w:line="480" w:lineRule="auto"/>
        <w:rPr>
          <w:rFonts w:ascii="Times New Roman" w:hAnsi="Times New Roman" w:cs="Times New Roman"/>
          <w:szCs w:val="24"/>
        </w:rPr>
      </w:pPr>
    </w:p>
    <w:p w14:paraId="19B15F5F" w14:textId="77777777" w:rsidR="0095171B" w:rsidRPr="00613E81" w:rsidRDefault="0095171B" w:rsidP="00013DBD">
      <w:pPr>
        <w:spacing w:line="480" w:lineRule="auto"/>
        <w:rPr>
          <w:rFonts w:ascii="Times New Roman" w:hAnsi="Times New Roman" w:cs="Times New Roman"/>
          <w:szCs w:val="24"/>
        </w:rPr>
      </w:pPr>
    </w:p>
    <w:p w14:paraId="73636B03" w14:textId="77777777" w:rsidR="0095171B" w:rsidRPr="00613E81" w:rsidRDefault="0095171B" w:rsidP="00013DBD">
      <w:pPr>
        <w:spacing w:line="480" w:lineRule="auto"/>
        <w:rPr>
          <w:rFonts w:ascii="Times New Roman" w:hAnsi="Times New Roman" w:cs="Times New Roman"/>
          <w:szCs w:val="24"/>
        </w:rPr>
      </w:pPr>
      <w:r w:rsidRPr="00613E81">
        <w:rPr>
          <w:rFonts w:ascii="Times New Roman" w:hAnsi="Times New Roman" w:cs="Times New Roman"/>
          <w:szCs w:val="24"/>
        </w:rPr>
        <w:br w:type="page"/>
      </w:r>
    </w:p>
    <w:p w14:paraId="48512045" w14:textId="2774FE42" w:rsidR="00B06124" w:rsidRPr="00613E81" w:rsidRDefault="000E04F4" w:rsidP="00B06124">
      <w:pPr>
        <w:spacing w:line="480" w:lineRule="auto"/>
        <w:rPr>
          <w:rFonts w:ascii="Times New Roman" w:hAnsi="Times New Roman" w:cs="Times New Roman"/>
          <w:szCs w:val="24"/>
        </w:rPr>
      </w:pPr>
      <w:bookmarkStart w:id="1" w:name="_Toc221201955"/>
      <w:r w:rsidRPr="00613E81">
        <w:rPr>
          <w:rStyle w:val="Heading1Char"/>
          <w:rFonts w:ascii="Times New Roman" w:hAnsi="Times New Roman" w:cs="Times New Roman"/>
          <w:b/>
          <w:bCs/>
          <w:color w:val="auto"/>
          <w:sz w:val="24"/>
          <w:szCs w:val="24"/>
        </w:rPr>
        <w:lastRenderedPageBreak/>
        <w:t>1</w:t>
      </w:r>
      <w:r w:rsidR="004D7D13" w:rsidRPr="00613E81">
        <w:rPr>
          <w:rStyle w:val="Heading1Char"/>
          <w:rFonts w:ascii="Times New Roman" w:hAnsi="Times New Roman" w:cs="Times New Roman"/>
          <w:b/>
          <w:bCs/>
          <w:color w:val="auto"/>
          <w:sz w:val="24"/>
          <w:szCs w:val="24"/>
        </w:rPr>
        <w:t>.</w:t>
      </w:r>
      <w:r w:rsidR="0095171B" w:rsidRPr="00613E81">
        <w:rPr>
          <w:rStyle w:val="Heading1Char"/>
          <w:rFonts w:ascii="Times New Roman" w:hAnsi="Times New Roman" w:cs="Times New Roman"/>
          <w:b/>
          <w:bCs/>
          <w:color w:val="auto"/>
          <w:sz w:val="24"/>
          <w:szCs w:val="24"/>
        </w:rPr>
        <w:t>Introduction</w:t>
      </w:r>
      <w:bookmarkEnd w:id="1"/>
      <w:r w:rsidR="0095171B" w:rsidRPr="00613E81">
        <w:rPr>
          <w:rStyle w:val="Heading1Char"/>
          <w:rFonts w:ascii="Times New Roman" w:hAnsi="Times New Roman" w:cs="Times New Roman"/>
          <w:color w:val="auto"/>
          <w:sz w:val="24"/>
          <w:szCs w:val="24"/>
        </w:rPr>
        <w:t xml:space="preserve"> </w:t>
      </w:r>
    </w:p>
    <w:p w14:paraId="3ECD8D63"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The tourism industry is one of the largest global economic sectors, involving extensive interactions between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and service providers such as airlines, hotels, tour operators, and online booking platforms. Due to the service-based and cross-border nature of tourism, consumers are often required to make purchasing decisions in advance and rely heavily on information provided by service suppliers. This dependency increases the risk of unfair practices, misleading advertising, and service failures, making consumer protection laws particularly significant in the tourism context (</w:t>
      </w:r>
      <w:proofErr w:type="spellStart"/>
      <w:r w:rsidRPr="00002165">
        <w:rPr>
          <w:rFonts w:ascii="Times New Roman" w:hAnsi="Times New Roman" w:cs="Times New Roman"/>
          <w:szCs w:val="24"/>
        </w:rPr>
        <w:t>Buhalis</w:t>
      </w:r>
      <w:proofErr w:type="spellEnd"/>
      <w:r w:rsidRPr="00002165">
        <w:rPr>
          <w:rFonts w:ascii="Times New Roman" w:hAnsi="Times New Roman" w:cs="Times New Roman"/>
          <w:szCs w:val="24"/>
        </w:rPr>
        <w:t xml:space="preserve"> &amp; Law, 2008).</w:t>
      </w:r>
    </w:p>
    <w:p w14:paraId="6EB5E847"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Consumer protection laws are designed to address imbalances of power between consumers and businesses by ensuring transparency, fairness, and safety in commercial transactions. In tourism, these laws regulate advertising standards, contractual terms, pricing transparency, and service quality, while also providing remedies when disputes arise (Weatherill, 2020). Travelers’ rights typically include the right to accurate information, fair contractual terms, safe services, and access to redress mechanisms. At the same time, consumers have obligations such as complying with booking conditions and acting in good faith during contractual performance.</w:t>
      </w:r>
    </w:p>
    <w:p w14:paraId="539CD96A"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A central feature of consumer protection in tourism is the regulation of package travel and linked travel arrangements. Legislative instruments such as the Package Travel Directive impose clear responsibilities on tour organizers, making them accountable for the performance of all services included in a travel package, regardless of whether third-party suppliers are involved (European Commission, 2022). Such frameworks aim to reduce legal uncertainty and enhance consumer confidence, particularly in mass tourism markets.</w:t>
      </w:r>
    </w:p>
    <w:p w14:paraId="434D8775"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lastRenderedPageBreak/>
        <w:t>The growth of digital tourism platforms has further increased the relevance of consumer protection laws. Online booking systems and digital marketing practices have raised concerns regarding hidden charges, misleading representations, and unfair contractual clauses (Xiang et al., 2015). Regulatory oversight and judicial intervention have therefore become essential to ensure that technological innovation does not undermine consumer rights.</w:t>
      </w:r>
    </w:p>
    <w:p w14:paraId="10526614"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This assignment critically examines consumer protection laws in the tourism industry by </w:t>
      </w:r>
      <w:proofErr w:type="spellStart"/>
      <w:r w:rsidRPr="00002165">
        <w:rPr>
          <w:rFonts w:ascii="Times New Roman" w:hAnsi="Times New Roman" w:cs="Times New Roman"/>
          <w:szCs w:val="24"/>
        </w:rPr>
        <w:t>analyzing</w:t>
      </w:r>
      <w:proofErr w:type="spellEnd"/>
      <w:r w:rsidRPr="00002165">
        <w:rPr>
          <w:rFonts w:ascii="Times New Roman" w:hAnsi="Times New Roman" w:cs="Times New Roman"/>
          <w:szCs w:val="24"/>
        </w:rPr>
        <w:t xml:space="preserve"> legislative frameworks, regulatory responsibilities, and dispute resolution mechanisms. By exploring real-world case studies, the study demonstrates how consumer protection laws function in practice to protect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and promote ethical and sustainable tourism practices.</w:t>
      </w:r>
    </w:p>
    <w:p w14:paraId="35441EF1" w14:textId="77777777" w:rsidR="0086710E" w:rsidRPr="00613E81" w:rsidRDefault="0086710E" w:rsidP="0086710E">
      <w:pPr>
        <w:spacing w:line="480" w:lineRule="auto"/>
        <w:rPr>
          <w:rFonts w:ascii="Times New Roman" w:hAnsi="Times New Roman" w:cs="Times New Roman"/>
          <w:szCs w:val="24"/>
        </w:rPr>
      </w:pPr>
    </w:p>
    <w:p w14:paraId="5A602B84" w14:textId="77777777" w:rsidR="00002165" w:rsidRPr="00613E81" w:rsidRDefault="00002165" w:rsidP="0086710E">
      <w:pPr>
        <w:spacing w:line="480" w:lineRule="auto"/>
        <w:rPr>
          <w:rFonts w:ascii="Times New Roman" w:hAnsi="Times New Roman" w:cs="Times New Roman"/>
          <w:szCs w:val="24"/>
        </w:rPr>
      </w:pPr>
    </w:p>
    <w:p w14:paraId="5A96819D" w14:textId="77777777" w:rsidR="00002165" w:rsidRPr="00613E81" w:rsidRDefault="00002165" w:rsidP="0086710E">
      <w:pPr>
        <w:spacing w:line="480" w:lineRule="auto"/>
        <w:rPr>
          <w:rFonts w:ascii="Times New Roman" w:hAnsi="Times New Roman" w:cs="Times New Roman"/>
          <w:szCs w:val="24"/>
        </w:rPr>
      </w:pPr>
    </w:p>
    <w:p w14:paraId="596F7329" w14:textId="77777777" w:rsidR="00002165" w:rsidRPr="00613E81" w:rsidRDefault="00002165" w:rsidP="0086710E">
      <w:pPr>
        <w:spacing w:line="480" w:lineRule="auto"/>
        <w:rPr>
          <w:rFonts w:ascii="Times New Roman" w:hAnsi="Times New Roman" w:cs="Times New Roman"/>
          <w:szCs w:val="24"/>
        </w:rPr>
      </w:pPr>
    </w:p>
    <w:p w14:paraId="0F9335D4" w14:textId="77777777" w:rsidR="00002165" w:rsidRPr="00613E81" w:rsidRDefault="00002165" w:rsidP="0086710E">
      <w:pPr>
        <w:spacing w:line="480" w:lineRule="auto"/>
        <w:rPr>
          <w:rFonts w:ascii="Times New Roman" w:hAnsi="Times New Roman" w:cs="Times New Roman"/>
          <w:szCs w:val="24"/>
        </w:rPr>
      </w:pPr>
    </w:p>
    <w:p w14:paraId="05F85D87" w14:textId="77777777" w:rsidR="00002165" w:rsidRPr="00613E81" w:rsidRDefault="00002165" w:rsidP="0086710E">
      <w:pPr>
        <w:spacing w:line="480" w:lineRule="auto"/>
        <w:rPr>
          <w:rFonts w:ascii="Times New Roman" w:hAnsi="Times New Roman" w:cs="Times New Roman"/>
          <w:szCs w:val="24"/>
        </w:rPr>
      </w:pPr>
    </w:p>
    <w:p w14:paraId="1ED96B5B" w14:textId="77777777" w:rsidR="000F369F" w:rsidRPr="00613E81" w:rsidRDefault="000F369F" w:rsidP="0086710E">
      <w:pPr>
        <w:spacing w:line="480" w:lineRule="auto"/>
        <w:rPr>
          <w:rFonts w:ascii="Times New Roman" w:hAnsi="Times New Roman" w:cs="Times New Roman"/>
          <w:szCs w:val="24"/>
        </w:rPr>
      </w:pPr>
    </w:p>
    <w:p w14:paraId="730A2250" w14:textId="77777777" w:rsidR="000F369F" w:rsidRPr="00613E81" w:rsidRDefault="000F369F" w:rsidP="0086710E">
      <w:pPr>
        <w:spacing w:line="480" w:lineRule="auto"/>
        <w:rPr>
          <w:rFonts w:ascii="Times New Roman" w:hAnsi="Times New Roman" w:cs="Times New Roman"/>
          <w:szCs w:val="24"/>
        </w:rPr>
      </w:pPr>
    </w:p>
    <w:p w14:paraId="5124475A" w14:textId="77777777" w:rsidR="000F369F" w:rsidRPr="00613E81" w:rsidRDefault="000F369F" w:rsidP="0086710E">
      <w:pPr>
        <w:spacing w:line="480" w:lineRule="auto"/>
        <w:rPr>
          <w:rFonts w:ascii="Times New Roman" w:hAnsi="Times New Roman" w:cs="Times New Roman"/>
          <w:szCs w:val="24"/>
        </w:rPr>
      </w:pPr>
    </w:p>
    <w:p w14:paraId="5FEB03D5" w14:textId="77777777" w:rsidR="0086710E" w:rsidRPr="00613E81" w:rsidRDefault="0086710E" w:rsidP="0086710E">
      <w:pPr>
        <w:spacing w:line="480" w:lineRule="auto"/>
        <w:rPr>
          <w:rFonts w:ascii="Times New Roman" w:hAnsi="Times New Roman" w:cs="Times New Roman"/>
          <w:szCs w:val="24"/>
        </w:rPr>
      </w:pPr>
    </w:p>
    <w:p w14:paraId="36D287BF" w14:textId="77777777" w:rsidR="00002165" w:rsidRPr="00613E81" w:rsidRDefault="000E04F4" w:rsidP="00002165">
      <w:pPr>
        <w:spacing w:line="480" w:lineRule="auto"/>
        <w:rPr>
          <w:rFonts w:ascii="Times New Roman" w:hAnsi="Times New Roman" w:cs="Times New Roman"/>
          <w:szCs w:val="24"/>
        </w:rPr>
      </w:pPr>
      <w:bookmarkStart w:id="2" w:name="_Toc221201956"/>
      <w:r w:rsidRPr="00613E81">
        <w:rPr>
          <w:rStyle w:val="Heading1Char"/>
          <w:rFonts w:ascii="Times New Roman" w:hAnsi="Times New Roman" w:cs="Times New Roman"/>
          <w:b/>
          <w:bCs/>
          <w:color w:val="auto"/>
          <w:sz w:val="24"/>
          <w:szCs w:val="24"/>
        </w:rPr>
        <w:lastRenderedPageBreak/>
        <w:t>2</w:t>
      </w:r>
      <w:r w:rsidR="0095171B" w:rsidRPr="00613E81">
        <w:rPr>
          <w:rStyle w:val="Heading1Char"/>
          <w:rFonts w:ascii="Times New Roman" w:hAnsi="Times New Roman" w:cs="Times New Roman"/>
          <w:b/>
          <w:bCs/>
          <w:color w:val="auto"/>
          <w:sz w:val="24"/>
          <w:szCs w:val="24"/>
        </w:rPr>
        <w:t>. Literature Review</w:t>
      </w:r>
      <w:bookmarkEnd w:id="2"/>
      <w:r w:rsidR="0095171B" w:rsidRPr="00613E81">
        <w:rPr>
          <w:rFonts w:ascii="Times New Roman" w:hAnsi="Times New Roman" w:cs="Times New Roman"/>
          <w:szCs w:val="24"/>
        </w:rPr>
        <w:t xml:space="preserve"> </w:t>
      </w:r>
      <w:r w:rsidR="0095171B" w:rsidRPr="00613E81">
        <w:rPr>
          <w:rFonts w:ascii="Times New Roman" w:hAnsi="Times New Roman" w:cs="Times New Roman"/>
          <w:szCs w:val="24"/>
        </w:rPr>
        <w:br/>
      </w:r>
      <w:r w:rsidR="00002165" w:rsidRPr="00613E81">
        <w:rPr>
          <w:rFonts w:ascii="Times New Roman" w:hAnsi="Times New Roman" w:cs="Times New Roman"/>
          <w:szCs w:val="24"/>
        </w:rPr>
        <w:t xml:space="preserve">Consumer protection laws have become increasingly significant within the tourism industry due to the unique characteristics of tourism transactions, including advance payment, delayed consumption, and reliance on information provided by service suppliers. Academic literature consistently recognises that these features expose </w:t>
      </w:r>
      <w:proofErr w:type="spellStart"/>
      <w:r w:rsidR="00002165" w:rsidRPr="00613E81">
        <w:rPr>
          <w:rFonts w:ascii="Times New Roman" w:hAnsi="Times New Roman" w:cs="Times New Roman"/>
          <w:szCs w:val="24"/>
        </w:rPr>
        <w:t>travelers</w:t>
      </w:r>
      <w:proofErr w:type="spellEnd"/>
      <w:r w:rsidR="00002165" w:rsidRPr="00613E81">
        <w:rPr>
          <w:rFonts w:ascii="Times New Roman" w:hAnsi="Times New Roman" w:cs="Times New Roman"/>
          <w:szCs w:val="24"/>
        </w:rPr>
        <w:t xml:space="preserve"> to higher risks compared to traditional consumer markets, thereby justifying enhanced legal protection (Weatherill, 2020). As tourism continues to expand globally and digitally, consumer protection has emerged as a central theme in tourism law and policy research.</w:t>
      </w:r>
    </w:p>
    <w:p w14:paraId="45AE758A"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Conceptual Foundations of Consumer Protection in Tourism</w:t>
      </w:r>
    </w:p>
    <w:p w14:paraId="50E01017"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Consumer protection law is broadly defined as a body of legal rules designed to safeguard consumers against unfair commercial practices, misleading information, and unsafe products or services. In the tourism context, scholars argue that consumer protection is not merely a supplementary legal framework but a necessary corrective to market failures and power imbalances between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and tourism service providers (</w:t>
      </w:r>
      <w:proofErr w:type="spellStart"/>
      <w:r w:rsidRPr="00002165">
        <w:rPr>
          <w:rFonts w:ascii="Times New Roman" w:hAnsi="Times New Roman" w:cs="Times New Roman"/>
          <w:szCs w:val="24"/>
        </w:rPr>
        <w:t>Micklitz</w:t>
      </w:r>
      <w:proofErr w:type="spellEnd"/>
      <w:r w:rsidRPr="00002165">
        <w:rPr>
          <w:rFonts w:ascii="Times New Roman" w:hAnsi="Times New Roman" w:cs="Times New Roman"/>
          <w:szCs w:val="24"/>
        </w:rPr>
        <w:t xml:space="preserve"> et al., 2014). Tourism consumers often lack bargaining power and technical knowledge, making them particularly vulnerable to unfair terms and deceptive practices.</w:t>
      </w:r>
    </w:p>
    <w:p w14:paraId="3ED61DD8"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The literature emphasises that consumer protection in tourism intersects with contract law but extends beyond it by imposing statutory obligations on businesses regardless of contractual terms. This distinction is crucial, as tourism contracts are frequently standardised and drafted unilaterally by service providers (Poole, 2020). Consumer protection laws therefore function as mandatory safeguards that override unfair contractual clauses and promote substantive fairness.</w:t>
      </w:r>
    </w:p>
    <w:p w14:paraId="3743B8FE"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Travelers’ Rights and Obligations</w:t>
      </w:r>
    </w:p>
    <w:p w14:paraId="3C1CB3BA"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lastRenderedPageBreak/>
        <w:t xml:space="preserve">A substantial body of research focuses on the rights afforded to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under consumer protection regimes. These rights typically include access to accurate and transparent information, protection against misleading advertising, safety assurances, fair pricing, and effective redress mechanisms (OECD, 2019). Scholars note that information asymmetry is a persistent challenge in tourism, as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rely heavily on marketing materials and online reviews when making purchasing decisions.</w:t>
      </w:r>
    </w:p>
    <w:p w14:paraId="3427BD0A"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At the same time, the literature recognises that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also have obligations, such as complying with booking conditions, payment requirements, and codes of conduct during travel. However, academic consensus suggests that these obligations should not undermine fundamental consumer rights. Studies argue that consumer protection frameworks must strike a balance between protecting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and ensuring that service providers are not subject to unreasonable liabilities (Weatherill, 2020).</w:t>
      </w:r>
    </w:p>
    <w:p w14:paraId="738BF3A2"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Key Consumer Protection Legislation in Tourism</w:t>
      </w:r>
    </w:p>
    <w:p w14:paraId="5B0E873C"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The regulation of package travel has received extensive scholarly attention due to its complexity and significance within tourism markets. Legislative instruments such as the Package Travel Directive represent a major development in consumer protection law by imposing clear responsibilities on tour organisers. Researchers highlight that these regulations address fragmented service delivery by making organisers accountable for the performance of all components of a travel package, regardless of third-party involvement (European Commission, 2022).</w:t>
      </w:r>
    </w:p>
    <w:p w14:paraId="5766EC86"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Comparative legal studies show that similar protections exist in other jurisdictions, although the scope and enforcement mechanisms vary. For example, consumer protection laws in common </w:t>
      </w:r>
      <w:r w:rsidRPr="00002165">
        <w:rPr>
          <w:rFonts w:ascii="Times New Roman" w:hAnsi="Times New Roman" w:cs="Times New Roman"/>
          <w:szCs w:val="24"/>
        </w:rPr>
        <w:lastRenderedPageBreak/>
        <w:t>law countries often rely more heavily on judicial interpretation and general consumer statutes, whereas civil law jurisdictions tend to adopt sector-specific regulations (</w:t>
      </w:r>
      <w:proofErr w:type="spellStart"/>
      <w:r w:rsidRPr="00002165">
        <w:rPr>
          <w:rFonts w:ascii="Times New Roman" w:hAnsi="Times New Roman" w:cs="Times New Roman"/>
          <w:szCs w:val="24"/>
        </w:rPr>
        <w:t>Micklitz</w:t>
      </w:r>
      <w:proofErr w:type="spellEnd"/>
      <w:r w:rsidRPr="00002165">
        <w:rPr>
          <w:rFonts w:ascii="Times New Roman" w:hAnsi="Times New Roman" w:cs="Times New Roman"/>
          <w:szCs w:val="24"/>
        </w:rPr>
        <w:t xml:space="preserve"> et al., 2014). This diversity has led scholars to call for greater international harmonisation of tourism consumer protection standards.</w:t>
      </w:r>
    </w:p>
    <w:p w14:paraId="228CC7D1"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Protection Against Unfair Practices and Misleading Advertising</w:t>
      </w:r>
    </w:p>
    <w:p w14:paraId="0DDA6F6D"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Misleading advertising is a recurring concern in tourism literature, particularly in relation to online marketing. Scholars argue that visual representations, pricing claims, and promotional descriptions can significantly influence consumer decisions, making transparency essential (</w:t>
      </w:r>
      <w:proofErr w:type="spellStart"/>
      <w:r w:rsidRPr="00002165">
        <w:rPr>
          <w:rFonts w:ascii="Times New Roman" w:hAnsi="Times New Roman" w:cs="Times New Roman"/>
          <w:szCs w:val="24"/>
        </w:rPr>
        <w:t>Buhalis</w:t>
      </w:r>
      <w:proofErr w:type="spellEnd"/>
      <w:r w:rsidRPr="00002165">
        <w:rPr>
          <w:rFonts w:ascii="Times New Roman" w:hAnsi="Times New Roman" w:cs="Times New Roman"/>
          <w:szCs w:val="24"/>
        </w:rPr>
        <w:t xml:space="preserve"> &amp; Law, 2008). Research indicates that consumer protection laws increasingly treat misleading omissions and exaggerated claims as violations, even when disclaimers are included in contractual terms.</w:t>
      </w:r>
    </w:p>
    <w:p w14:paraId="0FF15B8D"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The rise of digital platforms has intensified these concerns. Algorithm-driven pricing, hidden fees, and unclear cancellation policies have prompted regulators to strengthen disclosure requirements (Xiang et al., 2015). Academic analysis suggests that consumer protection laws play a crucial role in ensuring that technological innovation does not erode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rights.</w:t>
      </w:r>
    </w:p>
    <w:p w14:paraId="3951F77B"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Safety and Quality Standards in Tourism Services</w:t>
      </w:r>
    </w:p>
    <w:p w14:paraId="188FF98F"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Another major theme in the literature is the role of consumer protection laws in ensuring safety and service quality. Tourism services often involve transportation, accommodation, and recreational activities that carry inherent risks. Scholars emphasise that statutory safety obligations complement contractual duties by imposing minimum standards regardless of contractual disclaimers (Dickerson, 2021).</w:t>
      </w:r>
    </w:p>
    <w:p w14:paraId="6665AE8D"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lastRenderedPageBreak/>
        <w:t xml:space="preserve">Research highlights that consumer protection frameworks frequently incorporate product safety and service quality requirements, enabling regulators to intervene when tourism services pose risks to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This is particularly relevant in adventure tourism and emerging accommodation models, where regulatory oversight has struggled to keep pace with market developments (Guttentag, 2015).</w:t>
      </w:r>
    </w:p>
    <w:p w14:paraId="65E63BA0"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Responsibilities of Tourism Service Providers</w:t>
      </w:r>
    </w:p>
    <w:p w14:paraId="4C8A5240"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The responsibilities of tourism service providers constitute a central focus of consumer protection literature. Scholars argue that compliance obligations extend beyond contractual performance to include accurate information disclosure, fair pricing practices, and accessible complaint-handling mechanisms (OECD, 2019). Failure to comply with these obligations may result in regulatory sanctions, reputational damage, and legal liability.</w:t>
      </w:r>
    </w:p>
    <w:p w14:paraId="71823504"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Studies also highlight the increasing importance of corporate compliance systems within tourism businesses. Service providers are expected to monitor third-party suppliers, ensure consistency in service quality, and respond effectively to consumer complaints. This shift reflects a broader regulatory trend towards proactive consumer protection rather than reactive dispute resolution.</w:t>
      </w:r>
    </w:p>
    <w:p w14:paraId="2B38DD81"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Consumer Disputes and Redress Mechanisms</w:t>
      </w:r>
    </w:p>
    <w:p w14:paraId="3F966BDD"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Consumer disputes in tourism commonly arise from cancellations, service failures, misrepresentation, and safety incidents. The literature examines various redress mechanisms, including judicial remedies, alternative dispute resolution (ADR), and regulatory enforcement actions. Scholars note that ADR mechanisms are widely promoted due to their efficiency and cost-effectiveness, although concerns remain regarding transparency and accessibility (Ruhl, 2020).</w:t>
      </w:r>
    </w:p>
    <w:p w14:paraId="08B4DA80"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lastRenderedPageBreak/>
        <w:t>Research further suggests that effective redress mechanisms are essential for maintaining consumer confidence in tourism markets. Without accessible remedies, consumer protection laws risk becoming symbolic rather than practical tools.</w:t>
      </w:r>
    </w:p>
    <w:p w14:paraId="1D2F127B"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Critical Evaluation and Research Gaps</w:t>
      </w:r>
    </w:p>
    <w:p w14:paraId="31E4B214"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While existing literature provides a comprehensive understanding of consumer protection laws in tourism, several gaps remain. Much of the research focuses on developed economies, with limited attention to developing tourism destinations where regulatory enforcement may be weaker. Additionally, rapid digitalisation continues to challenge traditional consumer protection frameworks, particularly in relation to platform-based tourism services.</w:t>
      </w:r>
    </w:p>
    <w:p w14:paraId="2D90885A"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Overall, the literature confirms that consumer protection laws are essential for addressing structural vulnerabilities in tourism markets, while also highlighting the need for continued legal adaptation and international cooperation.</w:t>
      </w:r>
    </w:p>
    <w:p w14:paraId="26B71384" w14:textId="1CCBAB6E" w:rsidR="000F369F" w:rsidRPr="00613E81" w:rsidRDefault="000F369F" w:rsidP="00002165">
      <w:pPr>
        <w:spacing w:line="480" w:lineRule="auto"/>
        <w:rPr>
          <w:rFonts w:ascii="Times New Roman" w:hAnsi="Times New Roman" w:cs="Times New Roman"/>
          <w:szCs w:val="24"/>
        </w:rPr>
      </w:pPr>
    </w:p>
    <w:p w14:paraId="043BE130" w14:textId="77777777" w:rsidR="00AA1438" w:rsidRPr="00613E81" w:rsidRDefault="00AA1438" w:rsidP="00AA1438">
      <w:pPr>
        <w:spacing w:line="480" w:lineRule="auto"/>
        <w:rPr>
          <w:rFonts w:ascii="Times New Roman" w:hAnsi="Times New Roman" w:cs="Times New Roman"/>
          <w:szCs w:val="24"/>
        </w:rPr>
      </w:pPr>
    </w:p>
    <w:p w14:paraId="4C2042A7" w14:textId="77777777" w:rsidR="00AA1438" w:rsidRPr="00613E81" w:rsidRDefault="00AA1438" w:rsidP="00AA1438">
      <w:pPr>
        <w:spacing w:line="480" w:lineRule="auto"/>
        <w:rPr>
          <w:rFonts w:ascii="Times New Roman" w:hAnsi="Times New Roman" w:cs="Times New Roman"/>
          <w:szCs w:val="24"/>
        </w:rPr>
      </w:pPr>
    </w:p>
    <w:p w14:paraId="0E7A41C2" w14:textId="77777777" w:rsidR="00AA1438" w:rsidRPr="00613E81" w:rsidRDefault="00AA1438" w:rsidP="00AA1438">
      <w:pPr>
        <w:spacing w:line="480" w:lineRule="auto"/>
        <w:rPr>
          <w:rFonts w:ascii="Times New Roman" w:hAnsi="Times New Roman" w:cs="Times New Roman"/>
          <w:szCs w:val="24"/>
        </w:rPr>
      </w:pPr>
    </w:p>
    <w:p w14:paraId="4D7326D8" w14:textId="77777777" w:rsidR="00AA1438" w:rsidRPr="00613E81" w:rsidRDefault="00AA1438" w:rsidP="00AA1438">
      <w:pPr>
        <w:spacing w:line="480" w:lineRule="auto"/>
        <w:rPr>
          <w:rFonts w:ascii="Times New Roman" w:hAnsi="Times New Roman" w:cs="Times New Roman"/>
          <w:szCs w:val="24"/>
        </w:rPr>
      </w:pPr>
    </w:p>
    <w:p w14:paraId="5E32E307" w14:textId="77777777" w:rsidR="00AA1438" w:rsidRPr="00613E81" w:rsidRDefault="00AA1438" w:rsidP="00AA1438">
      <w:pPr>
        <w:spacing w:line="480" w:lineRule="auto"/>
        <w:rPr>
          <w:rFonts w:ascii="Times New Roman" w:hAnsi="Times New Roman" w:cs="Times New Roman"/>
          <w:szCs w:val="24"/>
        </w:rPr>
      </w:pPr>
    </w:p>
    <w:p w14:paraId="64C01FCC" w14:textId="77777777" w:rsidR="00AA1438" w:rsidRPr="00613E81" w:rsidRDefault="00AA1438" w:rsidP="00AA1438">
      <w:pPr>
        <w:spacing w:line="480" w:lineRule="auto"/>
        <w:rPr>
          <w:rFonts w:ascii="Times New Roman" w:hAnsi="Times New Roman" w:cs="Times New Roman"/>
          <w:szCs w:val="24"/>
        </w:rPr>
      </w:pPr>
    </w:p>
    <w:p w14:paraId="0555579A" w14:textId="77777777" w:rsidR="000F369F" w:rsidRPr="00613E81" w:rsidRDefault="000F369F" w:rsidP="000F369F">
      <w:pPr>
        <w:spacing w:line="480" w:lineRule="auto"/>
        <w:rPr>
          <w:rFonts w:ascii="Times New Roman" w:hAnsi="Times New Roman" w:cs="Times New Roman"/>
          <w:szCs w:val="24"/>
        </w:rPr>
      </w:pPr>
    </w:p>
    <w:p w14:paraId="59002CFB" w14:textId="77777777" w:rsidR="00002165" w:rsidRPr="00613E81" w:rsidRDefault="00843EDD" w:rsidP="00002165">
      <w:pPr>
        <w:spacing w:line="480" w:lineRule="auto"/>
        <w:rPr>
          <w:rFonts w:ascii="Times New Roman" w:hAnsi="Times New Roman" w:cs="Times New Roman"/>
          <w:szCs w:val="24"/>
        </w:rPr>
      </w:pPr>
      <w:bookmarkStart w:id="3" w:name="_Toc221201957"/>
      <w:r w:rsidRPr="00613E81">
        <w:rPr>
          <w:rStyle w:val="Heading1Char"/>
          <w:rFonts w:ascii="Times New Roman" w:hAnsi="Times New Roman" w:cs="Times New Roman"/>
          <w:b/>
          <w:bCs/>
          <w:color w:val="auto"/>
          <w:sz w:val="24"/>
          <w:szCs w:val="24"/>
        </w:rPr>
        <w:lastRenderedPageBreak/>
        <w:t>3</w:t>
      </w:r>
      <w:r w:rsidR="00582227" w:rsidRPr="00613E81">
        <w:rPr>
          <w:rStyle w:val="Heading1Char"/>
          <w:rFonts w:ascii="Times New Roman" w:hAnsi="Times New Roman" w:cs="Times New Roman"/>
          <w:b/>
          <w:bCs/>
          <w:color w:val="auto"/>
          <w:sz w:val="24"/>
          <w:szCs w:val="24"/>
        </w:rPr>
        <w:t xml:space="preserve"> Methodology</w:t>
      </w:r>
      <w:bookmarkEnd w:id="3"/>
      <w:r w:rsidR="00582227" w:rsidRPr="00613E81">
        <w:rPr>
          <w:rFonts w:ascii="Times New Roman" w:hAnsi="Times New Roman" w:cs="Times New Roman"/>
          <w:b/>
          <w:bCs/>
          <w:szCs w:val="24"/>
        </w:rPr>
        <w:t xml:space="preserve"> </w:t>
      </w:r>
      <w:r w:rsidR="00582227" w:rsidRPr="00613E81">
        <w:rPr>
          <w:rFonts w:ascii="Times New Roman" w:hAnsi="Times New Roman" w:cs="Times New Roman"/>
          <w:szCs w:val="24"/>
        </w:rPr>
        <w:br/>
      </w:r>
      <w:r w:rsidR="00002165" w:rsidRPr="00613E81">
        <w:rPr>
          <w:rFonts w:ascii="Times New Roman" w:hAnsi="Times New Roman" w:cs="Times New Roman"/>
          <w:szCs w:val="24"/>
        </w:rPr>
        <w:t xml:space="preserve">This study adopts a </w:t>
      </w:r>
      <w:r w:rsidR="00002165" w:rsidRPr="00613E81">
        <w:rPr>
          <w:rFonts w:ascii="Times New Roman" w:hAnsi="Times New Roman" w:cs="Times New Roman"/>
          <w:b/>
          <w:bCs/>
          <w:szCs w:val="24"/>
        </w:rPr>
        <w:t>qualitative doctrinal research methodology</w:t>
      </w:r>
      <w:r w:rsidR="00002165" w:rsidRPr="00613E81">
        <w:rPr>
          <w:rFonts w:ascii="Times New Roman" w:hAnsi="Times New Roman" w:cs="Times New Roman"/>
          <w:szCs w:val="24"/>
        </w:rPr>
        <w:t xml:space="preserve"> to examine the role of consumer protection laws in the tourism industry. Doctrinal legal research is a widely accepted method in legal and tourism studies, focusing on the systematic analysis of legislation, judicial decisions, regulatory instruments, and academic literature. Given that the objective of this assignment is to evaluate how consumer protection laws safeguard </w:t>
      </w:r>
      <w:proofErr w:type="spellStart"/>
      <w:r w:rsidR="00002165" w:rsidRPr="00613E81">
        <w:rPr>
          <w:rFonts w:ascii="Times New Roman" w:hAnsi="Times New Roman" w:cs="Times New Roman"/>
          <w:szCs w:val="24"/>
        </w:rPr>
        <w:t>travelers’</w:t>
      </w:r>
      <w:proofErr w:type="spellEnd"/>
      <w:r w:rsidR="00002165" w:rsidRPr="00613E81">
        <w:rPr>
          <w:rFonts w:ascii="Times New Roman" w:hAnsi="Times New Roman" w:cs="Times New Roman"/>
          <w:szCs w:val="24"/>
        </w:rPr>
        <w:t xml:space="preserve"> rights and regulate the conduct of tourism service providers, a doctrinal approach is considered the most suitable research strategy.</w:t>
      </w:r>
    </w:p>
    <w:p w14:paraId="76CA7CAF"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Research Design</w:t>
      </w:r>
    </w:p>
    <w:p w14:paraId="511E4E2B"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The research follows a </w:t>
      </w:r>
      <w:r w:rsidRPr="00002165">
        <w:rPr>
          <w:rFonts w:ascii="Times New Roman" w:hAnsi="Times New Roman" w:cs="Times New Roman"/>
          <w:b/>
          <w:bCs/>
          <w:szCs w:val="24"/>
        </w:rPr>
        <w:t>descriptive and analytical design</w:t>
      </w:r>
      <w:r w:rsidRPr="00002165">
        <w:rPr>
          <w:rFonts w:ascii="Times New Roman" w:hAnsi="Times New Roman" w:cs="Times New Roman"/>
          <w:szCs w:val="24"/>
        </w:rPr>
        <w:t xml:space="preserve">. The descriptive component outlines the key consumer protection frameworks applicable to the tourism sector, including regulations governing package travel, misleading advertising, unfair commercial practices, and service safety standards. The analytical component critically evaluates how these laws operate in practice to protect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and impose compliance obligations on tourism service providers (Weatherill, 2020).</w:t>
      </w:r>
    </w:p>
    <w:p w14:paraId="12A9A68F"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This design enables the study to link legal theory with real-world tourism practices, particularly in areas where consumers face heightened vulnerability, such as advance booking, digital transactions, and cross-border travel. By analysing both statutory provisions and scholarly interpretations, the research provides a comprehensive understanding of consumer protection mechanisms within tourism.</w:t>
      </w:r>
    </w:p>
    <w:p w14:paraId="116774BF"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Sources of Data</w:t>
      </w:r>
    </w:p>
    <w:p w14:paraId="48F69116"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lastRenderedPageBreak/>
        <w:t xml:space="preserve">The study relies exclusively on </w:t>
      </w:r>
      <w:r w:rsidRPr="00002165">
        <w:rPr>
          <w:rFonts w:ascii="Times New Roman" w:hAnsi="Times New Roman" w:cs="Times New Roman"/>
          <w:b/>
          <w:bCs/>
          <w:szCs w:val="24"/>
        </w:rPr>
        <w:t>secondary sources</w:t>
      </w:r>
      <w:r w:rsidRPr="00002165">
        <w:rPr>
          <w:rFonts w:ascii="Times New Roman" w:hAnsi="Times New Roman" w:cs="Times New Roman"/>
          <w:szCs w:val="24"/>
        </w:rPr>
        <w:t>, which are considered authoritative and reliable for legal research. These sources include:</w:t>
      </w:r>
    </w:p>
    <w:p w14:paraId="3628E0B2" w14:textId="77777777" w:rsidR="00002165" w:rsidRPr="00002165" w:rsidRDefault="00002165" w:rsidP="00002165">
      <w:pPr>
        <w:numPr>
          <w:ilvl w:val="0"/>
          <w:numId w:val="34"/>
        </w:numPr>
        <w:spacing w:line="480" w:lineRule="auto"/>
        <w:rPr>
          <w:rFonts w:ascii="Times New Roman" w:hAnsi="Times New Roman" w:cs="Times New Roman"/>
          <w:szCs w:val="24"/>
        </w:rPr>
      </w:pPr>
      <w:r w:rsidRPr="00002165">
        <w:rPr>
          <w:rFonts w:ascii="Times New Roman" w:hAnsi="Times New Roman" w:cs="Times New Roman"/>
          <w:szCs w:val="24"/>
        </w:rPr>
        <w:t>Peer-reviewed academic journal articles on consumer protection and tourism law</w:t>
      </w:r>
    </w:p>
    <w:p w14:paraId="5940CF20" w14:textId="77777777" w:rsidR="00002165" w:rsidRPr="00002165" w:rsidRDefault="00002165" w:rsidP="00002165">
      <w:pPr>
        <w:numPr>
          <w:ilvl w:val="0"/>
          <w:numId w:val="34"/>
        </w:numPr>
        <w:spacing w:line="480" w:lineRule="auto"/>
        <w:rPr>
          <w:rFonts w:ascii="Times New Roman" w:hAnsi="Times New Roman" w:cs="Times New Roman"/>
          <w:szCs w:val="24"/>
        </w:rPr>
      </w:pPr>
      <w:r w:rsidRPr="00002165">
        <w:rPr>
          <w:rFonts w:ascii="Times New Roman" w:hAnsi="Times New Roman" w:cs="Times New Roman"/>
          <w:szCs w:val="24"/>
        </w:rPr>
        <w:t>Legal textbooks and scholarly monographs</w:t>
      </w:r>
    </w:p>
    <w:p w14:paraId="2656DCE3" w14:textId="77777777" w:rsidR="00002165" w:rsidRPr="00002165" w:rsidRDefault="00002165" w:rsidP="00002165">
      <w:pPr>
        <w:numPr>
          <w:ilvl w:val="0"/>
          <w:numId w:val="34"/>
        </w:numPr>
        <w:spacing w:line="480" w:lineRule="auto"/>
        <w:rPr>
          <w:rFonts w:ascii="Times New Roman" w:hAnsi="Times New Roman" w:cs="Times New Roman"/>
          <w:szCs w:val="24"/>
        </w:rPr>
      </w:pPr>
      <w:r w:rsidRPr="00002165">
        <w:rPr>
          <w:rFonts w:ascii="Times New Roman" w:hAnsi="Times New Roman" w:cs="Times New Roman"/>
          <w:szCs w:val="24"/>
        </w:rPr>
        <w:t>European Union directives and official regulatory guidance</w:t>
      </w:r>
    </w:p>
    <w:p w14:paraId="6D64B745" w14:textId="77777777" w:rsidR="00002165" w:rsidRPr="00002165" w:rsidRDefault="00002165" w:rsidP="00002165">
      <w:pPr>
        <w:numPr>
          <w:ilvl w:val="0"/>
          <w:numId w:val="34"/>
        </w:numPr>
        <w:spacing w:line="480" w:lineRule="auto"/>
        <w:rPr>
          <w:rFonts w:ascii="Times New Roman" w:hAnsi="Times New Roman" w:cs="Times New Roman"/>
          <w:szCs w:val="24"/>
        </w:rPr>
      </w:pPr>
      <w:r w:rsidRPr="00002165">
        <w:rPr>
          <w:rFonts w:ascii="Times New Roman" w:hAnsi="Times New Roman" w:cs="Times New Roman"/>
          <w:szCs w:val="24"/>
        </w:rPr>
        <w:t>Reports published by international organisations such as the OECD and UNWTO</w:t>
      </w:r>
    </w:p>
    <w:p w14:paraId="4BD7C4DB" w14:textId="77777777" w:rsidR="00002165" w:rsidRPr="00002165" w:rsidRDefault="00002165" w:rsidP="00002165">
      <w:pPr>
        <w:numPr>
          <w:ilvl w:val="0"/>
          <w:numId w:val="34"/>
        </w:numPr>
        <w:spacing w:line="480" w:lineRule="auto"/>
        <w:rPr>
          <w:rFonts w:ascii="Times New Roman" w:hAnsi="Times New Roman" w:cs="Times New Roman"/>
          <w:szCs w:val="24"/>
        </w:rPr>
      </w:pPr>
      <w:r w:rsidRPr="00002165">
        <w:rPr>
          <w:rFonts w:ascii="Times New Roman" w:hAnsi="Times New Roman" w:cs="Times New Roman"/>
          <w:szCs w:val="24"/>
        </w:rPr>
        <w:t>Judicial decisions and documented tourism dispute cases</w:t>
      </w:r>
    </w:p>
    <w:p w14:paraId="2FA7E9E4"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These materials were selected to ensure coverage of both theoretical perspectives and practical applications of consumer protection laws in tourism. </w:t>
      </w:r>
      <w:proofErr w:type="gramStart"/>
      <w:r w:rsidRPr="00002165">
        <w:rPr>
          <w:rFonts w:ascii="Times New Roman" w:hAnsi="Times New Roman" w:cs="Times New Roman"/>
          <w:szCs w:val="24"/>
        </w:rPr>
        <w:t>Particular emphasis</w:t>
      </w:r>
      <w:proofErr w:type="gramEnd"/>
      <w:r w:rsidRPr="00002165">
        <w:rPr>
          <w:rFonts w:ascii="Times New Roman" w:hAnsi="Times New Roman" w:cs="Times New Roman"/>
          <w:szCs w:val="24"/>
        </w:rPr>
        <w:t xml:space="preserve"> was placed on recent sources addressing digital tourism markets and evolving regulatory responses (</w:t>
      </w:r>
      <w:proofErr w:type="spellStart"/>
      <w:r w:rsidRPr="00002165">
        <w:rPr>
          <w:rFonts w:ascii="Times New Roman" w:hAnsi="Times New Roman" w:cs="Times New Roman"/>
          <w:szCs w:val="24"/>
        </w:rPr>
        <w:t>Buhalis</w:t>
      </w:r>
      <w:proofErr w:type="spellEnd"/>
      <w:r w:rsidRPr="00002165">
        <w:rPr>
          <w:rFonts w:ascii="Times New Roman" w:hAnsi="Times New Roman" w:cs="Times New Roman"/>
          <w:szCs w:val="24"/>
        </w:rPr>
        <w:t xml:space="preserve"> &amp; Law, 2008).</w:t>
      </w:r>
    </w:p>
    <w:p w14:paraId="57C48B9F"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Data Analysis Techniques</w:t>
      </w:r>
    </w:p>
    <w:p w14:paraId="2A2D2AA7"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The collected data were analysed using </w:t>
      </w:r>
      <w:r w:rsidRPr="00002165">
        <w:rPr>
          <w:rFonts w:ascii="Times New Roman" w:hAnsi="Times New Roman" w:cs="Times New Roman"/>
          <w:b/>
          <w:bCs/>
          <w:szCs w:val="24"/>
        </w:rPr>
        <w:t>thematic legal analysis</w:t>
      </w:r>
      <w:r w:rsidRPr="00002165">
        <w:rPr>
          <w:rFonts w:ascii="Times New Roman" w:hAnsi="Times New Roman" w:cs="Times New Roman"/>
          <w:szCs w:val="24"/>
        </w:rPr>
        <w:t xml:space="preserve">. This involved identifying recurring legal themes across the literature, such as </w:t>
      </w:r>
      <w:proofErr w:type="spellStart"/>
      <w:r w:rsidRPr="00002165">
        <w:rPr>
          <w:rFonts w:ascii="Times New Roman" w:hAnsi="Times New Roman" w:cs="Times New Roman"/>
          <w:szCs w:val="24"/>
        </w:rPr>
        <w:t>traveler</w:t>
      </w:r>
      <w:proofErr w:type="spellEnd"/>
      <w:r w:rsidRPr="00002165">
        <w:rPr>
          <w:rFonts w:ascii="Times New Roman" w:hAnsi="Times New Roman" w:cs="Times New Roman"/>
          <w:szCs w:val="24"/>
        </w:rPr>
        <w:t xml:space="preserve"> rights, unfair commercial practices, regulatory enforcement, service provider responsibilities, and dispute resolution mechanisms. Each theme was examined in relation to specific tourism contexts, including package holidays, online bookings, and accommodation services.</w:t>
      </w:r>
    </w:p>
    <w:p w14:paraId="21CA24FB"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A </w:t>
      </w:r>
      <w:r w:rsidRPr="00002165">
        <w:rPr>
          <w:rFonts w:ascii="Times New Roman" w:hAnsi="Times New Roman" w:cs="Times New Roman"/>
          <w:b/>
          <w:bCs/>
          <w:szCs w:val="24"/>
        </w:rPr>
        <w:t>comparative analytical approach</w:t>
      </w:r>
      <w:r w:rsidRPr="00002165">
        <w:rPr>
          <w:rFonts w:ascii="Times New Roman" w:hAnsi="Times New Roman" w:cs="Times New Roman"/>
          <w:szCs w:val="24"/>
        </w:rPr>
        <w:t xml:space="preserve"> was also employed to evaluate consumer protection laws across different jurisdictions. This allowed the study to highlight similarities and differences in regulatory frameworks, particularly between European Union member states and other legal </w:t>
      </w:r>
      <w:r w:rsidRPr="00002165">
        <w:rPr>
          <w:rFonts w:ascii="Times New Roman" w:hAnsi="Times New Roman" w:cs="Times New Roman"/>
          <w:szCs w:val="24"/>
        </w:rPr>
        <w:lastRenderedPageBreak/>
        <w:t>systems. Comparative analysis is valuable in tourism research due to the inherently international nature of travel and tourism transactions (</w:t>
      </w:r>
      <w:proofErr w:type="spellStart"/>
      <w:r w:rsidRPr="00002165">
        <w:rPr>
          <w:rFonts w:ascii="Times New Roman" w:hAnsi="Times New Roman" w:cs="Times New Roman"/>
          <w:szCs w:val="24"/>
        </w:rPr>
        <w:t>Micklitz</w:t>
      </w:r>
      <w:proofErr w:type="spellEnd"/>
      <w:r w:rsidRPr="00002165">
        <w:rPr>
          <w:rFonts w:ascii="Times New Roman" w:hAnsi="Times New Roman" w:cs="Times New Roman"/>
          <w:szCs w:val="24"/>
        </w:rPr>
        <w:t xml:space="preserve"> et al., 2014).</w:t>
      </w:r>
    </w:p>
    <w:p w14:paraId="62F982A1"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Case Study Selection</w:t>
      </w:r>
    </w:p>
    <w:p w14:paraId="19154557"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Case studies of consumer disputes in tourism were selected based on their relevance to key consumer protection issues, such as misleading advertising, service cancellation, and safety failures. These cases illustrate how legal frameworks are applied in practice and how remedies such as refunds, compensation, and regulatory sanctions are used to resolve disputes. The case study method strengthens the analysis by demonstrating the practical impact of consumer protection laws on tourism stakeholders.</w:t>
      </w:r>
    </w:p>
    <w:p w14:paraId="6011CED4"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Ethical Considerations</w:t>
      </w:r>
    </w:p>
    <w:p w14:paraId="26388C02"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As the study is based solely on secondary data, no direct ethical concerns involving human participants arise. Academic integrity has been maintained by accurately citing all sources and avoiding misrepresentation of legal principles. The analysis remains objective by acknowledging differing scholarly viewpoints and regulatory approaches.</w:t>
      </w:r>
    </w:p>
    <w:p w14:paraId="625FFF44" w14:textId="77777777" w:rsidR="00002165" w:rsidRPr="00002165" w:rsidRDefault="00002165" w:rsidP="00002165">
      <w:pPr>
        <w:spacing w:line="480" w:lineRule="auto"/>
        <w:rPr>
          <w:rFonts w:ascii="Times New Roman" w:hAnsi="Times New Roman" w:cs="Times New Roman"/>
          <w:b/>
          <w:bCs/>
          <w:szCs w:val="24"/>
        </w:rPr>
      </w:pPr>
      <w:r w:rsidRPr="00002165">
        <w:rPr>
          <w:rFonts w:ascii="Times New Roman" w:hAnsi="Times New Roman" w:cs="Times New Roman"/>
          <w:b/>
          <w:bCs/>
          <w:szCs w:val="24"/>
        </w:rPr>
        <w:t>Limitations of the Methodology</w:t>
      </w:r>
    </w:p>
    <w:p w14:paraId="17D0CC0A" w14:textId="77777777" w:rsidR="00002165" w:rsidRPr="00002165" w:rsidRDefault="00002165" w:rsidP="00002165">
      <w:pPr>
        <w:spacing w:line="480" w:lineRule="auto"/>
        <w:rPr>
          <w:rFonts w:ascii="Times New Roman" w:hAnsi="Times New Roman" w:cs="Times New Roman"/>
          <w:szCs w:val="24"/>
        </w:rPr>
      </w:pPr>
      <w:r w:rsidRPr="00002165">
        <w:rPr>
          <w:rFonts w:ascii="Times New Roman" w:hAnsi="Times New Roman" w:cs="Times New Roman"/>
          <w:szCs w:val="24"/>
        </w:rPr>
        <w:t xml:space="preserve">Despite its strengths, this methodology has limitations. The reliance on secondary sources means that the study does not capture </w:t>
      </w:r>
      <w:proofErr w:type="spellStart"/>
      <w:r w:rsidRPr="00002165">
        <w:rPr>
          <w:rFonts w:ascii="Times New Roman" w:hAnsi="Times New Roman" w:cs="Times New Roman"/>
          <w:szCs w:val="24"/>
        </w:rPr>
        <w:t>travelers’</w:t>
      </w:r>
      <w:proofErr w:type="spellEnd"/>
      <w:r w:rsidRPr="00002165">
        <w:rPr>
          <w:rFonts w:ascii="Times New Roman" w:hAnsi="Times New Roman" w:cs="Times New Roman"/>
          <w:szCs w:val="24"/>
        </w:rPr>
        <w:t xml:space="preserve"> personal experiences or service providers’ operational perspectives. Additionally, variations in enforcement across jurisdictions may limit the generalisability of findings. However, these limitations do not undermine the validity of the study, as its primary aim is to provide a legal and regulatory analysis rather than empirical measurement.</w:t>
      </w:r>
    </w:p>
    <w:p w14:paraId="12EF5AC1" w14:textId="079F6054" w:rsidR="000437FE" w:rsidRPr="00613E81" w:rsidRDefault="00002165" w:rsidP="00AB5112">
      <w:pPr>
        <w:spacing w:line="480" w:lineRule="auto"/>
        <w:rPr>
          <w:rStyle w:val="Heading1Char"/>
          <w:rFonts w:ascii="Times New Roman" w:eastAsiaTheme="minorHAnsi" w:hAnsi="Times New Roman" w:cs="Times New Roman"/>
          <w:color w:val="auto"/>
          <w:sz w:val="24"/>
          <w:szCs w:val="24"/>
        </w:rPr>
      </w:pPr>
      <w:r w:rsidRPr="00002165">
        <w:rPr>
          <w:rFonts w:ascii="Times New Roman" w:hAnsi="Times New Roman" w:cs="Times New Roman"/>
          <w:szCs w:val="24"/>
        </w:rPr>
        <w:lastRenderedPageBreak/>
        <w:t>Overall, the chosen methodology offers a rigorous framework for examining how consumer protection laws function within the tourism industry.</w:t>
      </w:r>
    </w:p>
    <w:p w14:paraId="5ED1AFD2" w14:textId="77777777" w:rsidR="000437FE" w:rsidRPr="00613E81" w:rsidRDefault="000437FE" w:rsidP="00AB5112">
      <w:pPr>
        <w:spacing w:line="480" w:lineRule="auto"/>
        <w:rPr>
          <w:rStyle w:val="Heading1Char"/>
          <w:rFonts w:ascii="Times New Roman" w:hAnsi="Times New Roman" w:cs="Times New Roman"/>
          <w:b/>
          <w:bCs/>
          <w:color w:val="auto"/>
          <w:sz w:val="24"/>
          <w:szCs w:val="24"/>
        </w:rPr>
      </w:pPr>
    </w:p>
    <w:p w14:paraId="33BFA5F9" w14:textId="66A174C3" w:rsidR="00C82410" w:rsidRPr="00613E81" w:rsidRDefault="00A433D7" w:rsidP="00AB5112">
      <w:pPr>
        <w:spacing w:line="480" w:lineRule="auto"/>
        <w:rPr>
          <w:rStyle w:val="Heading1Char"/>
          <w:rFonts w:ascii="Times New Roman" w:hAnsi="Times New Roman" w:cs="Times New Roman"/>
          <w:b/>
          <w:bCs/>
          <w:color w:val="auto"/>
          <w:sz w:val="24"/>
          <w:szCs w:val="24"/>
        </w:rPr>
      </w:pPr>
      <w:bookmarkStart w:id="4" w:name="_Toc221201958"/>
      <w:r w:rsidRPr="00613E81">
        <w:rPr>
          <w:rStyle w:val="Heading1Char"/>
          <w:rFonts w:ascii="Times New Roman" w:hAnsi="Times New Roman" w:cs="Times New Roman"/>
          <w:b/>
          <w:bCs/>
          <w:color w:val="auto"/>
          <w:sz w:val="24"/>
          <w:szCs w:val="24"/>
        </w:rPr>
        <w:t>4</w:t>
      </w:r>
      <w:r w:rsidR="00582227" w:rsidRPr="00613E81">
        <w:rPr>
          <w:rStyle w:val="Heading1Char"/>
          <w:rFonts w:ascii="Times New Roman" w:hAnsi="Times New Roman" w:cs="Times New Roman"/>
          <w:b/>
          <w:bCs/>
          <w:color w:val="auto"/>
          <w:sz w:val="24"/>
          <w:szCs w:val="24"/>
        </w:rPr>
        <w:t xml:space="preserve"> </w:t>
      </w:r>
      <w:r w:rsidR="00160E9C" w:rsidRPr="00613E81">
        <w:rPr>
          <w:rStyle w:val="Heading1Char"/>
          <w:rFonts w:ascii="Times New Roman" w:hAnsi="Times New Roman" w:cs="Times New Roman"/>
          <w:b/>
          <w:bCs/>
          <w:color w:val="auto"/>
          <w:sz w:val="24"/>
          <w:szCs w:val="24"/>
        </w:rPr>
        <w:t>Finding</w:t>
      </w:r>
      <w:bookmarkEnd w:id="4"/>
    </w:p>
    <w:p w14:paraId="4CFA6D4F"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The analysis of legislation, regulatory guidance, and scholarly literature reveals that consumer protection laws play a decisive role in addressing structural vulnerabilities within the tourism industry. One of the most prominent findings is that tourism consumers face heightened risk due to advance payments, information asymmetry, and reliance on representations made by service providers. Consumer protection frameworks directly respond to these risks by imposing mandatory standards that go beyond contractual agreements.</w:t>
      </w:r>
    </w:p>
    <w:p w14:paraId="3E4054A1"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A key finding concerns the </w:t>
      </w:r>
      <w:r w:rsidRPr="00613E81">
        <w:rPr>
          <w:rFonts w:ascii="Times New Roman" w:hAnsi="Times New Roman" w:cs="Times New Roman"/>
          <w:b/>
          <w:bCs/>
          <w:szCs w:val="24"/>
        </w:rPr>
        <w:t xml:space="preserve">strengthening of </w:t>
      </w:r>
      <w:proofErr w:type="spellStart"/>
      <w:r w:rsidRPr="00613E81">
        <w:rPr>
          <w:rFonts w:ascii="Times New Roman" w:hAnsi="Times New Roman" w:cs="Times New Roman"/>
          <w:b/>
          <w:bCs/>
          <w:szCs w:val="24"/>
        </w:rPr>
        <w:t>travelers’</w:t>
      </w:r>
      <w:proofErr w:type="spellEnd"/>
      <w:r w:rsidRPr="00613E81">
        <w:rPr>
          <w:rFonts w:ascii="Times New Roman" w:hAnsi="Times New Roman" w:cs="Times New Roman"/>
          <w:b/>
          <w:bCs/>
          <w:szCs w:val="24"/>
        </w:rPr>
        <w:t xml:space="preserve"> rights</w:t>
      </w:r>
      <w:r w:rsidRPr="00613E81">
        <w:rPr>
          <w:rFonts w:ascii="Times New Roman" w:hAnsi="Times New Roman" w:cs="Times New Roman"/>
          <w:szCs w:val="24"/>
        </w:rPr>
        <w:t xml:space="preserve"> through sector-specific legislation. Instruments governing package travel significantly enhance consumer protection by allocating clear responsibility to tour organizers for the overall performance of travel services. This approach reduces uncertainty caused by fragmented service provision and ensures that consumers have a single point of accountability when disputes arise. Evidence from regulatory guidance indicates that such frameworks have improved refund processes, compensation mechanisms, and assistance obligations during travel disruptions.</w:t>
      </w:r>
    </w:p>
    <w:p w14:paraId="44FB71AA"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Another important finding relates to </w:t>
      </w:r>
      <w:r w:rsidRPr="00613E81">
        <w:rPr>
          <w:rFonts w:ascii="Times New Roman" w:hAnsi="Times New Roman" w:cs="Times New Roman"/>
          <w:b/>
          <w:bCs/>
          <w:szCs w:val="24"/>
        </w:rPr>
        <w:t>misleading advertising and unfair commercial practices</w:t>
      </w:r>
      <w:r w:rsidRPr="00613E81">
        <w:rPr>
          <w:rFonts w:ascii="Times New Roman" w:hAnsi="Times New Roman" w:cs="Times New Roman"/>
          <w:szCs w:val="24"/>
        </w:rPr>
        <w:t xml:space="preserve">. The literature consistently demonstrates that deceptive pricing, exaggerated claims, and omission of material information are among the most common causes of consumer complaints in tourism. Consumer protection laws increasingly classify misleading omissions and hidden charges as </w:t>
      </w:r>
      <w:r w:rsidRPr="00613E81">
        <w:rPr>
          <w:rFonts w:ascii="Times New Roman" w:hAnsi="Times New Roman" w:cs="Times New Roman"/>
          <w:szCs w:val="24"/>
        </w:rPr>
        <w:lastRenderedPageBreak/>
        <w:t>violations, even where contractual disclaimers exist. This reflects a shift toward prioritizing transparency and informed decision-making.</w:t>
      </w:r>
    </w:p>
    <w:p w14:paraId="7D44640A"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The findings also highlight the </w:t>
      </w:r>
      <w:r w:rsidRPr="00613E81">
        <w:rPr>
          <w:rFonts w:ascii="Times New Roman" w:hAnsi="Times New Roman" w:cs="Times New Roman"/>
          <w:b/>
          <w:bCs/>
          <w:szCs w:val="24"/>
        </w:rPr>
        <w:t>role of safety and quality standards</w:t>
      </w:r>
      <w:r w:rsidRPr="00613E81">
        <w:rPr>
          <w:rFonts w:ascii="Times New Roman" w:hAnsi="Times New Roman" w:cs="Times New Roman"/>
          <w:szCs w:val="24"/>
        </w:rPr>
        <w:t xml:space="preserve"> within consumer protection regimes. Tourism services frequently involve transport, accommodation, and leisure activities that pose safety risks. Consumer protection laws complement contractual duties by imposing minimum safety obligations and enabling regulatory intervention where services are unsafe. This has been particularly significant in adventure tourism and emerging accommodation models.</w:t>
      </w:r>
    </w:p>
    <w:p w14:paraId="43BED94E"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Furthermore, the analysis reveals expanded </w:t>
      </w:r>
      <w:r w:rsidRPr="00613E81">
        <w:rPr>
          <w:rFonts w:ascii="Times New Roman" w:hAnsi="Times New Roman" w:cs="Times New Roman"/>
          <w:b/>
          <w:bCs/>
          <w:szCs w:val="24"/>
        </w:rPr>
        <w:t>compliance responsibilities for tourism service providers</w:t>
      </w:r>
      <w:r w:rsidRPr="00613E81">
        <w:rPr>
          <w:rFonts w:ascii="Times New Roman" w:hAnsi="Times New Roman" w:cs="Times New Roman"/>
          <w:szCs w:val="24"/>
        </w:rPr>
        <w:t>. Businesses are expected to ensure accuracy in marketing, fair pricing practices, accessible complaint handling, and cooperation with regulatory authorities. Failure to comply may result in sanctions, compensation orders, and reputational damage, reinforcing the deterrent effect of consumer protection laws.</w:t>
      </w:r>
    </w:p>
    <w:p w14:paraId="0BA360FA"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Finally, the findings show increasing reliance on </w:t>
      </w:r>
      <w:r w:rsidRPr="00613E81">
        <w:rPr>
          <w:rFonts w:ascii="Times New Roman" w:hAnsi="Times New Roman" w:cs="Times New Roman"/>
          <w:b/>
          <w:bCs/>
          <w:szCs w:val="24"/>
        </w:rPr>
        <w:t>redress mechanisms</w:t>
      </w:r>
      <w:r w:rsidRPr="00613E81">
        <w:rPr>
          <w:rFonts w:ascii="Times New Roman" w:hAnsi="Times New Roman" w:cs="Times New Roman"/>
          <w:szCs w:val="24"/>
        </w:rPr>
        <w:t xml:space="preserve">, including alternative dispute resolution (ADR). While ADR offers efficiency, concerns remain regarding accessibility and fairness, particularly in cross-border disputes. Overall, the findings confirm that consumer protection laws are essential in correcting market imbalances and strengthening </w:t>
      </w:r>
      <w:proofErr w:type="spellStart"/>
      <w:r w:rsidRPr="00613E81">
        <w:rPr>
          <w:rFonts w:ascii="Times New Roman" w:hAnsi="Times New Roman" w:cs="Times New Roman"/>
          <w:szCs w:val="24"/>
        </w:rPr>
        <w:t>traveler</w:t>
      </w:r>
      <w:proofErr w:type="spellEnd"/>
      <w:r w:rsidRPr="00613E81">
        <w:rPr>
          <w:rFonts w:ascii="Times New Roman" w:hAnsi="Times New Roman" w:cs="Times New Roman"/>
          <w:szCs w:val="24"/>
        </w:rPr>
        <w:t xml:space="preserve"> confidence.</w:t>
      </w:r>
    </w:p>
    <w:p w14:paraId="1E6AE2AF" w14:textId="77777777" w:rsidR="000437FE" w:rsidRPr="00613E81" w:rsidRDefault="000437FE" w:rsidP="008C18CC">
      <w:pPr>
        <w:spacing w:line="480" w:lineRule="auto"/>
        <w:rPr>
          <w:rStyle w:val="Heading1Char"/>
          <w:rFonts w:ascii="Times New Roman" w:hAnsi="Times New Roman" w:cs="Times New Roman"/>
          <w:b/>
          <w:bCs/>
          <w:color w:val="auto"/>
          <w:sz w:val="24"/>
          <w:szCs w:val="24"/>
        </w:rPr>
      </w:pPr>
    </w:p>
    <w:p w14:paraId="6F116D5F" w14:textId="77777777" w:rsidR="00763D1C" w:rsidRPr="00613E81" w:rsidRDefault="00763D1C" w:rsidP="008C18CC">
      <w:pPr>
        <w:spacing w:line="480" w:lineRule="auto"/>
        <w:rPr>
          <w:rStyle w:val="Heading1Char"/>
          <w:rFonts w:ascii="Times New Roman" w:hAnsi="Times New Roman" w:cs="Times New Roman"/>
          <w:b/>
          <w:bCs/>
          <w:color w:val="auto"/>
          <w:sz w:val="24"/>
          <w:szCs w:val="24"/>
        </w:rPr>
      </w:pPr>
    </w:p>
    <w:p w14:paraId="649559CB" w14:textId="77777777" w:rsidR="00763D1C" w:rsidRPr="00613E81" w:rsidRDefault="00763D1C" w:rsidP="008C18CC">
      <w:pPr>
        <w:spacing w:line="480" w:lineRule="auto"/>
        <w:rPr>
          <w:rStyle w:val="Heading1Char"/>
          <w:rFonts w:ascii="Times New Roman" w:hAnsi="Times New Roman" w:cs="Times New Roman"/>
          <w:b/>
          <w:bCs/>
          <w:color w:val="auto"/>
          <w:sz w:val="24"/>
          <w:szCs w:val="24"/>
        </w:rPr>
      </w:pPr>
    </w:p>
    <w:p w14:paraId="0CD9F296" w14:textId="77777777" w:rsidR="00763D1C" w:rsidRPr="00613E81" w:rsidRDefault="00763D1C" w:rsidP="008C18CC">
      <w:pPr>
        <w:spacing w:line="480" w:lineRule="auto"/>
        <w:rPr>
          <w:rStyle w:val="Heading1Char"/>
          <w:rFonts w:ascii="Times New Roman" w:hAnsi="Times New Roman" w:cs="Times New Roman"/>
          <w:b/>
          <w:bCs/>
          <w:color w:val="auto"/>
          <w:sz w:val="24"/>
          <w:szCs w:val="24"/>
        </w:rPr>
      </w:pPr>
    </w:p>
    <w:p w14:paraId="05520C61" w14:textId="77777777" w:rsidR="00613E81" w:rsidRPr="00613E81" w:rsidRDefault="00496E55" w:rsidP="00613E81">
      <w:pPr>
        <w:spacing w:line="480" w:lineRule="auto"/>
        <w:rPr>
          <w:rFonts w:ascii="Times New Roman" w:hAnsi="Times New Roman" w:cs="Times New Roman"/>
          <w:szCs w:val="24"/>
        </w:rPr>
      </w:pPr>
      <w:bookmarkStart w:id="5" w:name="_Toc221201959"/>
      <w:r w:rsidRPr="00613E81">
        <w:rPr>
          <w:rStyle w:val="Heading1Char"/>
          <w:rFonts w:ascii="Times New Roman" w:hAnsi="Times New Roman" w:cs="Times New Roman"/>
          <w:b/>
          <w:bCs/>
          <w:color w:val="auto"/>
          <w:sz w:val="24"/>
          <w:szCs w:val="24"/>
        </w:rPr>
        <w:lastRenderedPageBreak/>
        <w:t>5</w:t>
      </w:r>
      <w:r w:rsidR="00F11085" w:rsidRPr="00613E81">
        <w:rPr>
          <w:rStyle w:val="Heading1Char"/>
          <w:rFonts w:ascii="Times New Roman" w:hAnsi="Times New Roman" w:cs="Times New Roman"/>
          <w:b/>
          <w:bCs/>
          <w:color w:val="auto"/>
          <w:sz w:val="24"/>
          <w:szCs w:val="24"/>
        </w:rPr>
        <w:t>. Discussion</w:t>
      </w:r>
      <w:bookmarkEnd w:id="5"/>
      <w:r w:rsidR="00F11085" w:rsidRPr="00613E81">
        <w:rPr>
          <w:rFonts w:ascii="Times New Roman" w:hAnsi="Times New Roman" w:cs="Times New Roman"/>
          <w:szCs w:val="24"/>
        </w:rPr>
        <w:t xml:space="preserve"> </w:t>
      </w:r>
      <w:r w:rsidR="00F11085" w:rsidRPr="00613E81">
        <w:rPr>
          <w:rFonts w:ascii="Times New Roman" w:hAnsi="Times New Roman" w:cs="Times New Roman"/>
          <w:szCs w:val="24"/>
        </w:rPr>
        <w:br/>
      </w:r>
      <w:r w:rsidR="00613E81" w:rsidRPr="00613E81">
        <w:rPr>
          <w:rFonts w:ascii="Times New Roman" w:hAnsi="Times New Roman" w:cs="Times New Roman"/>
          <w:szCs w:val="24"/>
        </w:rPr>
        <w:t xml:space="preserve">The findings reinforce existing academic arguments that consumer protection laws are indispensable to the effective functioning of tourism markets. The unique characteristics of tourism—advance payment, delayed consumption, and cross-border service delivery—create vulnerabilities that traditional contract law alone cannot adequately address. Consumer protection frameworks therefore act as corrective mechanisms that restore balance between </w:t>
      </w:r>
      <w:proofErr w:type="spellStart"/>
      <w:r w:rsidR="00613E81" w:rsidRPr="00613E81">
        <w:rPr>
          <w:rFonts w:ascii="Times New Roman" w:hAnsi="Times New Roman" w:cs="Times New Roman"/>
          <w:szCs w:val="24"/>
        </w:rPr>
        <w:t>travelers</w:t>
      </w:r>
      <w:proofErr w:type="spellEnd"/>
      <w:r w:rsidR="00613E81" w:rsidRPr="00613E81">
        <w:rPr>
          <w:rFonts w:ascii="Times New Roman" w:hAnsi="Times New Roman" w:cs="Times New Roman"/>
          <w:szCs w:val="24"/>
        </w:rPr>
        <w:t xml:space="preserve"> and service providers.</w:t>
      </w:r>
    </w:p>
    <w:p w14:paraId="37B1889B"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The emphasis on transparency and truthful advertising reflects a broader regulatory shift toward consumer-centric governance. By treating misleading omissions and hidden charges as violations, regulators acknowledge that modern consumers rely heavily on digital information when making travel decisions. This approach aligns with scholarly critiques of information asymmetry in tourism and supports stronger disclosure obligations.</w:t>
      </w:r>
    </w:p>
    <w:p w14:paraId="30D271F5"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The discussion also highlights the importance of safety regulation as an integral component of consumer protection. By imposing statutory safety standards, regulators ensure that service providers cannot contract out of fundamental obligations. This is particularly relevant in high-risk tourism activities, where consumer awareness of risks may be limited.</w:t>
      </w:r>
    </w:p>
    <w:p w14:paraId="146AA111"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Another critical issue concerns compliance burdens placed on tourism businesses. While enhanced obligations improve consumer protection, smaller tourism enterprises may face challenges in meeting regulatory requirements. This raises questions about proportionality and enforcement consistency, suggesting the need for supportive compliance frameworks alongside enforcement mechanisms.</w:t>
      </w:r>
    </w:p>
    <w:p w14:paraId="59B1D394"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lastRenderedPageBreak/>
        <w:t>The role of ADR in tourism disputes presents both opportunities and challenges. While ADR improves efficiency and reduces litigation costs, concerns about transparency and procedural fairness persist. Scholars argue that mandatory ADR clauses should be carefully regulated to ensure informed consent and access to justice.</w:t>
      </w:r>
    </w:p>
    <w:p w14:paraId="160EBCC5"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Overall, the discussion demonstrates that consumer protection laws contribute not only to dispute resolution but also to preventive regulation, shaping ethical business conduct and sustainable tourism development.</w:t>
      </w:r>
    </w:p>
    <w:p w14:paraId="0087A4A1" w14:textId="4E6C898A" w:rsidR="002F73F5" w:rsidRPr="00613E81" w:rsidRDefault="002F73F5" w:rsidP="00375277">
      <w:pPr>
        <w:spacing w:line="480" w:lineRule="auto"/>
        <w:rPr>
          <w:rFonts w:ascii="Times New Roman" w:hAnsi="Times New Roman" w:cs="Times New Roman"/>
          <w:szCs w:val="24"/>
        </w:rPr>
      </w:pPr>
    </w:p>
    <w:p w14:paraId="0F12FF98" w14:textId="77777777" w:rsidR="00613E81" w:rsidRPr="00613E81" w:rsidRDefault="00613E81" w:rsidP="00375277">
      <w:pPr>
        <w:spacing w:line="480" w:lineRule="auto"/>
        <w:rPr>
          <w:rFonts w:ascii="Times New Roman" w:hAnsi="Times New Roman" w:cs="Times New Roman"/>
          <w:szCs w:val="24"/>
        </w:rPr>
      </w:pPr>
    </w:p>
    <w:p w14:paraId="59709A88" w14:textId="77777777" w:rsidR="00613E81" w:rsidRPr="00613E81" w:rsidRDefault="00613E81" w:rsidP="00375277">
      <w:pPr>
        <w:spacing w:line="480" w:lineRule="auto"/>
        <w:rPr>
          <w:rFonts w:ascii="Times New Roman" w:hAnsi="Times New Roman" w:cs="Times New Roman"/>
          <w:szCs w:val="24"/>
        </w:rPr>
      </w:pPr>
    </w:p>
    <w:p w14:paraId="280DE427" w14:textId="77777777" w:rsidR="00613E81" w:rsidRPr="00613E81" w:rsidRDefault="00613E81" w:rsidP="00375277">
      <w:pPr>
        <w:spacing w:line="480" w:lineRule="auto"/>
        <w:rPr>
          <w:rFonts w:ascii="Times New Roman" w:hAnsi="Times New Roman" w:cs="Times New Roman"/>
          <w:szCs w:val="24"/>
        </w:rPr>
      </w:pPr>
    </w:p>
    <w:p w14:paraId="04E20A89" w14:textId="77777777" w:rsidR="00613E81" w:rsidRPr="00613E81" w:rsidRDefault="00613E81" w:rsidP="00375277">
      <w:pPr>
        <w:spacing w:line="480" w:lineRule="auto"/>
        <w:rPr>
          <w:rFonts w:ascii="Times New Roman" w:hAnsi="Times New Roman" w:cs="Times New Roman"/>
          <w:szCs w:val="24"/>
        </w:rPr>
      </w:pPr>
    </w:p>
    <w:p w14:paraId="11E06A66" w14:textId="77777777" w:rsidR="00613E81" w:rsidRPr="00613E81" w:rsidRDefault="00613E81" w:rsidP="00375277">
      <w:pPr>
        <w:spacing w:line="480" w:lineRule="auto"/>
        <w:rPr>
          <w:rFonts w:ascii="Times New Roman" w:hAnsi="Times New Roman" w:cs="Times New Roman"/>
          <w:szCs w:val="24"/>
        </w:rPr>
      </w:pPr>
    </w:p>
    <w:p w14:paraId="694B7786" w14:textId="77777777" w:rsidR="00613E81" w:rsidRPr="00613E81" w:rsidRDefault="00613E81" w:rsidP="00375277">
      <w:pPr>
        <w:spacing w:line="480" w:lineRule="auto"/>
        <w:rPr>
          <w:rFonts w:ascii="Times New Roman" w:hAnsi="Times New Roman" w:cs="Times New Roman"/>
          <w:szCs w:val="24"/>
        </w:rPr>
      </w:pPr>
    </w:p>
    <w:p w14:paraId="098BB6B1" w14:textId="77777777" w:rsidR="00613E81" w:rsidRPr="00613E81" w:rsidRDefault="00613E81" w:rsidP="00375277">
      <w:pPr>
        <w:spacing w:line="480" w:lineRule="auto"/>
        <w:rPr>
          <w:rFonts w:ascii="Times New Roman" w:hAnsi="Times New Roman" w:cs="Times New Roman"/>
          <w:szCs w:val="24"/>
        </w:rPr>
      </w:pPr>
    </w:p>
    <w:p w14:paraId="3BFE1BCA" w14:textId="77777777" w:rsidR="00613E81" w:rsidRPr="00613E81" w:rsidRDefault="00613E81" w:rsidP="00375277">
      <w:pPr>
        <w:spacing w:line="480" w:lineRule="auto"/>
        <w:rPr>
          <w:rFonts w:ascii="Times New Roman" w:hAnsi="Times New Roman" w:cs="Times New Roman"/>
          <w:szCs w:val="24"/>
        </w:rPr>
      </w:pPr>
    </w:p>
    <w:p w14:paraId="088872CA" w14:textId="77777777" w:rsidR="00613E81" w:rsidRPr="00613E81" w:rsidRDefault="00613E81" w:rsidP="00375277">
      <w:pPr>
        <w:spacing w:line="480" w:lineRule="auto"/>
        <w:rPr>
          <w:rFonts w:ascii="Times New Roman" w:hAnsi="Times New Roman" w:cs="Times New Roman"/>
          <w:szCs w:val="24"/>
        </w:rPr>
      </w:pPr>
    </w:p>
    <w:p w14:paraId="14B8DC7B" w14:textId="77777777" w:rsidR="000437FE" w:rsidRPr="00613E81" w:rsidRDefault="000437FE" w:rsidP="000437FE">
      <w:pPr>
        <w:spacing w:line="480" w:lineRule="auto"/>
        <w:rPr>
          <w:rFonts w:ascii="Times New Roman" w:hAnsi="Times New Roman" w:cs="Times New Roman"/>
          <w:szCs w:val="24"/>
        </w:rPr>
      </w:pPr>
    </w:p>
    <w:p w14:paraId="6454E5B3" w14:textId="77777777" w:rsidR="000437FE" w:rsidRPr="00613E81" w:rsidRDefault="000437FE" w:rsidP="002F73F5">
      <w:pPr>
        <w:spacing w:line="480" w:lineRule="auto"/>
        <w:rPr>
          <w:rFonts w:ascii="Times New Roman" w:hAnsi="Times New Roman" w:cs="Times New Roman"/>
          <w:szCs w:val="24"/>
        </w:rPr>
      </w:pPr>
    </w:p>
    <w:p w14:paraId="4194AD0D" w14:textId="77777777" w:rsidR="00613E81" w:rsidRPr="00613E81" w:rsidRDefault="00EB264E" w:rsidP="00613E81">
      <w:pPr>
        <w:spacing w:line="480" w:lineRule="auto"/>
        <w:rPr>
          <w:rFonts w:ascii="Times New Roman" w:hAnsi="Times New Roman" w:cs="Times New Roman"/>
          <w:szCs w:val="24"/>
        </w:rPr>
      </w:pPr>
      <w:bookmarkStart w:id="6" w:name="_Toc221201960"/>
      <w:r w:rsidRPr="00613E81">
        <w:rPr>
          <w:rStyle w:val="Heading1Char"/>
          <w:rFonts w:ascii="Times New Roman" w:hAnsi="Times New Roman" w:cs="Times New Roman"/>
          <w:b/>
          <w:bCs/>
          <w:color w:val="auto"/>
          <w:sz w:val="24"/>
          <w:szCs w:val="24"/>
        </w:rPr>
        <w:lastRenderedPageBreak/>
        <w:t>6</w:t>
      </w:r>
      <w:r w:rsidR="00F11085" w:rsidRPr="00613E81">
        <w:rPr>
          <w:rStyle w:val="Heading1Char"/>
          <w:rFonts w:ascii="Times New Roman" w:hAnsi="Times New Roman" w:cs="Times New Roman"/>
          <w:b/>
          <w:bCs/>
          <w:color w:val="auto"/>
          <w:sz w:val="24"/>
          <w:szCs w:val="24"/>
        </w:rPr>
        <w:t>. Conclusion</w:t>
      </w:r>
      <w:bookmarkEnd w:id="6"/>
      <w:r w:rsidR="00F11085" w:rsidRPr="00613E81">
        <w:rPr>
          <w:rFonts w:ascii="Times New Roman" w:hAnsi="Times New Roman" w:cs="Times New Roman"/>
          <w:b/>
          <w:bCs/>
          <w:szCs w:val="24"/>
        </w:rPr>
        <w:t xml:space="preserve"> </w:t>
      </w:r>
      <w:r w:rsidR="00F11085" w:rsidRPr="00613E81">
        <w:rPr>
          <w:rFonts w:ascii="Times New Roman" w:hAnsi="Times New Roman" w:cs="Times New Roman"/>
          <w:szCs w:val="24"/>
        </w:rPr>
        <w:br/>
      </w:r>
      <w:r w:rsidR="00613E81" w:rsidRPr="00613E81">
        <w:rPr>
          <w:rFonts w:ascii="Times New Roman" w:hAnsi="Times New Roman" w:cs="Times New Roman"/>
          <w:szCs w:val="24"/>
        </w:rPr>
        <w:t xml:space="preserve">This assignment has examined the role of consumer protection laws in the tourism industry, demonstrating their critical importance in safeguarding </w:t>
      </w:r>
      <w:proofErr w:type="spellStart"/>
      <w:r w:rsidR="00613E81" w:rsidRPr="00613E81">
        <w:rPr>
          <w:rFonts w:ascii="Times New Roman" w:hAnsi="Times New Roman" w:cs="Times New Roman"/>
          <w:szCs w:val="24"/>
        </w:rPr>
        <w:t>travelers’</w:t>
      </w:r>
      <w:proofErr w:type="spellEnd"/>
      <w:r w:rsidR="00613E81" w:rsidRPr="00613E81">
        <w:rPr>
          <w:rFonts w:ascii="Times New Roman" w:hAnsi="Times New Roman" w:cs="Times New Roman"/>
          <w:szCs w:val="24"/>
        </w:rPr>
        <w:t xml:space="preserve"> rights and regulating service provider conduct. Tourism consumers face heightened risks due to advance payments, information asymmetry, and cross-border transactions, making statutory protection essential. Consumer protection laws address these vulnerabilities by ensuring transparency, fairness, safety, and access to redress.</w:t>
      </w:r>
    </w:p>
    <w:p w14:paraId="7FBFB4C5"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The analysis confirms that legislative frameworks governing package travel, unfair commercial practices, and service safety significantly strengthen consumer confidence and accountability within the tourism sector. By imposing clear compliance obligations on tourism service providers, these laws promote ethical practices and enhance service quality. Moreover, effective dispute resolution mechanisms ensure that consumer rights are enforceable in practice.</w:t>
      </w:r>
    </w:p>
    <w:p w14:paraId="7886DCBA"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Overall, consumer protection laws function as a cornerstone of sustainable tourism governance. As tourism markets continue to evolve through digitalisation and global uncertainty, ongoing regulatory adaptation and international cooperation will be essential to maintaining robust consumer protection standards.</w:t>
      </w:r>
    </w:p>
    <w:p w14:paraId="7A3B17D3" w14:textId="68CED2D0" w:rsidR="002F73F5" w:rsidRPr="00613E81" w:rsidRDefault="002F73F5" w:rsidP="00375277">
      <w:pPr>
        <w:spacing w:line="480" w:lineRule="auto"/>
        <w:rPr>
          <w:rFonts w:ascii="Times New Roman" w:hAnsi="Times New Roman" w:cs="Times New Roman"/>
          <w:szCs w:val="24"/>
        </w:rPr>
      </w:pPr>
    </w:p>
    <w:p w14:paraId="2D7C8E14" w14:textId="77777777" w:rsidR="00613E81" w:rsidRPr="00613E81" w:rsidRDefault="00613E81" w:rsidP="00375277">
      <w:pPr>
        <w:spacing w:line="480" w:lineRule="auto"/>
        <w:rPr>
          <w:rFonts w:ascii="Times New Roman" w:hAnsi="Times New Roman" w:cs="Times New Roman"/>
          <w:szCs w:val="24"/>
        </w:rPr>
      </w:pPr>
    </w:p>
    <w:p w14:paraId="3B24A22F" w14:textId="77777777" w:rsidR="00092BBD" w:rsidRPr="00613E81" w:rsidRDefault="00092BBD" w:rsidP="00013DBD">
      <w:pPr>
        <w:spacing w:line="480" w:lineRule="auto"/>
        <w:rPr>
          <w:rFonts w:ascii="Times New Roman" w:hAnsi="Times New Roman" w:cs="Times New Roman"/>
          <w:szCs w:val="24"/>
          <w:lang w:val="en-US"/>
        </w:rPr>
      </w:pPr>
    </w:p>
    <w:p w14:paraId="0881047A" w14:textId="7810E1B7" w:rsidR="004D7D13" w:rsidRPr="00613E81" w:rsidRDefault="004D7D13" w:rsidP="00013DBD">
      <w:pPr>
        <w:pStyle w:val="Heading1"/>
        <w:spacing w:line="480" w:lineRule="auto"/>
        <w:rPr>
          <w:rFonts w:ascii="Times New Roman" w:hAnsi="Times New Roman" w:cs="Times New Roman"/>
          <w:b/>
          <w:bCs/>
          <w:color w:val="auto"/>
          <w:sz w:val="24"/>
          <w:szCs w:val="24"/>
        </w:rPr>
      </w:pPr>
      <w:bookmarkStart w:id="7" w:name="_Toc221201961"/>
      <w:r w:rsidRPr="00613E81">
        <w:rPr>
          <w:rFonts w:ascii="Times New Roman" w:hAnsi="Times New Roman" w:cs="Times New Roman"/>
          <w:b/>
          <w:bCs/>
          <w:color w:val="auto"/>
          <w:sz w:val="24"/>
          <w:szCs w:val="24"/>
        </w:rPr>
        <w:lastRenderedPageBreak/>
        <w:t>Reference List</w:t>
      </w:r>
      <w:bookmarkEnd w:id="7"/>
      <w:r w:rsidRPr="00613E81">
        <w:rPr>
          <w:rFonts w:ascii="Times New Roman" w:hAnsi="Times New Roman" w:cs="Times New Roman"/>
          <w:b/>
          <w:bCs/>
          <w:color w:val="auto"/>
          <w:sz w:val="24"/>
          <w:szCs w:val="24"/>
        </w:rPr>
        <w:t xml:space="preserve"> </w:t>
      </w:r>
    </w:p>
    <w:p w14:paraId="000FA69B" w14:textId="77777777" w:rsidR="00613E81" w:rsidRPr="00613E81" w:rsidRDefault="00613E81" w:rsidP="00613E81">
      <w:pPr>
        <w:spacing w:line="480" w:lineRule="auto"/>
        <w:rPr>
          <w:rFonts w:ascii="Times New Roman" w:hAnsi="Times New Roman" w:cs="Times New Roman"/>
          <w:szCs w:val="24"/>
        </w:rPr>
      </w:pPr>
      <w:proofErr w:type="spellStart"/>
      <w:r w:rsidRPr="00613E81">
        <w:rPr>
          <w:rFonts w:ascii="Times New Roman" w:hAnsi="Times New Roman" w:cs="Times New Roman"/>
          <w:szCs w:val="24"/>
        </w:rPr>
        <w:t>Buhalis</w:t>
      </w:r>
      <w:proofErr w:type="spellEnd"/>
      <w:r w:rsidRPr="00613E81">
        <w:rPr>
          <w:rFonts w:ascii="Times New Roman" w:hAnsi="Times New Roman" w:cs="Times New Roman"/>
          <w:szCs w:val="24"/>
        </w:rPr>
        <w:t xml:space="preserve">, D., &amp; Law, R. (2008). Progress in information technology and tourism management. </w:t>
      </w:r>
      <w:r w:rsidRPr="00613E81">
        <w:rPr>
          <w:rFonts w:ascii="Times New Roman" w:hAnsi="Times New Roman" w:cs="Times New Roman"/>
          <w:i/>
          <w:iCs/>
          <w:szCs w:val="24"/>
        </w:rPr>
        <w:t>Tourism Management, 29</w:t>
      </w:r>
      <w:r w:rsidRPr="00613E81">
        <w:rPr>
          <w:rFonts w:ascii="Times New Roman" w:hAnsi="Times New Roman" w:cs="Times New Roman"/>
          <w:szCs w:val="24"/>
        </w:rPr>
        <w:t xml:space="preserve">(4), 609–623. </w:t>
      </w:r>
      <w:hyperlink r:id="rId8" w:tgtFrame="_new" w:history="1">
        <w:r w:rsidRPr="00613E81">
          <w:rPr>
            <w:rStyle w:val="Hyperlink"/>
            <w:rFonts w:ascii="Times New Roman" w:hAnsi="Times New Roman" w:cs="Times New Roman"/>
            <w:szCs w:val="24"/>
          </w:rPr>
          <w:t>https://doi.org/10.1016/j.tourman.2008.01.005</w:t>
        </w:r>
      </w:hyperlink>
    </w:p>
    <w:p w14:paraId="73773689"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Dickerson, T. A. (2021). </w:t>
      </w:r>
      <w:r w:rsidRPr="00613E81">
        <w:rPr>
          <w:rFonts w:ascii="Times New Roman" w:hAnsi="Times New Roman" w:cs="Times New Roman"/>
          <w:i/>
          <w:iCs/>
          <w:szCs w:val="24"/>
        </w:rPr>
        <w:t>Travel law</w:t>
      </w:r>
      <w:r w:rsidRPr="00613E81">
        <w:rPr>
          <w:rFonts w:ascii="Times New Roman" w:hAnsi="Times New Roman" w:cs="Times New Roman"/>
          <w:szCs w:val="24"/>
        </w:rPr>
        <w:t xml:space="preserve"> (7th ed.). Law Journal Press.</w:t>
      </w:r>
    </w:p>
    <w:p w14:paraId="3F7428BF"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European Commission. (2022). </w:t>
      </w:r>
      <w:r w:rsidRPr="00613E81">
        <w:rPr>
          <w:rFonts w:ascii="Times New Roman" w:hAnsi="Times New Roman" w:cs="Times New Roman"/>
          <w:i/>
          <w:iCs/>
          <w:szCs w:val="24"/>
        </w:rPr>
        <w:t>Guidance on the interpretation and application of Directive (EU) 2015/2302 on package travel</w:t>
      </w:r>
      <w:r w:rsidRPr="00613E81">
        <w:rPr>
          <w:rFonts w:ascii="Times New Roman" w:hAnsi="Times New Roman" w:cs="Times New Roman"/>
          <w:szCs w:val="24"/>
        </w:rPr>
        <w:t xml:space="preserve">. </w:t>
      </w:r>
      <w:hyperlink r:id="rId9" w:tgtFrame="_new" w:history="1">
        <w:r w:rsidRPr="00613E81">
          <w:rPr>
            <w:rStyle w:val="Hyperlink"/>
            <w:rFonts w:ascii="Times New Roman" w:hAnsi="Times New Roman" w:cs="Times New Roman"/>
            <w:szCs w:val="24"/>
          </w:rPr>
          <w:t>https://commission.europa.eu</w:t>
        </w:r>
      </w:hyperlink>
    </w:p>
    <w:p w14:paraId="664BFC21"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Guttentag, D. (2015). Airbnb: Disruptive innovation and the rise of an informal tourism accommodation sector. </w:t>
      </w:r>
      <w:r w:rsidRPr="00613E81">
        <w:rPr>
          <w:rFonts w:ascii="Times New Roman" w:hAnsi="Times New Roman" w:cs="Times New Roman"/>
          <w:i/>
          <w:iCs/>
          <w:szCs w:val="24"/>
        </w:rPr>
        <w:t>Current Issues in Tourism, 18</w:t>
      </w:r>
      <w:r w:rsidRPr="00613E81">
        <w:rPr>
          <w:rFonts w:ascii="Times New Roman" w:hAnsi="Times New Roman" w:cs="Times New Roman"/>
          <w:szCs w:val="24"/>
        </w:rPr>
        <w:t>(12), 1192–1217. https://doi.org/10.1080/13683500.2013.827159</w:t>
      </w:r>
    </w:p>
    <w:p w14:paraId="0C14688A"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Micklitz, H.-W., Reich, N., &amp; Rott, P. (2014). </w:t>
      </w:r>
      <w:r w:rsidRPr="00613E81">
        <w:rPr>
          <w:rFonts w:ascii="Times New Roman" w:hAnsi="Times New Roman" w:cs="Times New Roman"/>
          <w:i/>
          <w:iCs/>
          <w:szCs w:val="24"/>
        </w:rPr>
        <w:t>European consumer law</w:t>
      </w:r>
      <w:r w:rsidRPr="00613E81">
        <w:rPr>
          <w:rFonts w:ascii="Times New Roman" w:hAnsi="Times New Roman" w:cs="Times New Roman"/>
          <w:szCs w:val="24"/>
        </w:rPr>
        <w:t xml:space="preserve">. </w:t>
      </w:r>
      <w:proofErr w:type="spellStart"/>
      <w:r w:rsidRPr="00613E81">
        <w:rPr>
          <w:rFonts w:ascii="Times New Roman" w:hAnsi="Times New Roman" w:cs="Times New Roman"/>
          <w:szCs w:val="24"/>
        </w:rPr>
        <w:t>Intersentia</w:t>
      </w:r>
      <w:proofErr w:type="spellEnd"/>
      <w:r w:rsidRPr="00613E81">
        <w:rPr>
          <w:rFonts w:ascii="Times New Roman" w:hAnsi="Times New Roman" w:cs="Times New Roman"/>
          <w:szCs w:val="24"/>
        </w:rPr>
        <w:t>. https://doi.org/10.1017/CBO9781139565385</w:t>
      </w:r>
    </w:p>
    <w:p w14:paraId="05FB34DA"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OECD. (2019). </w:t>
      </w:r>
      <w:r w:rsidRPr="00613E81">
        <w:rPr>
          <w:rFonts w:ascii="Times New Roman" w:hAnsi="Times New Roman" w:cs="Times New Roman"/>
          <w:i/>
          <w:iCs/>
          <w:szCs w:val="24"/>
        </w:rPr>
        <w:t>Consumer policy and fraud</w:t>
      </w:r>
      <w:r w:rsidRPr="00613E81">
        <w:rPr>
          <w:rFonts w:ascii="Times New Roman" w:hAnsi="Times New Roman" w:cs="Times New Roman"/>
          <w:szCs w:val="24"/>
        </w:rPr>
        <w:t xml:space="preserve">. </w:t>
      </w:r>
      <w:hyperlink r:id="rId10" w:tgtFrame="_new" w:history="1">
        <w:r w:rsidRPr="00613E81">
          <w:rPr>
            <w:rStyle w:val="Hyperlink"/>
            <w:rFonts w:ascii="Times New Roman" w:hAnsi="Times New Roman" w:cs="Times New Roman"/>
            <w:szCs w:val="24"/>
          </w:rPr>
          <w:t>https://www.oecd.org</w:t>
        </w:r>
      </w:hyperlink>
    </w:p>
    <w:p w14:paraId="112743F3"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Poole, J. (2020). </w:t>
      </w:r>
      <w:r w:rsidRPr="00613E81">
        <w:rPr>
          <w:rFonts w:ascii="Times New Roman" w:hAnsi="Times New Roman" w:cs="Times New Roman"/>
          <w:i/>
          <w:iCs/>
          <w:szCs w:val="24"/>
        </w:rPr>
        <w:t>Textbook on contract law</w:t>
      </w:r>
      <w:r w:rsidRPr="00613E81">
        <w:rPr>
          <w:rFonts w:ascii="Times New Roman" w:hAnsi="Times New Roman" w:cs="Times New Roman"/>
          <w:szCs w:val="24"/>
        </w:rPr>
        <w:t xml:space="preserve"> (15th ed.). Oxford University Press.</w:t>
      </w:r>
    </w:p>
    <w:p w14:paraId="2A666FF6"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Ruhl, J. B. (2020). Contracting in the digital age: Implications for consumer protection. </w:t>
      </w:r>
      <w:r w:rsidRPr="00613E81">
        <w:rPr>
          <w:rFonts w:ascii="Times New Roman" w:hAnsi="Times New Roman" w:cs="Times New Roman"/>
          <w:i/>
          <w:iCs/>
          <w:szCs w:val="24"/>
        </w:rPr>
        <w:t>Journal of Consumer Policy, 43</w:t>
      </w:r>
      <w:r w:rsidRPr="00613E81">
        <w:rPr>
          <w:rFonts w:ascii="Times New Roman" w:hAnsi="Times New Roman" w:cs="Times New Roman"/>
          <w:szCs w:val="24"/>
        </w:rPr>
        <w:t>(2), 245–266. https://doi.org/10.1007/s10603-020-09445-1</w:t>
      </w:r>
    </w:p>
    <w:p w14:paraId="36E1EA10"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Sharpley, R. (2018). </w:t>
      </w:r>
      <w:r w:rsidRPr="00613E81">
        <w:rPr>
          <w:rFonts w:ascii="Times New Roman" w:hAnsi="Times New Roman" w:cs="Times New Roman"/>
          <w:i/>
          <w:iCs/>
          <w:szCs w:val="24"/>
        </w:rPr>
        <w:t>Tourism, tourists and society</w:t>
      </w:r>
      <w:r w:rsidRPr="00613E81">
        <w:rPr>
          <w:rFonts w:ascii="Times New Roman" w:hAnsi="Times New Roman" w:cs="Times New Roman"/>
          <w:szCs w:val="24"/>
        </w:rPr>
        <w:t xml:space="preserve"> (5th ed.). Routledge.</w:t>
      </w:r>
    </w:p>
    <w:p w14:paraId="13DD3C69"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Smith, S. L. J. (2015). </w:t>
      </w:r>
      <w:r w:rsidRPr="00613E81">
        <w:rPr>
          <w:rFonts w:ascii="Times New Roman" w:hAnsi="Times New Roman" w:cs="Times New Roman"/>
          <w:i/>
          <w:iCs/>
          <w:szCs w:val="24"/>
        </w:rPr>
        <w:t>Tourism analysis: A handbook</w:t>
      </w:r>
      <w:r w:rsidRPr="00613E81">
        <w:rPr>
          <w:rFonts w:ascii="Times New Roman" w:hAnsi="Times New Roman" w:cs="Times New Roman"/>
          <w:szCs w:val="24"/>
        </w:rPr>
        <w:t xml:space="preserve"> (2nd ed.). Routledge.</w:t>
      </w:r>
    </w:p>
    <w:p w14:paraId="29633E65"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UN World Tourism Organization. (2021). </w:t>
      </w:r>
      <w:r w:rsidRPr="00613E81">
        <w:rPr>
          <w:rFonts w:ascii="Times New Roman" w:hAnsi="Times New Roman" w:cs="Times New Roman"/>
          <w:i/>
          <w:iCs/>
          <w:szCs w:val="24"/>
        </w:rPr>
        <w:t>International code for the protection of tourists</w:t>
      </w:r>
      <w:r w:rsidRPr="00613E81">
        <w:rPr>
          <w:rFonts w:ascii="Times New Roman" w:hAnsi="Times New Roman" w:cs="Times New Roman"/>
          <w:szCs w:val="24"/>
        </w:rPr>
        <w:t xml:space="preserve">. </w:t>
      </w:r>
      <w:hyperlink r:id="rId11" w:tgtFrame="_new" w:history="1">
        <w:r w:rsidRPr="00613E81">
          <w:rPr>
            <w:rStyle w:val="Hyperlink"/>
            <w:rFonts w:ascii="Times New Roman" w:hAnsi="Times New Roman" w:cs="Times New Roman"/>
            <w:szCs w:val="24"/>
          </w:rPr>
          <w:t>https://www.unwto.org</w:t>
        </w:r>
      </w:hyperlink>
    </w:p>
    <w:p w14:paraId="5F5D6FA6"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lastRenderedPageBreak/>
        <w:t xml:space="preserve">Weatherill, S. (2020). </w:t>
      </w:r>
      <w:r w:rsidRPr="00613E81">
        <w:rPr>
          <w:rFonts w:ascii="Times New Roman" w:hAnsi="Times New Roman" w:cs="Times New Roman"/>
          <w:i/>
          <w:iCs/>
          <w:szCs w:val="24"/>
        </w:rPr>
        <w:t>EU consumer law and policy</w:t>
      </w:r>
      <w:r w:rsidRPr="00613E81">
        <w:rPr>
          <w:rFonts w:ascii="Times New Roman" w:hAnsi="Times New Roman" w:cs="Times New Roman"/>
          <w:szCs w:val="24"/>
        </w:rPr>
        <w:t xml:space="preserve"> (2nd ed.). Edward Elgar Publishing. https://doi.org/10.4337/9781788979673</w:t>
      </w:r>
    </w:p>
    <w:p w14:paraId="1E910DAC"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Xiang, Z., Magnini, V. P., &amp; Fesenmaier, D. R. (2015). Information technology and consumer </w:t>
      </w:r>
      <w:proofErr w:type="spellStart"/>
      <w:r w:rsidRPr="00613E81">
        <w:rPr>
          <w:rFonts w:ascii="Times New Roman" w:hAnsi="Times New Roman" w:cs="Times New Roman"/>
          <w:szCs w:val="24"/>
        </w:rPr>
        <w:t>behavior</w:t>
      </w:r>
      <w:proofErr w:type="spellEnd"/>
      <w:r w:rsidRPr="00613E81">
        <w:rPr>
          <w:rFonts w:ascii="Times New Roman" w:hAnsi="Times New Roman" w:cs="Times New Roman"/>
          <w:szCs w:val="24"/>
        </w:rPr>
        <w:t xml:space="preserve"> in travel. </w:t>
      </w:r>
      <w:r w:rsidRPr="00613E81">
        <w:rPr>
          <w:rFonts w:ascii="Times New Roman" w:hAnsi="Times New Roman" w:cs="Times New Roman"/>
          <w:i/>
          <w:iCs/>
          <w:szCs w:val="24"/>
        </w:rPr>
        <w:t>Tourism Management, 47</w:t>
      </w:r>
      <w:r w:rsidRPr="00613E81">
        <w:rPr>
          <w:rFonts w:ascii="Times New Roman" w:hAnsi="Times New Roman" w:cs="Times New Roman"/>
          <w:szCs w:val="24"/>
        </w:rPr>
        <w:t>, 244–259. https://doi.org/10.1016/j.tourman.2014.09.010</w:t>
      </w:r>
    </w:p>
    <w:p w14:paraId="3DC63535"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Zhang, H., Song, H., &amp; Huang, G. Q. (2009). Tourism supply chain management: A new research agenda. </w:t>
      </w:r>
      <w:r w:rsidRPr="00613E81">
        <w:rPr>
          <w:rFonts w:ascii="Times New Roman" w:hAnsi="Times New Roman" w:cs="Times New Roman"/>
          <w:i/>
          <w:iCs/>
          <w:szCs w:val="24"/>
        </w:rPr>
        <w:t>Tourism Management, 30</w:t>
      </w:r>
      <w:r w:rsidRPr="00613E81">
        <w:rPr>
          <w:rFonts w:ascii="Times New Roman" w:hAnsi="Times New Roman" w:cs="Times New Roman"/>
          <w:szCs w:val="24"/>
        </w:rPr>
        <w:t>(3), 345–358. https://doi.org/10.1016/j.tourman.2008.12.010</w:t>
      </w:r>
    </w:p>
    <w:p w14:paraId="77F41528"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European Parliament. (2019). </w:t>
      </w:r>
      <w:r w:rsidRPr="00613E81">
        <w:rPr>
          <w:rFonts w:ascii="Times New Roman" w:hAnsi="Times New Roman" w:cs="Times New Roman"/>
          <w:i/>
          <w:iCs/>
          <w:szCs w:val="24"/>
        </w:rPr>
        <w:t>Consumer rights in travel and tourism</w:t>
      </w:r>
      <w:r w:rsidRPr="00613E81">
        <w:rPr>
          <w:rFonts w:ascii="Times New Roman" w:hAnsi="Times New Roman" w:cs="Times New Roman"/>
          <w:szCs w:val="24"/>
        </w:rPr>
        <w:t xml:space="preserve">. </w:t>
      </w:r>
      <w:hyperlink r:id="rId12" w:tgtFrame="_new" w:history="1">
        <w:r w:rsidRPr="00613E81">
          <w:rPr>
            <w:rStyle w:val="Hyperlink"/>
            <w:rFonts w:ascii="Times New Roman" w:hAnsi="Times New Roman" w:cs="Times New Roman"/>
            <w:szCs w:val="24"/>
          </w:rPr>
          <w:t>https://www.europarl.europa.eu</w:t>
        </w:r>
      </w:hyperlink>
    </w:p>
    <w:p w14:paraId="18D123F1" w14:textId="77777777" w:rsidR="00F11085" w:rsidRPr="00613E81" w:rsidRDefault="00F11085" w:rsidP="00613E81">
      <w:pPr>
        <w:spacing w:line="480" w:lineRule="auto"/>
        <w:rPr>
          <w:rFonts w:ascii="Times New Roman" w:hAnsi="Times New Roman" w:cs="Times New Roman"/>
          <w:szCs w:val="24"/>
          <w:lang w:val="en-US"/>
        </w:rPr>
      </w:pPr>
    </w:p>
    <w:sectPr w:rsidR="00F11085" w:rsidRPr="00613E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7"/>
  </w:num>
  <w:num w:numId="11" w16cid:durableId="540483361">
    <w:abstractNumId w:val="20"/>
  </w:num>
  <w:num w:numId="12" w16cid:durableId="949244108">
    <w:abstractNumId w:val="25"/>
  </w:num>
  <w:num w:numId="13" w16cid:durableId="646470493">
    <w:abstractNumId w:val="12"/>
  </w:num>
  <w:num w:numId="14" w16cid:durableId="1633947311">
    <w:abstractNumId w:val="30"/>
  </w:num>
  <w:num w:numId="15" w16cid:durableId="958996080">
    <w:abstractNumId w:val="18"/>
  </w:num>
  <w:num w:numId="16" w16cid:durableId="1218054281">
    <w:abstractNumId w:val="9"/>
  </w:num>
  <w:num w:numId="17" w16cid:durableId="303777591">
    <w:abstractNumId w:val="14"/>
  </w:num>
  <w:num w:numId="18" w16cid:durableId="802387298">
    <w:abstractNumId w:val="28"/>
  </w:num>
  <w:num w:numId="19" w16cid:durableId="1948197075">
    <w:abstractNumId w:val="0"/>
  </w:num>
  <w:num w:numId="20" w16cid:durableId="1655917397">
    <w:abstractNumId w:val="8"/>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1"/>
  </w:num>
  <w:num w:numId="31" w16cid:durableId="2007511022">
    <w:abstractNumId w:val="22"/>
  </w:num>
  <w:num w:numId="32" w16cid:durableId="1795828787">
    <w:abstractNumId w:val="15"/>
  </w:num>
  <w:num w:numId="33" w16cid:durableId="1348405068">
    <w:abstractNumId w:val="24"/>
  </w:num>
  <w:num w:numId="34" w16cid:durableId="14607621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512A3"/>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457EF"/>
    <w:rsid w:val="00375277"/>
    <w:rsid w:val="00377FF0"/>
    <w:rsid w:val="00394C39"/>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13E81"/>
    <w:rsid w:val="00626634"/>
    <w:rsid w:val="00632ED6"/>
    <w:rsid w:val="00635AB0"/>
    <w:rsid w:val="00654B4B"/>
    <w:rsid w:val="006640E0"/>
    <w:rsid w:val="00664D7C"/>
    <w:rsid w:val="006D483F"/>
    <w:rsid w:val="00714A73"/>
    <w:rsid w:val="007469A5"/>
    <w:rsid w:val="00763D1C"/>
    <w:rsid w:val="00770D56"/>
    <w:rsid w:val="007F2D81"/>
    <w:rsid w:val="00810849"/>
    <w:rsid w:val="00825AA5"/>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86E2A"/>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1597C"/>
    <w:rsid w:val="00C766B3"/>
    <w:rsid w:val="00C82410"/>
    <w:rsid w:val="00CC17BF"/>
    <w:rsid w:val="00CE4EE4"/>
    <w:rsid w:val="00D1330E"/>
    <w:rsid w:val="00D16B77"/>
    <w:rsid w:val="00D33052"/>
    <w:rsid w:val="00D346FC"/>
    <w:rsid w:val="00D67892"/>
    <w:rsid w:val="00D74A74"/>
    <w:rsid w:val="00D84E95"/>
    <w:rsid w:val="00DD48B2"/>
    <w:rsid w:val="00DF3FD0"/>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08.01.00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europarl.europ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nwto.org" TargetMode="External"/><Relationship Id="rId5" Type="http://schemas.openxmlformats.org/officeDocument/2006/relationships/webSettings" Target="webSettings.xml"/><Relationship Id="rId10" Type="http://schemas.openxmlformats.org/officeDocument/2006/relationships/hyperlink" Target="https://www.oecd.org" TargetMode="External"/><Relationship Id="rId4" Type="http://schemas.openxmlformats.org/officeDocument/2006/relationships/settings" Target="settings.xml"/><Relationship Id="rId9" Type="http://schemas.openxmlformats.org/officeDocument/2006/relationships/hyperlink" Target="https://commission.europa.e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3891</Words>
  <Characters>22179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2026-02-05T13:19:00Z</dcterms:created>
  <dcterms:modified xsi:type="dcterms:W3CDTF">2026-02-05T13:19:00Z</dcterms:modified>
</cp:coreProperties>
</file>