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635AB0"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635AB0" w:rsidRDefault="004A1F6F" w:rsidP="00013DBD">
      <w:pPr>
        <w:spacing w:line="480" w:lineRule="auto"/>
        <w:rPr>
          <w:rFonts w:ascii="Times New Roman" w:hAnsi="Times New Roman" w:cs="Times New Roman"/>
          <w:color w:val="000000" w:themeColor="text1"/>
          <w:szCs w:val="24"/>
          <w:lang w:val="en-US"/>
        </w:rPr>
      </w:pPr>
      <w:r w:rsidRPr="00635AB0">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635AB0"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635AB0"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635AB0"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635AB0" w:rsidRDefault="00F72ED2" w:rsidP="00013DBD">
      <w:pPr>
        <w:spacing w:line="480" w:lineRule="auto"/>
        <w:jc w:val="center"/>
        <w:rPr>
          <w:rFonts w:ascii="Times New Roman" w:hAnsi="Times New Roman" w:cs="Times New Roman"/>
          <w:b/>
          <w:bCs/>
          <w:color w:val="000000" w:themeColor="text1"/>
          <w:szCs w:val="24"/>
        </w:rPr>
      </w:pPr>
      <w:proofErr w:type="gramStart"/>
      <w:r w:rsidRPr="00635AB0">
        <w:rPr>
          <w:rFonts w:ascii="Times New Roman" w:hAnsi="Times New Roman" w:cs="Times New Roman"/>
          <w:b/>
          <w:bCs/>
          <w:color w:val="000000" w:themeColor="text1"/>
          <w:szCs w:val="24"/>
        </w:rPr>
        <w:t>Bachelor's</w:t>
      </w:r>
      <w:proofErr w:type="gramEnd"/>
      <w:r w:rsidRPr="00635AB0">
        <w:rPr>
          <w:rFonts w:ascii="Times New Roman" w:hAnsi="Times New Roman" w:cs="Times New Roman"/>
          <w:b/>
          <w:bCs/>
          <w:color w:val="000000" w:themeColor="text1"/>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color w:val="000000" w:themeColor="text1"/>
          <w:szCs w:val="24"/>
        </w:rPr>
      </w:pPr>
      <w:r w:rsidRPr="0023731E">
        <w:rPr>
          <w:rFonts w:ascii="Times New Roman" w:hAnsi="Times New Roman" w:cs="Times New Roman"/>
          <w:b/>
          <w:bCs/>
          <w:color w:val="000000" w:themeColor="text1"/>
          <w:szCs w:val="24"/>
        </w:rPr>
        <w:t>Tourism Law</w:t>
      </w:r>
    </w:p>
    <w:p w14:paraId="024E721F" w14:textId="3730EB0D" w:rsidR="004D7D13" w:rsidRPr="00635AB0" w:rsidRDefault="0023731E" w:rsidP="0023731E">
      <w:pPr>
        <w:spacing w:line="480" w:lineRule="auto"/>
        <w:jc w:val="center"/>
        <w:rPr>
          <w:rFonts w:ascii="Times New Roman" w:hAnsi="Times New Roman" w:cs="Times New Roman"/>
          <w:color w:val="000000" w:themeColor="text1"/>
          <w:szCs w:val="24"/>
          <w:lang w:val="en-US"/>
        </w:rPr>
      </w:pPr>
      <w:r w:rsidRPr="00635AB0">
        <w:rPr>
          <w:rFonts w:ascii="Times New Roman" w:hAnsi="Times New Roman" w:cs="Times New Roman"/>
          <w:b/>
          <w:bCs/>
          <w:color w:val="000000" w:themeColor="text1"/>
          <w:szCs w:val="24"/>
        </w:rPr>
        <w:t>Assignment 1: The Role of Contract Law in the Tourism Industry</w:t>
      </w:r>
    </w:p>
    <w:p w14:paraId="2C8D5449" w14:textId="77777777" w:rsidR="00A76B20" w:rsidRPr="00635AB0"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635AB0"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15F16A60" w14:textId="77777777" w:rsidR="0009281E" w:rsidRDefault="0009281E" w:rsidP="00013DBD">
      <w:pPr>
        <w:spacing w:line="480" w:lineRule="auto"/>
        <w:rPr>
          <w:rFonts w:ascii="Times New Roman" w:hAnsi="Times New Roman" w:cs="Times New Roman"/>
          <w:color w:val="000000" w:themeColor="text1"/>
          <w:szCs w:val="24"/>
          <w:lang w:val="en-US"/>
        </w:rPr>
      </w:pPr>
    </w:p>
    <w:p w14:paraId="03B055A2" w14:textId="77777777" w:rsidR="0009281E" w:rsidRPr="00635AB0" w:rsidRDefault="0009281E" w:rsidP="00013DBD">
      <w:pPr>
        <w:spacing w:line="480" w:lineRule="auto"/>
        <w:rPr>
          <w:rFonts w:ascii="Times New Roman" w:hAnsi="Times New Roman" w:cs="Times New Roman"/>
          <w:color w:val="000000" w:themeColor="text1"/>
          <w:szCs w:val="24"/>
          <w:lang w:val="en-US"/>
        </w:rPr>
      </w:pPr>
    </w:p>
    <w:p w14:paraId="6DAFC10D"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25BE1823" w14:textId="345FFE74" w:rsidR="00EA7FD8" w:rsidRPr="00635AB0" w:rsidRDefault="00D33052" w:rsidP="005B0192">
      <w:pPr>
        <w:spacing w:line="480" w:lineRule="auto"/>
        <w:rPr>
          <w:rFonts w:ascii="Times New Roman" w:hAnsi="Times New Roman" w:cs="Times New Roman"/>
          <w:color w:val="000000" w:themeColor="text1"/>
          <w:szCs w:val="24"/>
        </w:rPr>
      </w:pPr>
      <w:bookmarkStart w:id="0" w:name="_Toc221200714"/>
      <w:r w:rsidRPr="00635AB0">
        <w:rPr>
          <w:rStyle w:val="Heading1Char"/>
          <w:rFonts w:ascii="Times New Roman" w:hAnsi="Times New Roman" w:cs="Times New Roman"/>
          <w:b/>
          <w:bCs/>
          <w:color w:val="000000" w:themeColor="text1"/>
          <w:sz w:val="24"/>
          <w:szCs w:val="24"/>
        </w:rPr>
        <w:lastRenderedPageBreak/>
        <w:t>Abstract</w:t>
      </w:r>
      <w:bookmarkEnd w:id="0"/>
    </w:p>
    <w:p w14:paraId="4371524A" w14:textId="77777777" w:rsidR="00A56F7D" w:rsidRPr="00A56F7D" w:rsidRDefault="00A56F7D" w:rsidP="00A56F7D">
      <w:pPr>
        <w:spacing w:line="480" w:lineRule="auto"/>
        <w:rPr>
          <w:rFonts w:ascii="Times New Roman" w:eastAsiaTheme="majorEastAsia" w:hAnsi="Times New Roman" w:cs="Times New Roman"/>
          <w:color w:val="000000" w:themeColor="text1"/>
          <w:kern w:val="0"/>
          <w:szCs w:val="24"/>
          <w:lang w:bidi="ar-SA"/>
          <w14:ligatures w14:val="none"/>
        </w:rPr>
      </w:pPr>
      <w:r w:rsidRPr="00A56F7D">
        <w:rPr>
          <w:rFonts w:ascii="Times New Roman" w:eastAsiaTheme="majorEastAsia" w:hAnsi="Times New Roman" w:cs="Times New Roman"/>
          <w:color w:val="000000" w:themeColor="text1"/>
          <w:kern w:val="0"/>
          <w:szCs w:val="24"/>
          <w:lang w:bidi="ar-SA"/>
          <w14:ligatures w14:val="none"/>
        </w:rPr>
        <w:t xml:space="preserve">When it comes to the tourism business, contract law is an extremely important factor in regulating the interactions that exist between tourism service providers and their customers. As a result of the international character of tourism transactions and the participation of a wide variety of stakeholders, including airlines, hotels, tour operators, and travel agencies, contracts serve as the legal framework that guarantees predictability, accountability, and consumer protection. The purpose of this assignment is to investigate the significance of contract law in the tourism industry by concentrating on the </w:t>
      </w:r>
      <w:proofErr w:type="gramStart"/>
      <w:r w:rsidRPr="00A56F7D">
        <w:rPr>
          <w:rFonts w:ascii="Times New Roman" w:eastAsiaTheme="majorEastAsia" w:hAnsi="Times New Roman" w:cs="Times New Roman"/>
          <w:color w:val="000000" w:themeColor="text1"/>
          <w:kern w:val="0"/>
          <w:szCs w:val="24"/>
          <w:lang w:bidi="ar-SA"/>
          <w14:ligatures w14:val="none"/>
        </w:rPr>
        <w:t>manner in which</w:t>
      </w:r>
      <w:proofErr w:type="gramEnd"/>
      <w:r w:rsidRPr="00A56F7D">
        <w:rPr>
          <w:rFonts w:ascii="Times New Roman" w:eastAsiaTheme="majorEastAsia" w:hAnsi="Times New Roman" w:cs="Times New Roman"/>
          <w:color w:val="000000" w:themeColor="text1"/>
          <w:kern w:val="0"/>
          <w:szCs w:val="24"/>
          <w:lang w:bidi="ar-SA"/>
          <w14:ligatures w14:val="none"/>
        </w:rPr>
        <w:t xml:space="preserve"> legally binding agreements govern the supply of services, price, responsibility, and the resolution of disputes. This article examines the fundamental components that are necessary for a contract to be considered legitimate. These components include an offer, acceptance, consideration, and the desire to create legal relations. Additionally, it examines how these aspects are utilized in tourism-related agreements, such as booking contracts, package tour agreements, and responsibility waiver procedures. In addition, the assignment provides a critical analysis of the rights and obligations of the parties involved in tourism contracts. It draws attention to concerns such as unfair contract terms, cancellation policies, and breach of contract. </w:t>
      </w:r>
      <w:proofErr w:type="gramStart"/>
      <w:r w:rsidRPr="00A56F7D">
        <w:rPr>
          <w:rFonts w:ascii="Times New Roman" w:eastAsiaTheme="majorEastAsia" w:hAnsi="Times New Roman" w:cs="Times New Roman"/>
          <w:color w:val="000000" w:themeColor="text1"/>
          <w:kern w:val="0"/>
          <w:szCs w:val="24"/>
          <w:lang w:bidi="ar-SA"/>
          <w14:ligatures w14:val="none"/>
        </w:rPr>
        <w:t>For the purpose of</w:t>
      </w:r>
      <w:proofErr w:type="gramEnd"/>
      <w:r w:rsidRPr="00A56F7D">
        <w:rPr>
          <w:rFonts w:ascii="Times New Roman" w:eastAsiaTheme="majorEastAsia" w:hAnsi="Times New Roman" w:cs="Times New Roman"/>
          <w:color w:val="000000" w:themeColor="text1"/>
          <w:kern w:val="0"/>
          <w:szCs w:val="24"/>
          <w:lang w:bidi="ar-SA"/>
          <w14:ligatures w14:val="none"/>
        </w:rPr>
        <w:t xml:space="preserve"> demonstrating how the concepts of contract law are utilized in practice to resolve conflicts and defend consumer interests, real-world examples of contract disputes in the tourism industry are presented. Taking the whole thing into consideration, the research highlights the significance of contract law in terms of fostering trust, lowering the level of legal uncertainty, and maintaining sustainable business practices within the tourism industry on a global scale.</w:t>
      </w:r>
    </w:p>
    <w:p w14:paraId="1D7028FC" w14:textId="77777777" w:rsidR="00EA7FD8" w:rsidRPr="00635AB0"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0EAA8E41" w14:textId="77777777" w:rsidR="00EA7FD8" w:rsidRPr="00EA7FD8"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hAnsi="Times New Roman" w:cs="Times New Roman"/>
          <w:color w:val="000000" w:themeColor="text1"/>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635AB0" w:rsidRDefault="004D7D13" w:rsidP="00EA7FD8">
          <w:pPr>
            <w:pStyle w:val="TOCHeading"/>
            <w:spacing w:line="480" w:lineRule="auto"/>
            <w:rPr>
              <w:rFonts w:ascii="Times New Roman" w:hAnsi="Times New Roman" w:cs="Times New Roman"/>
              <w:color w:val="000000" w:themeColor="text1"/>
              <w:sz w:val="24"/>
              <w:szCs w:val="24"/>
            </w:rPr>
          </w:pPr>
          <w:r w:rsidRPr="00635AB0">
            <w:rPr>
              <w:rFonts w:ascii="Times New Roman" w:hAnsi="Times New Roman" w:cs="Times New Roman"/>
              <w:color w:val="000000" w:themeColor="text1"/>
              <w:sz w:val="24"/>
              <w:szCs w:val="24"/>
            </w:rPr>
            <w:t>Contents</w:t>
          </w:r>
        </w:p>
        <w:p w14:paraId="00AC669A" w14:textId="24030ED4" w:rsidR="00EA7FD8" w:rsidRPr="00635AB0"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635AB0">
            <w:rPr>
              <w:rFonts w:ascii="Times New Roman" w:hAnsi="Times New Roman"/>
              <w:color w:val="000000" w:themeColor="text1"/>
              <w:sz w:val="24"/>
              <w:szCs w:val="24"/>
            </w:rPr>
            <w:fldChar w:fldCharType="begin"/>
          </w:r>
          <w:r w:rsidRPr="00635AB0">
            <w:rPr>
              <w:rFonts w:ascii="Times New Roman" w:hAnsi="Times New Roman"/>
              <w:color w:val="000000" w:themeColor="text1"/>
              <w:sz w:val="24"/>
              <w:szCs w:val="24"/>
            </w:rPr>
            <w:instrText xml:space="preserve"> TOC \o "1-3" \h \z \u </w:instrText>
          </w:r>
          <w:r w:rsidRPr="00635AB0">
            <w:rPr>
              <w:rFonts w:ascii="Times New Roman" w:hAnsi="Times New Roman"/>
              <w:color w:val="000000" w:themeColor="text1"/>
              <w:sz w:val="24"/>
              <w:szCs w:val="24"/>
            </w:rPr>
            <w:fldChar w:fldCharType="separate"/>
          </w:r>
          <w:hyperlink w:anchor="_Toc221200714" w:history="1">
            <w:r w:rsidR="00EA7FD8" w:rsidRPr="00635AB0">
              <w:rPr>
                <w:rStyle w:val="Hyperlink"/>
                <w:rFonts w:ascii="Times New Roman" w:hAnsi="Times New Roman"/>
                <w:b/>
                <w:bCs/>
                <w:noProof/>
                <w:sz w:val="24"/>
                <w:szCs w:val="24"/>
              </w:rPr>
              <w:t>Abstract</w:t>
            </w:r>
            <w:r w:rsidR="00EA7FD8" w:rsidRPr="00635AB0">
              <w:rPr>
                <w:rFonts w:ascii="Times New Roman" w:hAnsi="Times New Roman"/>
                <w:noProof/>
                <w:webHidden/>
                <w:sz w:val="24"/>
                <w:szCs w:val="24"/>
              </w:rPr>
              <w:tab/>
            </w:r>
            <w:r w:rsidR="00EA7FD8" w:rsidRPr="00635AB0">
              <w:rPr>
                <w:rFonts w:ascii="Times New Roman" w:hAnsi="Times New Roman"/>
                <w:noProof/>
                <w:webHidden/>
                <w:sz w:val="24"/>
                <w:szCs w:val="24"/>
              </w:rPr>
              <w:fldChar w:fldCharType="begin"/>
            </w:r>
            <w:r w:rsidR="00EA7FD8" w:rsidRPr="00635AB0">
              <w:rPr>
                <w:rFonts w:ascii="Times New Roman" w:hAnsi="Times New Roman"/>
                <w:noProof/>
                <w:webHidden/>
                <w:sz w:val="24"/>
                <w:szCs w:val="24"/>
              </w:rPr>
              <w:instrText xml:space="preserve"> PAGEREF _Toc221200714 \h </w:instrText>
            </w:r>
            <w:r w:rsidR="00EA7FD8" w:rsidRPr="00635AB0">
              <w:rPr>
                <w:rFonts w:ascii="Times New Roman" w:hAnsi="Times New Roman"/>
                <w:noProof/>
                <w:webHidden/>
                <w:sz w:val="24"/>
                <w:szCs w:val="24"/>
              </w:rPr>
            </w:r>
            <w:r w:rsidR="00EA7FD8" w:rsidRPr="00635AB0">
              <w:rPr>
                <w:rFonts w:ascii="Times New Roman" w:hAnsi="Times New Roman"/>
                <w:noProof/>
                <w:webHidden/>
                <w:sz w:val="24"/>
                <w:szCs w:val="24"/>
              </w:rPr>
              <w:fldChar w:fldCharType="separate"/>
            </w:r>
            <w:r w:rsidR="00EA7FD8" w:rsidRPr="00635AB0">
              <w:rPr>
                <w:rFonts w:ascii="Times New Roman" w:hAnsi="Times New Roman"/>
                <w:noProof/>
                <w:webHidden/>
                <w:sz w:val="24"/>
                <w:szCs w:val="24"/>
              </w:rPr>
              <w:t>1</w:t>
            </w:r>
            <w:r w:rsidR="00EA7FD8" w:rsidRPr="00635AB0">
              <w:rPr>
                <w:rFonts w:ascii="Times New Roman" w:hAnsi="Times New Roman"/>
                <w:noProof/>
                <w:webHidden/>
                <w:sz w:val="24"/>
                <w:szCs w:val="24"/>
              </w:rPr>
              <w:fldChar w:fldCharType="end"/>
            </w:r>
          </w:hyperlink>
        </w:p>
        <w:p w14:paraId="70E8DD83" w14:textId="0E7FC1B0"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5" w:history="1">
            <w:r w:rsidRPr="00635AB0">
              <w:rPr>
                <w:rStyle w:val="Hyperlink"/>
                <w:rFonts w:ascii="Times New Roman" w:hAnsi="Times New Roman"/>
                <w:b/>
                <w:bCs/>
                <w:noProof/>
                <w:sz w:val="24"/>
                <w:szCs w:val="24"/>
              </w:rPr>
              <w:t>1.Introduction</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_Toc221200715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4</w:t>
            </w:r>
            <w:r w:rsidRPr="00635AB0">
              <w:rPr>
                <w:rFonts w:ascii="Times New Roman" w:hAnsi="Times New Roman"/>
                <w:noProof/>
                <w:webHidden/>
                <w:sz w:val="24"/>
                <w:szCs w:val="24"/>
              </w:rPr>
              <w:fldChar w:fldCharType="end"/>
            </w:r>
          </w:hyperlink>
        </w:p>
        <w:p w14:paraId="3086D3F1" w14:textId="7B0B4039"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6" w:history="1">
            <w:r w:rsidRPr="00635AB0">
              <w:rPr>
                <w:rStyle w:val="Hyperlink"/>
                <w:rFonts w:ascii="Times New Roman" w:hAnsi="Times New Roman"/>
                <w:b/>
                <w:bCs/>
                <w:noProof/>
                <w:sz w:val="24"/>
                <w:szCs w:val="24"/>
              </w:rPr>
              <w:t>2. Literature Review</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_Toc221200716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6</w:t>
            </w:r>
            <w:r w:rsidRPr="00635AB0">
              <w:rPr>
                <w:rFonts w:ascii="Times New Roman" w:hAnsi="Times New Roman"/>
                <w:noProof/>
                <w:webHidden/>
                <w:sz w:val="24"/>
                <w:szCs w:val="24"/>
              </w:rPr>
              <w:fldChar w:fldCharType="end"/>
            </w:r>
          </w:hyperlink>
        </w:p>
        <w:p w14:paraId="3F7D9267" w14:textId="4F4C161D"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7" w:history="1">
            <w:r w:rsidRPr="00635AB0">
              <w:rPr>
                <w:rStyle w:val="Hyperlink"/>
                <w:rFonts w:ascii="Times New Roman" w:hAnsi="Times New Roman"/>
                <w:b/>
                <w:bCs/>
                <w:noProof/>
                <w:sz w:val="24"/>
                <w:szCs w:val="24"/>
              </w:rPr>
              <w:t>3 Methodology</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_Toc221200717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12</w:t>
            </w:r>
            <w:r w:rsidRPr="00635AB0">
              <w:rPr>
                <w:rFonts w:ascii="Times New Roman" w:hAnsi="Times New Roman"/>
                <w:noProof/>
                <w:webHidden/>
                <w:sz w:val="24"/>
                <w:szCs w:val="24"/>
              </w:rPr>
              <w:fldChar w:fldCharType="end"/>
            </w:r>
          </w:hyperlink>
        </w:p>
        <w:p w14:paraId="4F6648B1" w14:textId="587690E3"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8" w:history="1">
            <w:r w:rsidRPr="00635AB0">
              <w:rPr>
                <w:rStyle w:val="Hyperlink"/>
                <w:rFonts w:ascii="Times New Roman" w:hAnsi="Times New Roman"/>
                <w:b/>
                <w:bCs/>
                <w:noProof/>
                <w:sz w:val="24"/>
                <w:szCs w:val="24"/>
              </w:rPr>
              <w:t>4 Finding</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_Toc221200718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14</w:t>
            </w:r>
            <w:r w:rsidRPr="00635AB0">
              <w:rPr>
                <w:rFonts w:ascii="Times New Roman" w:hAnsi="Times New Roman"/>
                <w:noProof/>
                <w:webHidden/>
                <w:sz w:val="24"/>
                <w:szCs w:val="24"/>
              </w:rPr>
              <w:fldChar w:fldCharType="end"/>
            </w:r>
          </w:hyperlink>
        </w:p>
        <w:p w14:paraId="21FF8EE3" w14:textId="6145CC4B"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9" w:history="1">
            <w:r w:rsidRPr="00635AB0">
              <w:rPr>
                <w:rStyle w:val="Hyperlink"/>
                <w:rFonts w:ascii="Times New Roman" w:hAnsi="Times New Roman"/>
                <w:b/>
                <w:bCs/>
                <w:noProof/>
                <w:sz w:val="24"/>
                <w:szCs w:val="24"/>
              </w:rPr>
              <w:t>5. Discussion</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_Toc221200719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18</w:t>
            </w:r>
            <w:r w:rsidRPr="00635AB0">
              <w:rPr>
                <w:rFonts w:ascii="Times New Roman" w:hAnsi="Times New Roman"/>
                <w:noProof/>
                <w:webHidden/>
                <w:sz w:val="24"/>
                <w:szCs w:val="24"/>
              </w:rPr>
              <w:fldChar w:fldCharType="end"/>
            </w:r>
          </w:hyperlink>
        </w:p>
        <w:p w14:paraId="6419531C" w14:textId="258BF7A9"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20" w:history="1">
            <w:r w:rsidRPr="00635AB0">
              <w:rPr>
                <w:rStyle w:val="Hyperlink"/>
                <w:rFonts w:ascii="Times New Roman" w:hAnsi="Times New Roman"/>
                <w:b/>
                <w:bCs/>
                <w:noProof/>
                <w:sz w:val="24"/>
                <w:szCs w:val="24"/>
              </w:rPr>
              <w:t>6. Conclusion</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_Toc221200720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21</w:t>
            </w:r>
            <w:r w:rsidRPr="00635AB0">
              <w:rPr>
                <w:rFonts w:ascii="Times New Roman" w:hAnsi="Times New Roman"/>
                <w:noProof/>
                <w:webHidden/>
                <w:sz w:val="24"/>
                <w:szCs w:val="24"/>
              </w:rPr>
              <w:fldChar w:fldCharType="end"/>
            </w:r>
          </w:hyperlink>
        </w:p>
        <w:p w14:paraId="3A963F4D" w14:textId="399D7198"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21" w:history="1">
            <w:r w:rsidRPr="00635AB0">
              <w:rPr>
                <w:rStyle w:val="Hyperlink"/>
                <w:rFonts w:ascii="Times New Roman" w:hAnsi="Times New Roman"/>
                <w:b/>
                <w:bCs/>
                <w:noProof/>
                <w:sz w:val="24"/>
                <w:szCs w:val="24"/>
              </w:rPr>
              <w:t>Reference List</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_Toc221200721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23</w:t>
            </w:r>
            <w:r w:rsidRPr="00635AB0">
              <w:rPr>
                <w:rFonts w:ascii="Times New Roman" w:hAnsi="Times New Roman"/>
                <w:noProof/>
                <w:webHidden/>
                <w:sz w:val="24"/>
                <w:szCs w:val="24"/>
              </w:rPr>
              <w:fldChar w:fldCharType="end"/>
            </w:r>
          </w:hyperlink>
        </w:p>
        <w:p w14:paraId="646EF9D8" w14:textId="3107368E" w:rsidR="004D7D13" w:rsidRPr="00635AB0" w:rsidRDefault="004D7D13" w:rsidP="00013DBD">
          <w:pPr>
            <w:spacing w:line="480" w:lineRule="auto"/>
            <w:rPr>
              <w:rFonts w:ascii="Times New Roman" w:hAnsi="Times New Roman" w:cs="Times New Roman"/>
              <w:color w:val="000000" w:themeColor="text1"/>
              <w:szCs w:val="24"/>
            </w:rPr>
          </w:pPr>
          <w:r w:rsidRPr="00635AB0">
            <w:rPr>
              <w:rFonts w:ascii="Times New Roman" w:hAnsi="Times New Roman" w:cs="Times New Roman"/>
              <w:b/>
              <w:bCs/>
              <w:noProof/>
              <w:color w:val="000000" w:themeColor="text1"/>
              <w:szCs w:val="24"/>
            </w:rPr>
            <w:fldChar w:fldCharType="end"/>
          </w:r>
        </w:p>
      </w:sdtContent>
    </w:sdt>
    <w:p w14:paraId="1EDA022C" w14:textId="77777777" w:rsidR="004D7D13" w:rsidRPr="00635AB0" w:rsidRDefault="004D7D13" w:rsidP="00013DBD">
      <w:pPr>
        <w:spacing w:line="480" w:lineRule="auto"/>
        <w:rPr>
          <w:rFonts w:ascii="Times New Roman" w:hAnsi="Times New Roman" w:cs="Times New Roman"/>
          <w:color w:val="000000" w:themeColor="text1"/>
          <w:szCs w:val="24"/>
        </w:rPr>
      </w:pPr>
    </w:p>
    <w:p w14:paraId="19B15F5F" w14:textId="77777777" w:rsidR="0095171B" w:rsidRPr="00635AB0" w:rsidRDefault="0095171B" w:rsidP="00013DBD">
      <w:pPr>
        <w:spacing w:line="480" w:lineRule="auto"/>
        <w:rPr>
          <w:rFonts w:ascii="Times New Roman" w:hAnsi="Times New Roman" w:cs="Times New Roman"/>
          <w:color w:val="000000" w:themeColor="text1"/>
          <w:szCs w:val="24"/>
        </w:rPr>
      </w:pPr>
    </w:p>
    <w:p w14:paraId="73636B03" w14:textId="77777777" w:rsidR="0095171B" w:rsidRPr="00635AB0" w:rsidRDefault="0095171B" w:rsidP="00013DBD">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br w:type="page"/>
      </w:r>
    </w:p>
    <w:p w14:paraId="48512045" w14:textId="2774FE42" w:rsidR="00B06124" w:rsidRPr="00635AB0" w:rsidRDefault="000E04F4" w:rsidP="00B06124">
      <w:pPr>
        <w:spacing w:line="480" w:lineRule="auto"/>
        <w:rPr>
          <w:rFonts w:ascii="Times New Roman" w:hAnsi="Times New Roman" w:cs="Times New Roman"/>
          <w:color w:val="000000" w:themeColor="text1"/>
          <w:szCs w:val="24"/>
        </w:rPr>
      </w:pPr>
      <w:bookmarkStart w:id="1" w:name="_Toc221200715"/>
      <w:r w:rsidRPr="00635AB0">
        <w:rPr>
          <w:rStyle w:val="Heading1Char"/>
          <w:rFonts w:ascii="Times New Roman" w:hAnsi="Times New Roman" w:cs="Times New Roman"/>
          <w:b/>
          <w:bCs/>
          <w:color w:val="000000" w:themeColor="text1"/>
          <w:sz w:val="24"/>
          <w:szCs w:val="24"/>
        </w:rPr>
        <w:lastRenderedPageBreak/>
        <w:t>1</w:t>
      </w:r>
      <w:r w:rsidR="004D7D13" w:rsidRPr="00635AB0">
        <w:rPr>
          <w:rStyle w:val="Heading1Char"/>
          <w:rFonts w:ascii="Times New Roman" w:hAnsi="Times New Roman" w:cs="Times New Roman"/>
          <w:b/>
          <w:bCs/>
          <w:color w:val="000000" w:themeColor="text1"/>
          <w:sz w:val="24"/>
          <w:szCs w:val="24"/>
        </w:rPr>
        <w:t>.</w:t>
      </w:r>
      <w:r w:rsidR="0095171B" w:rsidRPr="00635AB0">
        <w:rPr>
          <w:rStyle w:val="Heading1Char"/>
          <w:rFonts w:ascii="Times New Roman" w:hAnsi="Times New Roman" w:cs="Times New Roman"/>
          <w:b/>
          <w:bCs/>
          <w:color w:val="000000" w:themeColor="text1"/>
          <w:sz w:val="24"/>
          <w:szCs w:val="24"/>
        </w:rPr>
        <w:t>Introduction</w:t>
      </w:r>
      <w:bookmarkEnd w:id="1"/>
      <w:r w:rsidR="0095171B" w:rsidRPr="00635AB0">
        <w:rPr>
          <w:rStyle w:val="Heading1Char"/>
          <w:rFonts w:ascii="Times New Roman" w:hAnsi="Times New Roman" w:cs="Times New Roman"/>
          <w:color w:val="000000" w:themeColor="text1"/>
          <w:sz w:val="24"/>
          <w:szCs w:val="24"/>
        </w:rPr>
        <w:t xml:space="preserve"> </w:t>
      </w:r>
    </w:p>
    <w:p w14:paraId="31CEF0E0" w14:textId="77777777" w:rsidR="00A56F7D" w:rsidRPr="00A56F7D" w:rsidRDefault="00A56F7D" w:rsidP="00A56F7D">
      <w:pPr>
        <w:spacing w:line="480" w:lineRule="auto"/>
        <w:rPr>
          <w:rFonts w:ascii="Times New Roman" w:hAnsi="Times New Roman" w:cs="Times New Roman"/>
          <w:color w:val="000000" w:themeColor="text1"/>
          <w:szCs w:val="24"/>
        </w:rPr>
      </w:pPr>
      <w:r w:rsidRPr="00A56F7D">
        <w:rPr>
          <w:rFonts w:ascii="Times New Roman" w:hAnsi="Times New Roman" w:cs="Times New Roman"/>
          <w:color w:val="000000" w:themeColor="text1"/>
          <w:szCs w:val="24"/>
        </w:rPr>
        <w:t xml:space="preserve">Consumers and a wide variety of service providers, including as airlines, hotels, tour operators, and travel agencies, engage in intricate interactions within the tourism industry, which is one of the most dynamic and largest economic sectors in the international economy. Considering that contracts are the primary means by which these interactions are managed, contract law is an essential component of the legal framework that governs tourism operations. Contract law is the body of law that provides the rules that control agreements between parties. Its purpose is to ensure that rights and duties are clearly defined and legally enforced. It is necessary to have contractual certainty </w:t>
      </w:r>
      <w:proofErr w:type="gramStart"/>
      <w:r w:rsidRPr="00A56F7D">
        <w:rPr>
          <w:rFonts w:ascii="Times New Roman" w:hAnsi="Times New Roman" w:cs="Times New Roman"/>
          <w:color w:val="000000" w:themeColor="text1"/>
          <w:szCs w:val="24"/>
        </w:rPr>
        <w:t>in order to</w:t>
      </w:r>
      <w:proofErr w:type="gramEnd"/>
      <w:r w:rsidRPr="00A56F7D">
        <w:rPr>
          <w:rFonts w:ascii="Times New Roman" w:hAnsi="Times New Roman" w:cs="Times New Roman"/>
          <w:color w:val="000000" w:themeColor="text1"/>
          <w:szCs w:val="24"/>
        </w:rPr>
        <w:t xml:space="preserve"> safeguard both consumers and service providers in an industry where services are frequently acquired in advance and delivered </w:t>
      </w:r>
      <w:proofErr w:type="gramStart"/>
      <w:r w:rsidRPr="00A56F7D">
        <w:rPr>
          <w:rFonts w:ascii="Times New Roman" w:hAnsi="Times New Roman" w:cs="Times New Roman"/>
          <w:color w:val="000000" w:themeColor="text1"/>
          <w:szCs w:val="24"/>
        </w:rPr>
        <w:t>at a later date</w:t>
      </w:r>
      <w:proofErr w:type="gramEnd"/>
      <w:r w:rsidRPr="00A56F7D">
        <w:rPr>
          <w:rFonts w:ascii="Times New Roman" w:hAnsi="Times New Roman" w:cs="Times New Roman"/>
          <w:color w:val="000000" w:themeColor="text1"/>
          <w:szCs w:val="24"/>
        </w:rPr>
        <w:t xml:space="preserve">, sometimes even across national borders (Dickerson, 2021). </w:t>
      </w:r>
      <w:r w:rsidRPr="00A56F7D">
        <w:rPr>
          <w:rFonts w:ascii="Times New Roman" w:hAnsi="Times New Roman" w:cs="Times New Roman"/>
          <w:color w:val="000000" w:themeColor="text1"/>
          <w:szCs w:val="24"/>
        </w:rPr>
        <w:br/>
        <w:t xml:space="preserve">When a customer makes a reservation for lodging, buys a vacation package, or agrees to use transportation services, they are often entering into a contract in the tourism industry. However, </w:t>
      </w:r>
      <w:proofErr w:type="gramStart"/>
      <w:r w:rsidRPr="00A56F7D">
        <w:rPr>
          <w:rFonts w:ascii="Times New Roman" w:hAnsi="Times New Roman" w:cs="Times New Roman"/>
          <w:color w:val="000000" w:themeColor="text1"/>
          <w:szCs w:val="24"/>
        </w:rPr>
        <w:t>despite the fact that</w:t>
      </w:r>
      <w:proofErr w:type="gramEnd"/>
      <w:r w:rsidRPr="00A56F7D">
        <w:rPr>
          <w:rFonts w:ascii="Times New Roman" w:hAnsi="Times New Roman" w:cs="Times New Roman"/>
          <w:color w:val="000000" w:themeColor="text1"/>
          <w:szCs w:val="24"/>
        </w:rPr>
        <w:t xml:space="preserve"> these agreements can be created online, through intermediaries, or directly with suppliers, they must still </w:t>
      </w:r>
      <w:proofErr w:type="spellStart"/>
      <w:r w:rsidRPr="00A56F7D">
        <w:rPr>
          <w:rFonts w:ascii="Times New Roman" w:hAnsi="Times New Roman" w:cs="Times New Roman"/>
          <w:color w:val="000000" w:themeColor="text1"/>
          <w:szCs w:val="24"/>
        </w:rPr>
        <w:t>fulfill</w:t>
      </w:r>
      <w:proofErr w:type="spellEnd"/>
      <w:r w:rsidRPr="00A56F7D">
        <w:rPr>
          <w:rFonts w:ascii="Times New Roman" w:hAnsi="Times New Roman" w:cs="Times New Roman"/>
          <w:color w:val="000000" w:themeColor="text1"/>
          <w:szCs w:val="24"/>
        </w:rPr>
        <w:t xml:space="preserve"> the fundamental legal conditions that are necessary for a contract to be considered genuine. The evaluation of tourism contracts by the courts is based on the fundamental components, which include the offer, acceptance, consideration, and the purpose to establish legal relations (Poole, 2020). It is possible for disputes to arise regarding the enforceability of the agreement if these requirements are not met. This is especially true in situations where the terms are unclear, the offers are deceptive, or the conditions are not disclosed adequately. </w:t>
      </w:r>
      <w:r w:rsidRPr="00A56F7D">
        <w:rPr>
          <w:rFonts w:ascii="Times New Roman" w:hAnsi="Times New Roman" w:cs="Times New Roman"/>
          <w:color w:val="000000" w:themeColor="text1"/>
          <w:szCs w:val="24"/>
        </w:rPr>
        <w:br/>
        <w:t xml:space="preserve">The proliferation of digital booking platforms and the development of international travel have both contributed to a considerable increase in the significance of contract law in the tourist </w:t>
      </w:r>
      <w:r w:rsidRPr="00A56F7D">
        <w:rPr>
          <w:rFonts w:ascii="Times New Roman" w:hAnsi="Times New Roman" w:cs="Times New Roman"/>
          <w:color w:val="000000" w:themeColor="text1"/>
          <w:szCs w:val="24"/>
        </w:rPr>
        <w:lastRenderedPageBreak/>
        <w:t xml:space="preserve">industry. Concerns regarding fairness and openness have been raised </w:t>
      </w:r>
      <w:proofErr w:type="gramStart"/>
      <w:r w:rsidRPr="00A56F7D">
        <w:rPr>
          <w:rFonts w:ascii="Times New Roman" w:hAnsi="Times New Roman" w:cs="Times New Roman"/>
          <w:color w:val="000000" w:themeColor="text1"/>
          <w:szCs w:val="24"/>
        </w:rPr>
        <w:t>as a result of</w:t>
      </w:r>
      <w:proofErr w:type="gramEnd"/>
      <w:r w:rsidRPr="00A56F7D">
        <w:rPr>
          <w:rFonts w:ascii="Times New Roman" w:hAnsi="Times New Roman" w:cs="Times New Roman"/>
          <w:color w:val="000000" w:themeColor="text1"/>
          <w:szCs w:val="24"/>
        </w:rPr>
        <w:t xml:space="preserve"> the fact that online terms and conditions, cancellation policies, and liability disclaimers have become typical components of tourism contracts. As a result of the fact that consumers are frequently in a weaker bargaining position, courts and regulators have begun to scrutinize unjust contract terms and impose more requirements on service providers (European Commission, 2022). </w:t>
      </w:r>
      <w:proofErr w:type="gramStart"/>
      <w:r w:rsidRPr="00A56F7D">
        <w:rPr>
          <w:rFonts w:ascii="Times New Roman" w:hAnsi="Times New Roman" w:cs="Times New Roman"/>
          <w:color w:val="000000" w:themeColor="text1"/>
          <w:szCs w:val="24"/>
        </w:rPr>
        <w:t>As a consequence of</w:t>
      </w:r>
      <w:proofErr w:type="gramEnd"/>
      <w:r w:rsidRPr="00A56F7D">
        <w:rPr>
          <w:rFonts w:ascii="Times New Roman" w:hAnsi="Times New Roman" w:cs="Times New Roman"/>
          <w:color w:val="000000" w:themeColor="text1"/>
          <w:szCs w:val="24"/>
        </w:rPr>
        <w:t xml:space="preserve"> this, contract law not only regulates private agreements but also contributes to the achievement of broader consumer protection goals within the tourism industry context. </w:t>
      </w:r>
      <w:r w:rsidRPr="00A56F7D">
        <w:rPr>
          <w:rFonts w:ascii="Times New Roman" w:hAnsi="Times New Roman" w:cs="Times New Roman"/>
          <w:color w:val="000000" w:themeColor="text1"/>
          <w:szCs w:val="24"/>
        </w:rPr>
        <w:br/>
        <w:t xml:space="preserve">In addition, conflicts in the tourism industry can emerge from breaches of contract, which might include things like flights that are cancelled, hotels that are overbooked, or the failure to deliver services that were promised. There are mechanisms that are provided by contract law for the resolution of these issues. These mechanisms include remedies such as damages, refunds, or specified performance. The purpose of this assignment is to demonstrate how legal principles are implemented in practice to strike a balance between commercial interests and consumer rights. This is accomplished by </w:t>
      </w:r>
      <w:proofErr w:type="spellStart"/>
      <w:r w:rsidRPr="00A56F7D">
        <w:rPr>
          <w:rFonts w:ascii="Times New Roman" w:hAnsi="Times New Roman" w:cs="Times New Roman"/>
          <w:color w:val="000000" w:themeColor="text1"/>
          <w:szCs w:val="24"/>
        </w:rPr>
        <w:t>analyzing</w:t>
      </w:r>
      <w:proofErr w:type="spellEnd"/>
      <w:r w:rsidRPr="00A56F7D">
        <w:rPr>
          <w:rFonts w:ascii="Times New Roman" w:hAnsi="Times New Roman" w:cs="Times New Roman"/>
          <w:color w:val="000000" w:themeColor="text1"/>
          <w:szCs w:val="24"/>
        </w:rPr>
        <w:t xml:space="preserve"> real-world instances of tourism contract disputes. </w:t>
      </w:r>
      <w:r w:rsidRPr="00A56F7D">
        <w:rPr>
          <w:rFonts w:ascii="Times New Roman" w:hAnsi="Times New Roman" w:cs="Times New Roman"/>
          <w:color w:val="000000" w:themeColor="text1"/>
          <w:szCs w:val="24"/>
        </w:rPr>
        <w:br/>
        <w:t>Through an examination of the development of tourism contracts, the rights and obligations of contracting parties, and the resolution of contractual disputes, the overarching purpose of this assignment is to investigate the role that contract law plays in the tourism business. By means of this analysis, the study reveals how contract law contributes to the establishment of legal certainty, the confidence of consumers, and the sustainable operation of the tourism business.</w:t>
      </w:r>
    </w:p>
    <w:p w14:paraId="35441EF1" w14:textId="77777777" w:rsidR="0086710E" w:rsidRPr="00635AB0" w:rsidRDefault="0086710E" w:rsidP="0086710E">
      <w:pPr>
        <w:spacing w:line="480" w:lineRule="auto"/>
        <w:rPr>
          <w:rFonts w:ascii="Times New Roman" w:hAnsi="Times New Roman" w:cs="Times New Roman"/>
          <w:color w:val="000000" w:themeColor="text1"/>
          <w:szCs w:val="24"/>
        </w:rPr>
      </w:pPr>
    </w:p>
    <w:p w14:paraId="6DA37A19" w14:textId="77777777" w:rsidR="00EA7FD8" w:rsidRPr="00635AB0" w:rsidRDefault="00EA7FD8" w:rsidP="0086710E">
      <w:pPr>
        <w:spacing w:line="480" w:lineRule="auto"/>
        <w:rPr>
          <w:rFonts w:ascii="Times New Roman" w:hAnsi="Times New Roman" w:cs="Times New Roman"/>
          <w:color w:val="000000" w:themeColor="text1"/>
          <w:szCs w:val="24"/>
        </w:rPr>
      </w:pPr>
    </w:p>
    <w:p w14:paraId="5FEB03D5" w14:textId="77777777" w:rsidR="0086710E" w:rsidRPr="00635AB0" w:rsidRDefault="0086710E" w:rsidP="0086710E">
      <w:pPr>
        <w:spacing w:line="480" w:lineRule="auto"/>
        <w:rPr>
          <w:rFonts w:ascii="Times New Roman" w:hAnsi="Times New Roman" w:cs="Times New Roman"/>
          <w:color w:val="000000" w:themeColor="text1"/>
          <w:szCs w:val="24"/>
        </w:rPr>
      </w:pPr>
    </w:p>
    <w:p w14:paraId="2684E1C5" w14:textId="05D1D3D8" w:rsidR="007469A5" w:rsidRPr="007469A5" w:rsidRDefault="000E04F4" w:rsidP="007469A5">
      <w:pPr>
        <w:spacing w:line="480" w:lineRule="auto"/>
        <w:rPr>
          <w:rFonts w:ascii="Times New Roman" w:hAnsi="Times New Roman" w:cs="Times New Roman"/>
          <w:color w:val="000000" w:themeColor="text1"/>
          <w:szCs w:val="24"/>
        </w:rPr>
      </w:pPr>
      <w:bookmarkStart w:id="2" w:name="_Toc221200716"/>
      <w:r w:rsidRPr="00635AB0">
        <w:rPr>
          <w:rStyle w:val="Heading1Char"/>
          <w:rFonts w:ascii="Times New Roman" w:hAnsi="Times New Roman" w:cs="Times New Roman"/>
          <w:b/>
          <w:bCs/>
          <w:color w:val="000000" w:themeColor="text1"/>
          <w:sz w:val="24"/>
          <w:szCs w:val="24"/>
        </w:rPr>
        <w:lastRenderedPageBreak/>
        <w:t>2</w:t>
      </w:r>
      <w:r w:rsidR="0095171B" w:rsidRPr="00635AB0">
        <w:rPr>
          <w:rStyle w:val="Heading1Char"/>
          <w:rFonts w:ascii="Times New Roman" w:hAnsi="Times New Roman" w:cs="Times New Roman"/>
          <w:b/>
          <w:bCs/>
          <w:color w:val="000000" w:themeColor="text1"/>
          <w:sz w:val="24"/>
          <w:szCs w:val="24"/>
        </w:rPr>
        <w:t>. Literature Review</w:t>
      </w:r>
      <w:bookmarkEnd w:id="2"/>
      <w:r w:rsidR="0095171B" w:rsidRPr="00635AB0">
        <w:rPr>
          <w:rFonts w:ascii="Times New Roman" w:hAnsi="Times New Roman" w:cs="Times New Roman"/>
          <w:color w:val="000000" w:themeColor="text1"/>
          <w:szCs w:val="24"/>
        </w:rPr>
        <w:t xml:space="preserve"> </w:t>
      </w:r>
      <w:r w:rsidR="0095171B" w:rsidRPr="00635AB0">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t xml:space="preserve">Contract law is the legal foundation upon which the tourism sector is built. Its primary function is to regulate the interactions that exist between service providers and customers. According to Dickerson (2021), the existing body of research continually emphasizes that </w:t>
      </w:r>
      <w:proofErr w:type="gramStart"/>
      <w:r w:rsidR="007469A5" w:rsidRPr="007469A5">
        <w:rPr>
          <w:rFonts w:ascii="Times New Roman" w:hAnsi="Times New Roman" w:cs="Times New Roman"/>
          <w:color w:val="000000" w:themeColor="text1"/>
          <w:szCs w:val="24"/>
        </w:rPr>
        <w:t>the majority of</w:t>
      </w:r>
      <w:proofErr w:type="gramEnd"/>
      <w:r w:rsidR="007469A5" w:rsidRPr="007469A5">
        <w:rPr>
          <w:rFonts w:ascii="Times New Roman" w:hAnsi="Times New Roman" w:cs="Times New Roman"/>
          <w:color w:val="000000" w:themeColor="text1"/>
          <w:szCs w:val="24"/>
        </w:rPr>
        <w:t xml:space="preserve"> tourism transactions are contractual in nature. These transactions involve upfront payments, deferred performance, and reliance on services that have been contractually guaranteed. Tourism contracts, in contrast to ordinary transactions based on the exchange of products, are service-oriented and experiential in nature. As a result, legal clarity and enforceability bear a particularly significant significance. It has been argued by academics that the intangible nature of tourism services makes customers more susceptible to violations of contract, which in turn highlights the significance of contract law in safeguarding the rights of customers (Poole, 2020).</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b/>
          <w:bCs/>
          <w:color w:val="000000" w:themeColor="text1"/>
          <w:szCs w:val="24"/>
        </w:rPr>
        <w:t>The Concept of Contract Law and Its Importance in the Tourism Industry</w:t>
      </w:r>
      <w:r w:rsidR="007469A5" w:rsidRPr="007469A5">
        <w:rPr>
          <w:rFonts w:ascii="Times New Roman" w:hAnsi="Times New Roman" w:cs="Times New Roman"/>
          <w:color w:val="000000" w:themeColor="text1"/>
          <w:szCs w:val="24"/>
        </w:rPr>
        <w:br/>
        <w:t xml:space="preserve">The term "contract law" refers to the collection of legal principles that govern the formulation, performance, and enforcement of agreements that are legally binding. According to Hudson and Hudson (2017), "contracts facilitate trust between parties in the context of tourism." These parties frequently do not have any prior contact with one another and may </w:t>
      </w:r>
      <w:proofErr w:type="gramStart"/>
      <w:r w:rsidR="007469A5" w:rsidRPr="007469A5">
        <w:rPr>
          <w:rFonts w:ascii="Times New Roman" w:hAnsi="Times New Roman" w:cs="Times New Roman"/>
          <w:color w:val="000000" w:themeColor="text1"/>
          <w:szCs w:val="24"/>
        </w:rPr>
        <w:t>be located in</w:t>
      </w:r>
      <w:proofErr w:type="gramEnd"/>
      <w:r w:rsidR="007469A5" w:rsidRPr="007469A5">
        <w:rPr>
          <w:rFonts w:ascii="Times New Roman" w:hAnsi="Times New Roman" w:cs="Times New Roman"/>
          <w:color w:val="000000" w:themeColor="text1"/>
          <w:szCs w:val="24"/>
        </w:rPr>
        <w:t xml:space="preserve"> different countries. The literature highlights that tourism contracts decrease uncertainty by explicitly describing rights, obligations, price, cancellation procedures, and liability limitations. This is done </w:t>
      </w:r>
      <w:proofErr w:type="gramStart"/>
      <w:r w:rsidR="007469A5" w:rsidRPr="007469A5">
        <w:rPr>
          <w:rFonts w:ascii="Times New Roman" w:hAnsi="Times New Roman" w:cs="Times New Roman"/>
          <w:color w:val="000000" w:themeColor="text1"/>
          <w:szCs w:val="24"/>
        </w:rPr>
        <w:t>in order to</w:t>
      </w:r>
      <w:proofErr w:type="gramEnd"/>
      <w:r w:rsidR="007469A5" w:rsidRPr="007469A5">
        <w:rPr>
          <w:rFonts w:ascii="Times New Roman" w:hAnsi="Times New Roman" w:cs="Times New Roman"/>
          <w:color w:val="000000" w:themeColor="text1"/>
          <w:szCs w:val="24"/>
        </w:rPr>
        <w:t xml:space="preserve"> meet the needs of the tourism industry. The absence of clearly specified contractual terms can lead to conflicts, which can be detrimental to both the confidence of customers and the reputation of firms that are involved in the tourism industry, as stated by Dickerson (2021).</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lastRenderedPageBreak/>
        <w:t>According to the findings of a number of research, tourism contracts satisfy two distinct functions: first, they facilitate commercial activities, and second, they work as a tool for protecting consumers. According to the European Commission (2022), this is especially important in the field of mass tourism, where standard-form contracts are the most common type of transaction. The topic of fairness and imbalance of bargaining power is one that is extensively explored in tourist law study. Although such contracts promote efficiency for service providers, they also raise questions about fairness and imbalance of bargaining power.</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b/>
          <w:bCs/>
          <w:color w:val="000000" w:themeColor="text1"/>
          <w:szCs w:val="24"/>
        </w:rPr>
        <w:t>Components of a Legally Binding Contract within the Tourism Industry</w:t>
      </w:r>
      <w:r w:rsidR="007469A5" w:rsidRPr="007469A5">
        <w:rPr>
          <w:rFonts w:ascii="Times New Roman" w:hAnsi="Times New Roman" w:cs="Times New Roman"/>
          <w:color w:val="000000" w:themeColor="text1"/>
          <w:szCs w:val="24"/>
        </w:rPr>
        <w:br/>
        <w:t>There is a significant body of research that focuses on the key components that are necessary for a contract to be considered legitimate. These components include an offer, acceptance, consideration, and the desire to create legal relations. Their use in tourism contexts is also well-documented. The costs that are offered for hotel rooms, airline tickets, or vacation packages are examples of what you might find in the tourist industry. On the other hand, courts have regularly differentiated between invitations to treat and legally binding offers, notably in the context of online booking settings (Poole, 2020).</w:t>
      </w:r>
      <w:r w:rsidR="007469A5" w:rsidRPr="007469A5">
        <w:rPr>
          <w:rFonts w:ascii="Times New Roman" w:hAnsi="Times New Roman" w:cs="Times New Roman"/>
          <w:color w:val="000000" w:themeColor="text1"/>
          <w:szCs w:val="24"/>
        </w:rPr>
        <w:br/>
        <w:t xml:space="preserve">Scholars have </w:t>
      </w:r>
      <w:proofErr w:type="spellStart"/>
      <w:r w:rsidR="007469A5" w:rsidRPr="007469A5">
        <w:rPr>
          <w:rFonts w:ascii="Times New Roman" w:hAnsi="Times New Roman" w:cs="Times New Roman"/>
          <w:color w:val="000000" w:themeColor="text1"/>
          <w:szCs w:val="24"/>
        </w:rPr>
        <w:t>analyzed</w:t>
      </w:r>
      <w:proofErr w:type="spellEnd"/>
      <w:r w:rsidR="007469A5" w:rsidRPr="007469A5">
        <w:rPr>
          <w:rFonts w:ascii="Times New Roman" w:hAnsi="Times New Roman" w:cs="Times New Roman"/>
          <w:color w:val="000000" w:themeColor="text1"/>
          <w:szCs w:val="24"/>
        </w:rPr>
        <w:t xml:space="preserve"> the legal legality of click-wrap and browse-wrap agreements since acceptance occurs when a customer confirms a booking, which typically takes place electronically. According to research conducted by Bennett and Baird (2018), electronic acceptance may be legally legitimate if the terms are supplied in a manner that is easily understood and accessible prior to the confirmation of the acceptance. In tourism contracts, consideration typically takes the form of monetary payment in exchange for services; however, non-monetary consideration may be present in agreements that are based on loyalty or </w:t>
      </w:r>
      <w:r w:rsidR="007469A5" w:rsidRPr="007469A5">
        <w:rPr>
          <w:rFonts w:ascii="Times New Roman" w:hAnsi="Times New Roman" w:cs="Times New Roman"/>
          <w:color w:val="000000" w:themeColor="text1"/>
          <w:szCs w:val="24"/>
        </w:rPr>
        <w:lastRenderedPageBreak/>
        <w:t>promotions.</w:t>
      </w:r>
      <w:r w:rsidR="007469A5" w:rsidRPr="007469A5">
        <w:rPr>
          <w:rFonts w:ascii="Times New Roman" w:hAnsi="Times New Roman" w:cs="Times New Roman"/>
          <w:color w:val="000000" w:themeColor="text1"/>
          <w:szCs w:val="24"/>
        </w:rPr>
        <w:br/>
        <w:t>When it comes to commercial tourist contracts, it is typically assumed that the parties intend to establish contractual relationships. Peer-to-peer platforms and community-based tourism experiences are two examples of informal arrangements that could potentially give rise to contractual disagreements. Even in non-traditional tourism settings, the literature demonstrates that courts are increasingly acknowledging the presence of purpose in situations where financial transactions take place (Dickerson, 2021).</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b/>
          <w:bCs/>
          <w:color w:val="000000" w:themeColor="text1"/>
          <w:szCs w:val="24"/>
        </w:rPr>
        <w:t>The Different Kinds of Contracts Used in the Tourism Sector</w:t>
      </w:r>
      <w:r w:rsidR="007469A5" w:rsidRPr="007469A5">
        <w:rPr>
          <w:rFonts w:ascii="Times New Roman" w:hAnsi="Times New Roman" w:cs="Times New Roman"/>
          <w:color w:val="000000" w:themeColor="text1"/>
          <w:szCs w:val="24"/>
        </w:rPr>
        <w:br/>
        <w:t>According to the literature on tourism, there are a few different types of contracts that are commonly used. These include liability releases, transportation contracts, accommodation contracts, and booking contracts. Because of their complexity and the regulatory control that they require, package travel contracts have garnered a large amount of attention from academics. In accordance with the European Union's Package Travel Directive, it is the responsibility of the organisers to ensure that all of the services that are included in a package are performed properly, regardless of whether or not those services are provided by third parties (Christian Commission, 2022).</w:t>
      </w:r>
      <w:r w:rsidR="007469A5" w:rsidRPr="007469A5">
        <w:rPr>
          <w:rFonts w:ascii="Times New Roman" w:hAnsi="Times New Roman" w:cs="Times New Roman"/>
          <w:color w:val="000000" w:themeColor="text1"/>
          <w:szCs w:val="24"/>
        </w:rPr>
        <w:br/>
        <w:t>There is also a significant sector that consists of booking contracts between hotels and guests. Numerous studies have shed light on the recurrent disagreements that arise from overbooking, inaccurate representations of the facilities, and cancellation fees. According to Hudson and Hudson (2017), courts utilize the contra proferentem rule to read clauses in contracts that are unclear in a way that favours service providers. This is because courts interpret such clauses in a manner that is contrary to the drafting party.</w:t>
      </w:r>
      <w:r w:rsidR="007469A5" w:rsidRPr="007469A5">
        <w:rPr>
          <w:rFonts w:ascii="Times New Roman" w:hAnsi="Times New Roman" w:cs="Times New Roman"/>
          <w:color w:val="000000" w:themeColor="text1"/>
          <w:szCs w:val="24"/>
        </w:rPr>
        <w:br/>
        <w:t xml:space="preserve">There is also a significant amount of discussion in the literature regarding liability releases, </w:t>
      </w:r>
      <w:r w:rsidR="007469A5" w:rsidRPr="007469A5">
        <w:rPr>
          <w:rFonts w:ascii="Times New Roman" w:hAnsi="Times New Roman" w:cs="Times New Roman"/>
          <w:color w:val="000000" w:themeColor="text1"/>
          <w:szCs w:val="24"/>
        </w:rPr>
        <w:lastRenderedPageBreak/>
        <w:t xml:space="preserve">particularly in the context of adventure and recreational tourism. Scholars point out that courts routinely examine waiver terms to determine </w:t>
      </w:r>
      <w:proofErr w:type="gramStart"/>
      <w:r w:rsidR="007469A5" w:rsidRPr="007469A5">
        <w:rPr>
          <w:rFonts w:ascii="Times New Roman" w:hAnsi="Times New Roman" w:cs="Times New Roman"/>
          <w:color w:val="000000" w:themeColor="text1"/>
          <w:szCs w:val="24"/>
        </w:rPr>
        <w:t>whether or not</w:t>
      </w:r>
      <w:proofErr w:type="gramEnd"/>
      <w:r w:rsidR="007469A5" w:rsidRPr="007469A5">
        <w:rPr>
          <w:rFonts w:ascii="Times New Roman" w:hAnsi="Times New Roman" w:cs="Times New Roman"/>
          <w:color w:val="000000" w:themeColor="text1"/>
          <w:szCs w:val="24"/>
        </w:rPr>
        <w:t xml:space="preserve"> they are fair, transparent, and in conformity with consumer protection legislation (Bennett &amp; Baird, 2018). This is </w:t>
      </w:r>
      <w:proofErr w:type="gramStart"/>
      <w:r w:rsidR="007469A5" w:rsidRPr="007469A5">
        <w:rPr>
          <w:rFonts w:ascii="Times New Roman" w:hAnsi="Times New Roman" w:cs="Times New Roman"/>
          <w:color w:val="000000" w:themeColor="text1"/>
          <w:szCs w:val="24"/>
        </w:rPr>
        <w:t>despite the fact that</w:t>
      </w:r>
      <w:proofErr w:type="gramEnd"/>
      <w:r w:rsidR="007469A5" w:rsidRPr="007469A5">
        <w:rPr>
          <w:rFonts w:ascii="Times New Roman" w:hAnsi="Times New Roman" w:cs="Times New Roman"/>
          <w:color w:val="000000" w:themeColor="text1"/>
          <w:szCs w:val="24"/>
        </w:rPr>
        <w:t xml:space="preserve"> waivers are initially intended to restrict responsibility for service providers. It is possible that exclusion clauses that are unfair or unduly broad will be considered unenforceable.</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b/>
          <w:bCs/>
          <w:color w:val="000000" w:themeColor="text1"/>
          <w:szCs w:val="24"/>
        </w:rPr>
        <w:t>The duties and responsibilities of the parties involved in tourism contracts</w:t>
      </w:r>
      <w:r w:rsidR="007469A5" w:rsidRPr="007469A5">
        <w:rPr>
          <w:rFonts w:ascii="Times New Roman" w:hAnsi="Times New Roman" w:cs="Times New Roman"/>
          <w:color w:val="000000" w:themeColor="text1"/>
          <w:szCs w:val="24"/>
        </w:rPr>
        <w:br/>
        <w:t>The equilibrium of rights and obligations that exists between tourists and the businesses that provide tourism services is a topic that is brought up repeatedly in the research. It is often expected of service providers that they would perform services with a level of care and expertise that is commensurate with the promise made in the contract. According to Poole (2020), if these responsibilities are not met, it may be considered a breach of contract, which would provide customers the right to seek remedies such as refunds or damaged goods.</w:t>
      </w:r>
      <w:r w:rsidR="007469A5" w:rsidRPr="007469A5">
        <w:rPr>
          <w:rFonts w:ascii="Times New Roman" w:hAnsi="Times New Roman" w:cs="Times New Roman"/>
          <w:color w:val="000000" w:themeColor="text1"/>
          <w:szCs w:val="24"/>
        </w:rPr>
        <w:br/>
        <w:t>The consumer, on the other hand, is obligated to comply with the conditions of payment, the behavioural standards, and the cancellation rules. However, academics believe that consumer obligations should not be allowed to undercut the protections provided by statutes. According to research, the courts are becoming more involved in circumstances where the terms of a contract are unfair or deceptive. This is especially true in situations where there are hidden fees or stringent cancellation procedures (European Commission, 2022).</w:t>
      </w:r>
      <w:r w:rsidR="007469A5" w:rsidRPr="007469A5">
        <w:rPr>
          <w:rFonts w:ascii="Times New Roman" w:hAnsi="Times New Roman" w:cs="Times New Roman"/>
          <w:color w:val="000000" w:themeColor="text1"/>
          <w:szCs w:val="24"/>
        </w:rPr>
        <w:br/>
        <w:t xml:space="preserve">Moreover, the literature emphasizes the significance of implied clauses in the context of tourism contracts. There is a possibility that contracts may contain implied terms concerning safety, quality, and fitness for purpose, even when these terms are not explicitly expressed. According to Dickerson (2021), implied terms have shown to be an essential component in safeguarding </w:t>
      </w:r>
      <w:r w:rsidR="007469A5" w:rsidRPr="007469A5">
        <w:rPr>
          <w:rFonts w:ascii="Times New Roman" w:hAnsi="Times New Roman" w:cs="Times New Roman"/>
          <w:color w:val="000000" w:themeColor="text1"/>
          <w:szCs w:val="24"/>
        </w:rPr>
        <w:lastRenderedPageBreak/>
        <w:t xml:space="preserve">tourists in situations where service providers have attempted to rely on contracts that are narrowly drawn </w:t>
      </w:r>
      <w:proofErr w:type="gramStart"/>
      <w:r w:rsidR="007469A5" w:rsidRPr="007469A5">
        <w:rPr>
          <w:rFonts w:ascii="Times New Roman" w:hAnsi="Times New Roman" w:cs="Times New Roman"/>
          <w:color w:val="000000" w:themeColor="text1"/>
          <w:szCs w:val="24"/>
        </w:rPr>
        <w:t>in order to</w:t>
      </w:r>
      <w:proofErr w:type="gramEnd"/>
      <w:r w:rsidR="007469A5" w:rsidRPr="007469A5">
        <w:rPr>
          <w:rFonts w:ascii="Times New Roman" w:hAnsi="Times New Roman" w:cs="Times New Roman"/>
          <w:color w:val="000000" w:themeColor="text1"/>
          <w:szCs w:val="24"/>
        </w:rPr>
        <w:t xml:space="preserve"> escape legal responsibility.</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b/>
          <w:bCs/>
          <w:color w:val="000000" w:themeColor="text1"/>
          <w:szCs w:val="24"/>
        </w:rPr>
        <w:t>Lawsuits and Disputes Regarding Contracts in the Tourism Industry</w:t>
      </w:r>
      <w:r w:rsidR="007469A5" w:rsidRPr="007469A5">
        <w:rPr>
          <w:rFonts w:ascii="Times New Roman" w:hAnsi="Times New Roman" w:cs="Times New Roman"/>
          <w:color w:val="000000" w:themeColor="text1"/>
          <w:szCs w:val="24"/>
        </w:rPr>
        <w:br/>
        <w:t>The literature on tourism contract law places a significant amount of emphasis on the resolution of disputes. Instances that frequently give rise to disagreements include flight cancellations, hotel misrepresentation, the failure to supply components of package tours, and the refusal to board. According to Hudson and Hudson (2017), academics have observed that there is a significant role for contractual remedies to play in the resolution of these conflicts. These remedies include damages, rescission, and specific performance.</w:t>
      </w:r>
      <w:r w:rsidR="007469A5" w:rsidRPr="007469A5">
        <w:rPr>
          <w:rFonts w:ascii="Times New Roman" w:hAnsi="Times New Roman" w:cs="Times New Roman"/>
          <w:color w:val="000000" w:themeColor="text1"/>
          <w:szCs w:val="24"/>
        </w:rPr>
        <w:br/>
      </w:r>
      <w:proofErr w:type="gramStart"/>
      <w:r w:rsidR="007469A5" w:rsidRPr="007469A5">
        <w:rPr>
          <w:rFonts w:ascii="Times New Roman" w:hAnsi="Times New Roman" w:cs="Times New Roman"/>
          <w:color w:val="000000" w:themeColor="text1"/>
          <w:szCs w:val="24"/>
        </w:rPr>
        <w:t>A number of</w:t>
      </w:r>
      <w:proofErr w:type="gramEnd"/>
      <w:r w:rsidR="007469A5" w:rsidRPr="007469A5">
        <w:rPr>
          <w:rFonts w:ascii="Times New Roman" w:hAnsi="Times New Roman" w:cs="Times New Roman"/>
          <w:color w:val="000000" w:themeColor="text1"/>
          <w:szCs w:val="24"/>
        </w:rPr>
        <w:t xml:space="preserve"> recent studies have shed light on the increasing significance of alternative dispute resolution (ADR) mechanisms in tourist contracts. These mechanisms include arbitration and mediation systems. Arbitration clauses are included in a significant number of typical tourism contracts, particularly in relation to international travel agreements. Mandatory arbitration agreements, according to Bennett and Baird (2018), may restrict consumers' access to justice, </w:t>
      </w:r>
      <w:proofErr w:type="gramStart"/>
      <w:r w:rsidR="007469A5" w:rsidRPr="007469A5">
        <w:rPr>
          <w:rFonts w:ascii="Times New Roman" w:hAnsi="Times New Roman" w:cs="Times New Roman"/>
          <w:color w:val="000000" w:themeColor="text1"/>
          <w:szCs w:val="24"/>
        </w:rPr>
        <w:t>despite the fact that</w:t>
      </w:r>
      <w:proofErr w:type="gramEnd"/>
      <w:r w:rsidR="007469A5" w:rsidRPr="007469A5">
        <w:rPr>
          <w:rFonts w:ascii="Times New Roman" w:hAnsi="Times New Roman" w:cs="Times New Roman"/>
          <w:color w:val="000000" w:themeColor="text1"/>
          <w:szCs w:val="24"/>
        </w:rPr>
        <w:t xml:space="preserve"> alternative dispute resolution (ADR) offers opportunities for efficiency and cost savings.</w:t>
      </w:r>
      <w:r w:rsidR="007469A5" w:rsidRPr="007469A5">
        <w:rPr>
          <w:rFonts w:ascii="Times New Roman" w:hAnsi="Times New Roman" w:cs="Times New Roman"/>
          <w:color w:val="000000" w:themeColor="text1"/>
          <w:szCs w:val="24"/>
        </w:rPr>
        <w:br/>
        <w:t xml:space="preserve">Academic discourse on contract frustration and force majeure in the tourism industry has been further enhanced </w:t>
      </w:r>
      <w:proofErr w:type="gramStart"/>
      <w:r w:rsidR="007469A5" w:rsidRPr="007469A5">
        <w:rPr>
          <w:rFonts w:ascii="Times New Roman" w:hAnsi="Times New Roman" w:cs="Times New Roman"/>
          <w:color w:val="000000" w:themeColor="text1"/>
          <w:szCs w:val="24"/>
        </w:rPr>
        <w:t>as a result of</w:t>
      </w:r>
      <w:proofErr w:type="gramEnd"/>
      <w:r w:rsidR="007469A5" w:rsidRPr="007469A5">
        <w:rPr>
          <w:rFonts w:ascii="Times New Roman" w:hAnsi="Times New Roman" w:cs="Times New Roman"/>
          <w:color w:val="000000" w:themeColor="text1"/>
          <w:szCs w:val="24"/>
        </w:rPr>
        <w:t xml:space="preserve"> the COVID-19 epidemic. According to the available literature, the courts have taken a variety of methods to cancellations and refunds, based on the terms of the contract and the consumer laws that are relevant. The need of having clear contractual wording and distributing risks in an equal manner was brought to light during this time period (Dickerson, 2021).</w:t>
      </w:r>
      <w:r w:rsidR="007469A5" w:rsidRPr="007469A5">
        <w:rPr>
          <w:rFonts w:ascii="Times New Roman" w:hAnsi="Times New Roman" w:cs="Times New Roman"/>
          <w:color w:val="000000" w:themeColor="text1"/>
          <w:szCs w:val="24"/>
        </w:rPr>
        <w:br/>
      </w:r>
      <w:r w:rsidR="007469A5" w:rsidRPr="007469A5">
        <w:rPr>
          <w:rFonts w:ascii="Times New Roman" w:hAnsi="Times New Roman" w:cs="Times New Roman"/>
          <w:color w:val="000000" w:themeColor="text1"/>
          <w:szCs w:val="24"/>
        </w:rPr>
        <w:lastRenderedPageBreak/>
        <w:br/>
      </w:r>
      <w:r w:rsidR="007469A5" w:rsidRPr="007469A5">
        <w:rPr>
          <w:rFonts w:ascii="Times New Roman" w:hAnsi="Times New Roman" w:cs="Times New Roman"/>
          <w:b/>
          <w:bCs/>
          <w:color w:val="000000" w:themeColor="text1"/>
          <w:szCs w:val="24"/>
        </w:rPr>
        <w:t>A Critical Analysis of the Currently Available Literature</w:t>
      </w:r>
      <w:r w:rsidR="007469A5" w:rsidRPr="007469A5">
        <w:rPr>
          <w:rFonts w:ascii="Times New Roman" w:hAnsi="Times New Roman" w:cs="Times New Roman"/>
          <w:color w:val="000000" w:themeColor="text1"/>
          <w:szCs w:val="24"/>
        </w:rPr>
        <w:br/>
        <w:t xml:space="preserve">There are still a number of holes in the available literature, despite the fact that it offers complete insights into contract law in the tourism industry. </w:t>
      </w:r>
      <w:proofErr w:type="gramStart"/>
      <w:r w:rsidR="007469A5" w:rsidRPr="007469A5">
        <w:rPr>
          <w:rFonts w:ascii="Times New Roman" w:hAnsi="Times New Roman" w:cs="Times New Roman"/>
          <w:color w:val="000000" w:themeColor="text1"/>
          <w:szCs w:val="24"/>
        </w:rPr>
        <w:t>The majority of</w:t>
      </w:r>
      <w:proofErr w:type="gramEnd"/>
      <w:r w:rsidR="007469A5" w:rsidRPr="007469A5">
        <w:rPr>
          <w:rFonts w:ascii="Times New Roman" w:hAnsi="Times New Roman" w:cs="Times New Roman"/>
          <w:color w:val="000000" w:themeColor="text1"/>
          <w:szCs w:val="24"/>
        </w:rPr>
        <w:t xml:space="preserve"> the research is concentrated on the legal systems of Europe and North America, with just a little amount of attention being paid to growing tourism markets. Additionally, the quick rate of digitalization has surpassed the advancement of legal scholarship in certain areas, notably with relation to online platforms and pricing that is determined by algorithms.</w:t>
      </w:r>
      <w:r w:rsidR="007469A5" w:rsidRPr="007469A5">
        <w:rPr>
          <w:rFonts w:ascii="Times New Roman" w:hAnsi="Times New Roman" w:cs="Times New Roman"/>
          <w:color w:val="000000" w:themeColor="text1"/>
          <w:szCs w:val="24"/>
        </w:rPr>
        <w:br/>
        <w:t xml:space="preserve">In addition, academics believe that even while there has been an improvement in consumer protection, enforcement continues to be inconsistent across different jurisdictions. There is a pressing need for additional research into the development of harmonized legal norms that </w:t>
      </w:r>
      <w:proofErr w:type="gramStart"/>
      <w:r w:rsidR="007469A5" w:rsidRPr="007469A5">
        <w:rPr>
          <w:rFonts w:ascii="Times New Roman" w:hAnsi="Times New Roman" w:cs="Times New Roman"/>
          <w:color w:val="000000" w:themeColor="text1"/>
          <w:szCs w:val="24"/>
        </w:rPr>
        <w:t>take into account</w:t>
      </w:r>
      <w:proofErr w:type="gramEnd"/>
      <w:r w:rsidR="007469A5" w:rsidRPr="007469A5">
        <w:rPr>
          <w:rFonts w:ascii="Times New Roman" w:hAnsi="Times New Roman" w:cs="Times New Roman"/>
          <w:color w:val="000000" w:themeColor="text1"/>
          <w:szCs w:val="24"/>
        </w:rPr>
        <w:t xml:space="preserve"> the international character of tourism contracts. The literature, in general, demonstrates that contract law continues to be a crucial component in the tourist industry for the purpose of preserving fairness, accountability, and sustainability. Furthermore, it highlights areas that require continuous attention from both the legal and academic communities alike.</w:t>
      </w:r>
    </w:p>
    <w:p w14:paraId="5F40405B" w14:textId="52D5FE82" w:rsidR="00BA1A47" w:rsidRDefault="00BA1A47" w:rsidP="007469A5">
      <w:pPr>
        <w:spacing w:line="480" w:lineRule="auto"/>
        <w:rPr>
          <w:rStyle w:val="Heading1Char"/>
          <w:rFonts w:ascii="Times New Roman" w:hAnsi="Times New Roman" w:cs="Times New Roman"/>
          <w:b/>
          <w:bCs/>
          <w:color w:val="000000" w:themeColor="text1"/>
          <w:sz w:val="24"/>
          <w:szCs w:val="24"/>
        </w:rPr>
      </w:pPr>
    </w:p>
    <w:p w14:paraId="286BB4AE" w14:textId="77777777" w:rsidR="007469A5" w:rsidRPr="00635AB0" w:rsidRDefault="007469A5" w:rsidP="007469A5">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0FD8CD67" w14:textId="77777777" w:rsidR="007469A5" w:rsidRDefault="007469A5" w:rsidP="00BA1A47">
      <w:pPr>
        <w:spacing w:line="480" w:lineRule="auto"/>
        <w:rPr>
          <w:rStyle w:val="Heading1Char"/>
          <w:rFonts w:ascii="Times New Roman" w:hAnsi="Times New Roman" w:cs="Times New Roman"/>
          <w:b/>
          <w:bCs/>
          <w:color w:val="000000" w:themeColor="text1"/>
          <w:sz w:val="24"/>
          <w:szCs w:val="24"/>
        </w:rPr>
      </w:pPr>
    </w:p>
    <w:p w14:paraId="1766D673" w14:textId="77777777" w:rsidR="007469A5" w:rsidRDefault="007469A5" w:rsidP="00BA1A47">
      <w:pPr>
        <w:spacing w:line="480" w:lineRule="auto"/>
        <w:rPr>
          <w:rStyle w:val="Heading1Char"/>
          <w:rFonts w:ascii="Times New Roman" w:hAnsi="Times New Roman" w:cs="Times New Roman"/>
          <w:b/>
          <w:bCs/>
          <w:color w:val="000000" w:themeColor="text1"/>
          <w:sz w:val="24"/>
          <w:szCs w:val="24"/>
        </w:rPr>
      </w:pPr>
    </w:p>
    <w:p w14:paraId="7CB2C047" w14:textId="77777777" w:rsidR="007469A5" w:rsidRPr="00635AB0" w:rsidRDefault="007469A5" w:rsidP="00BA1A47">
      <w:pPr>
        <w:spacing w:line="480" w:lineRule="auto"/>
        <w:rPr>
          <w:rStyle w:val="Heading1Char"/>
          <w:rFonts w:ascii="Times New Roman" w:hAnsi="Times New Roman" w:cs="Times New Roman"/>
          <w:b/>
          <w:bCs/>
          <w:color w:val="000000" w:themeColor="text1"/>
          <w:sz w:val="24"/>
          <w:szCs w:val="24"/>
        </w:rPr>
      </w:pPr>
    </w:p>
    <w:p w14:paraId="243DDC87" w14:textId="77777777" w:rsidR="00AB5112" w:rsidRPr="00635AB0" w:rsidRDefault="00843EDD" w:rsidP="00AB5112">
      <w:pPr>
        <w:spacing w:line="480" w:lineRule="auto"/>
        <w:rPr>
          <w:rFonts w:ascii="Times New Roman" w:hAnsi="Times New Roman" w:cs="Times New Roman"/>
          <w:color w:val="000000" w:themeColor="text1"/>
          <w:szCs w:val="24"/>
        </w:rPr>
      </w:pPr>
      <w:bookmarkStart w:id="3" w:name="_Toc221200717"/>
      <w:r w:rsidRPr="00635AB0">
        <w:rPr>
          <w:rStyle w:val="Heading1Char"/>
          <w:rFonts w:ascii="Times New Roman" w:hAnsi="Times New Roman" w:cs="Times New Roman"/>
          <w:b/>
          <w:bCs/>
          <w:color w:val="000000" w:themeColor="text1"/>
          <w:sz w:val="24"/>
          <w:szCs w:val="24"/>
        </w:rPr>
        <w:lastRenderedPageBreak/>
        <w:t>3</w:t>
      </w:r>
      <w:r w:rsidR="00582227" w:rsidRPr="00635AB0">
        <w:rPr>
          <w:rStyle w:val="Heading1Char"/>
          <w:rFonts w:ascii="Times New Roman" w:hAnsi="Times New Roman" w:cs="Times New Roman"/>
          <w:b/>
          <w:bCs/>
          <w:color w:val="000000" w:themeColor="text1"/>
          <w:sz w:val="24"/>
          <w:szCs w:val="24"/>
        </w:rPr>
        <w:t xml:space="preserve"> Methodology</w:t>
      </w:r>
      <w:bookmarkEnd w:id="3"/>
      <w:r w:rsidR="00582227" w:rsidRPr="00635AB0">
        <w:rPr>
          <w:rFonts w:ascii="Times New Roman" w:hAnsi="Times New Roman" w:cs="Times New Roman"/>
          <w:b/>
          <w:bCs/>
          <w:color w:val="000000" w:themeColor="text1"/>
          <w:szCs w:val="24"/>
        </w:rPr>
        <w:t xml:space="preserve"> </w:t>
      </w:r>
      <w:r w:rsidR="00582227" w:rsidRPr="00635AB0">
        <w:rPr>
          <w:rFonts w:ascii="Times New Roman" w:hAnsi="Times New Roman" w:cs="Times New Roman"/>
          <w:color w:val="000000" w:themeColor="text1"/>
          <w:szCs w:val="24"/>
        </w:rPr>
        <w:br/>
      </w:r>
      <w:bookmarkStart w:id="4" w:name="_Toc221200718"/>
      <w:r w:rsidR="00AB5112" w:rsidRPr="00635AB0">
        <w:rPr>
          <w:rFonts w:ascii="Times New Roman" w:hAnsi="Times New Roman" w:cs="Times New Roman"/>
          <w:color w:val="000000" w:themeColor="text1"/>
          <w:szCs w:val="24"/>
        </w:rPr>
        <w:t xml:space="preserve">This study adopts a </w:t>
      </w:r>
      <w:r w:rsidR="00AB5112" w:rsidRPr="00635AB0">
        <w:rPr>
          <w:rFonts w:ascii="Times New Roman" w:hAnsi="Times New Roman" w:cs="Times New Roman"/>
          <w:b/>
          <w:bCs/>
          <w:color w:val="000000" w:themeColor="text1"/>
          <w:szCs w:val="24"/>
        </w:rPr>
        <w:t>qualitative doctrinal research methodology</w:t>
      </w:r>
      <w:r w:rsidR="00AB5112" w:rsidRPr="00635AB0">
        <w:rPr>
          <w:rFonts w:ascii="Times New Roman" w:hAnsi="Times New Roman" w:cs="Times New Roman"/>
          <w:color w:val="000000" w:themeColor="text1"/>
          <w:szCs w:val="24"/>
        </w:rPr>
        <w:t xml:space="preserve"> to examine the role of contract law in the tourism industry. Doctrinal legal research is widely used in legal scholarship to analyse existing laws, judicial decisions, and academic commentary </w:t>
      </w:r>
      <w:proofErr w:type="gramStart"/>
      <w:r w:rsidR="00AB5112" w:rsidRPr="00635AB0">
        <w:rPr>
          <w:rFonts w:ascii="Times New Roman" w:hAnsi="Times New Roman" w:cs="Times New Roman"/>
          <w:color w:val="000000" w:themeColor="text1"/>
          <w:szCs w:val="24"/>
        </w:rPr>
        <w:t>in order to</w:t>
      </w:r>
      <w:proofErr w:type="gramEnd"/>
      <w:r w:rsidR="00AB5112" w:rsidRPr="00635AB0">
        <w:rPr>
          <w:rFonts w:ascii="Times New Roman" w:hAnsi="Times New Roman" w:cs="Times New Roman"/>
          <w:color w:val="000000" w:themeColor="text1"/>
          <w:szCs w:val="24"/>
        </w:rPr>
        <w:t xml:space="preserve"> interpret legal principles and evaluate their application in specific contexts (McConville &amp; Chui, 2017). Given that the focus of this assignment is on understanding how contract law governs tourism-related agreements, a qualitative and analytical approach is considered the most appropriate.</w:t>
      </w:r>
    </w:p>
    <w:p w14:paraId="7441DB57"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Research Design</w:t>
      </w:r>
    </w:p>
    <w:p w14:paraId="1D889091"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The research is </w:t>
      </w:r>
      <w:r w:rsidRPr="00AB5112">
        <w:rPr>
          <w:rFonts w:ascii="Times New Roman" w:hAnsi="Times New Roman" w:cs="Times New Roman"/>
          <w:b/>
          <w:bCs/>
          <w:color w:val="000000" w:themeColor="text1"/>
          <w:szCs w:val="24"/>
        </w:rPr>
        <w:t>descriptive and analytical</w:t>
      </w:r>
      <w:r w:rsidRPr="00AB5112">
        <w:rPr>
          <w:rFonts w:ascii="Times New Roman" w:hAnsi="Times New Roman" w:cs="Times New Roman"/>
          <w:color w:val="000000" w:themeColor="text1"/>
          <w:szCs w:val="24"/>
        </w:rPr>
        <w:t xml:space="preserve"> in nature. It seeks to describe the legal framework governing tourism contracts while critically analysing how contract law principles such as offer, acceptance, consideration, and intention to create legal relations operate within the tourism sector. This design allows for an in-depth exploration of contractual relationships between tourism service providers—such as airlines, hotels, and tour operators—and consumers, without relying on empirical data collection (Poole, 2020).</w:t>
      </w:r>
    </w:p>
    <w:p w14:paraId="1B1EDD2D" w14:textId="77777777" w:rsid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The study does not involve primary data collection through surveys or interviews. Instead, it relies on secondary legal sources to ensure accuracy, reliability, and alignment with established legal interpretations. This approach is consistent with previous tourism law studies that focus on legal doctrine and policy analysis rather than behavioural research (Dickerson, 2021).</w:t>
      </w:r>
    </w:p>
    <w:p w14:paraId="789E27A7" w14:textId="77777777" w:rsidR="007469A5" w:rsidRDefault="007469A5" w:rsidP="00AB5112">
      <w:pPr>
        <w:spacing w:line="480" w:lineRule="auto"/>
        <w:rPr>
          <w:rFonts w:ascii="Times New Roman" w:hAnsi="Times New Roman" w:cs="Times New Roman"/>
          <w:color w:val="000000" w:themeColor="text1"/>
          <w:szCs w:val="24"/>
        </w:rPr>
      </w:pPr>
    </w:p>
    <w:p w14:paraId="2B065CC7" w14:textId="77777777" w:rsidR="007469A5" w:rsidRDefault="007469A5" w:rsidP="00AB5112">
      <w:pPr>
        <w:spacing w:line="480" w:lineRule="auto"/>
        <w:rPr>
          <w:rFonts w:ascii="Times New Roman" w:hAnsi="Times New Roman" w:cs="Times New Roman"/>
          <w:color w:val="000000" w:themeColor="text1"/>
          <w:szCs w:val="24"/>
        </w:rPr>
      </w:pPr>
    </w:p>
    <w:p w14:paraId="687E3624" w14:textId="77777777" w:rsidR="007469A5" w:rsidRPr="00AB5112" w:rsidRDefault="007469A5" w:rsidP="00AB5112">
      <w:pPr>
        <w:spacing w:line="480" w:lineRule="auto"/>
        <w:rPr>
          <w:rFonts w:ascii="Times New Roman" w:hAnsi="Times New Roman" w:cs="Times New Roman"/>
          <w:color w:val="000000" w:themeColor="text1"/>
          <w:szCs w:val="24"/>
        </w:rPr>
      </w:pPr>
    </w:p>
    <w:p w14:paraId="0A17BA4D"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lastRenderedPageBreak/>
        <w:t>Data Collection Methods</w:t>
      </w:r>
    </w:p>
    <w:p w14:paraId="4B52E33B"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Data for this study were collected exclusively from </w:t>
      </w:r>
      <w:r w:rsidRPr="00AB5112">
        <w:rPr>
          <w:rFonts w:ascii="Times New Roman" w:hAnsi="Times New Roman" w:cs="Times New Roman"/>
          <w:b/>
          <w:bCs/>
          <w:color w:val="000000" w:themeColor="text1"/>
          <w:szCs w:val="24"/>
        </w:rPr>
        <w:t>secondary sources</w:t>
      </w:r>
      <w:r w:rsidRPr="00AB5112">
        <w:rPr>
          <w:rFonts w:ascii="Times New Roman" w:hAnsi="Times New Roman" w:cs="Times New Roman"/>
          <w:color w:val="000000" w:themeColor="text1"/>
          <w:szCs w:val="24"/>
        </w:rPr>
        <w:t>, including:</w:t>
      </w:r>
    </w:p>
    <w:p w14:paraId="45E41E4F"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Academic textbooks on contract and tourism law</w:t>
      </w:r>
    </w:p>
    <w:p w14:paraId="5B6B884D"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Peer-reviewed journal articles</w:t>
      </w:r>
    </w:p>
    <w:p w14:paraId="4758D660"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Government and regulatory publications</w:t>
      </w:r>
    </w:p>
    <w:p w14:paraId="36250A00"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European Union directives and official guidance documents</w:t>
      </w:r>
    </w:p>
    <w:p w14:paraId="45FD75C5"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Reported case law related to tourism contract disputes</w:t>
      </w:r>
    </w:p>
    <w:p w14:paraId="279BE341"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Key sources such as </w:t>
      </w:r>
      <w:r w:rsidRPr="00AB5112">
        <w:rPr>
          <w:rFonts w:ascii="Times New Roman" w:hAnsi="Times New Roman" w:cs="Times New Roman"/>
          <w:i/>
          <w:iCs/>
          <w:color w:val="000000" w:themeColor="text1"/>
          <w:szCs w:val="24"/>
        </w:rPr>
        <w:t>Travel Law</w:t>
      </w:r>
      <w:r w:rsidRPr="00AB5112">
        <w:rPr>
          <w:rFonts w:ascii="Times New Roman" w:hAnsi="Times New Roman" w:cs="Times New Roman"/>
          <w:color w:val="000000" w:themeColor="text1"/>
          <w:szCs w:val="24"/>
        </w:rPr>
        <w:t xml:space="preserve"> by Dickerson (2021) and </w:t>
      </w:r>
      <w:r w:rsidRPr="00AB5112">
        <w:rPr>
          <w:rFonts w:ascii="Times New Roman" w:hAnsi="Times New Roman" w:cs="Times New Roman"/>
          <w:i/>
          <w:iCs/>
          <w:color w:val="000000" w:themeColor="text1"/>
          <w:szCs w:val="24"/>
        </w:rPr>
        <w:t>Textbook on Contract Law</w:t>
      </w:r>
      <w:r w:rsidRPr="00AB5112">
        <w:rPr>
          <w:rFonts w:ascii="Times New Roman" w:hAnsi="Times New Roman" w:cs="Times New Roman"/>
          <w:color w:val="000000" w:themeColor="text1"/>
          <w:szCs w:val="24"/>
        </w:rPr>
        <w:t xml:space="preserve"> by Poole (2020) were used to establish foundational legal principles. Policy documents, including guidance issued under the EU Package Travel Directive, were analysed to understand regulatory obligations imposed on tourism service providers (European Commission, 2022).</w:t>
      </w:r>
    </w:p>
    <w:p w14:paraId="226A028A"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Case law examples were selected based on their relevance to tourism contracts, particularly disputes involving cancellations, misrepresentation, liability limitations, and breach of contract. These cases were used to illustrate how courts interpret and enforce contractual obligations in real-world tourism scenarios.</w:t>
      </w:r>
    </w:p>
    <w:p w14:paraId="57F03E60"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Data Analysis Technique</w:t>
      </w:r>
    </w:p>
    <w:p w14:paraId="3695C556"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The collected data were analysed using </w:t>
      </w:r>
      <w:r w:rsidRPr="00AB5112">
        <w:rPr>
          <w:rFonts w:ascii="Times New Roman" w:hAnsi="Times New Roman" w:cs="Times New Roman"/>
          <w:b/>
          <w:bCs/>
          <w:color w:val="000000" w:themeColor="text1"/>
          <w:szCs w:val="24"/>
        </w:rPr>
        <w:t>thematic legal analysis</w:t>
      </w:r>
      <w:r w:rsidRPr="00AB5112">
        <w:rPr>
          <w:rFonts w:ascii="Times New Roman" w:hAnsi="Times New Roman" w:cs="Times New Roman"/>
          <w:color w:val="000000" w:themeColor="text1"/>
          <w:szCs w:val="24"/>
        </w:rPr>
        <w:t>. This involved identifying recurring legal themes within the literature, such as consumer protection, contractual fairness, imbalance of bargaining power, and dispute resolution mechanisms. Legal principles were examined in relation to different types of tourism contracts, including booking agreements, package tours, and liability waivers.</w:t>
      </w:r>
    </w:p>
    <w:p w14:paraId="2AC053A1"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lastRenderedPageBreak/>
        <w:t>Comparative analysis was also employed to assess how contract law principles are applied across different tourism contexts. For instance, distinctions were drawn between traditional offline contracts and modern online booking agreements to highlight emerging legal challenges associated with digitalisation in tourism (Bennett &amp; Baird, 2018).</w:t>
      </w:r>
    </w:p>
    <w:p w14:paraId="2F5503BB"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Ethical Considerations</w:t>
      </w:r>
    </w:p>
    <w:p w14:paraId="6B7CF845"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As this research is based entirely on secondary sources, no direct ethical risks involving human participants arise. All sources used in the study have been properly cited in accordance with APA 7th-edition guidelines to avoid plagiarism and ensure academic integrity. The study maintains objectivity by presenting balanced interpretations of legal principles and acknowledging differing scholarly perspectives.</w:t>
      </w:r>
    </w:p>
    <w:p w14:paraId="344D5904"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Limitations of the Methodology</w:t>
      </w:r>
    </w:p>
    <w:p w14:paraId="165CC24D"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Despite its strengths, this methodology has certain limitations. The reliance on secondary data means that the study does not capture the lived experiences or perceptions of tourists and service providers. Additionally, the legal analysis primarily reflects perspectives from developed jurisdictions, particularly Europe and common law systems, which may limit generalisability to emerging tourism markets.</w:t>
      </w:r>
    </w:p>
    <w:p w14:paraId="7F96C143"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Nevertheless, doctrinal research remains highly effective for achieving the aims of this assignment, as it enables a structured and authoritative analysis of contract law’s role in regulating tourism relationships.</w:t>
      </w:r>
    </w:p>
    <w:p w14:paraId="7911B28B" w14:textId="77777777" w:rsidR="00AB5112" w:rsidRPr="00635AB0" w:rsidRDefault="00AB5112" w:rsidP="00AB5112">
      <w:pPr>
        <w:spacing w:line="480" w:lineRule="auto"/>
        <w:rPr>
          <w:rStyle w:val="Heading1Char"/>
          <w:rFonts w:ascii="Times New Roman" w:hAnsi="Times New Roman" w:cs="Times New Roman"/>
          <w:b/>
          <w:bCs/>
          <w:color w:val="000000" w:themeColor="text1"/>
          <w:sz w:val="24"/>
          <w:szCs w:val="24"/>
        </w:rPr>
      </w:pPr>
    </w:p>
    <w:p w14:paraId="5B093B2D" w14:textId="77777777" w:rsidR="00AB5112" w:rsidRPr="00635AB0" w:rsidRDefault="00AB5112" w:rsidP="00AB5112">
      <w:pPr>
        <w:spacing w:line="480" w:lineRule="auto"/>
        <w:rPr>
          <w:rStyle w:val="Heading1Char"/>
          <w:rFonts w:ascii="Times New Roman" w:hAnsi="Times New Roman" w:cs="Times New Roman"/>
          <w:b/>
          <w:bCs/>
          <w:color w:val="000000" w:themeColor="text1"/>
          <w:sz w:val="24"/>
          <w:szCs w:val="24"/>
        </w:rPr>
      </w:pPr>
    </w:p>
    <w:p w14:paraId="33BFA5F9" w14:textId="66A174C3" w:rsidR="00C82410" w:rsidRPr="00635AB0" w:rsidRDefault="00A433D7" w:rsidP="00AB5112">
      <w:pPr>
        <w:spacing w:line="480" w:lineRule="auto"/>
        <w:rPr>
          <w:rStyle w:val="Heading1Char"/>
          <w:rFonts w:ascii="Times New Roman" w:hAnsi="Times New Roman" w:cs="Times New Roman"/>
          <w:b/>
          <w:bCs/>
          <w:color w:val="000000" w:themeColor="text1"/>
          <w:sz w:val="24"/>
          <w:szCs w:val="24"/>
        </w:rPr>
      </w:pPr>
      <w:r w:rsidRPr="00635AB0">
        <w:rPr>
          <w:rStyle w:val="Heading1Char"/>
          <w:rFonts w:ascii="Times New Roman" w:hAnsi="Times New Roman" w:cs="Times New Roman"/>
          <w:b/>
          <w:bCs/>
          <w:color w:val="000000" w:themeColor="text1"/>
          <w:sz w:val="24"/>
          <w:szCs w:val="24"/>
        </w:rPr>
        <w:lastRenderedPageBreak/>
        <w:t>4</w:t>
      </w:r>
      <w:r w:rsidR="00582227" w:rsidRPr="00635AB0">
        <w:rPr>
          <w:rStyle w:val="Heading1Char"/>
          <w:rFonts w:ascii="Times New Roman" w:hAnsi="Times New Roman" w:cs="Times New Roman"/>
          <w:b/>
          <w:bCs/>
          <w:color w:val="000000" w:themeColor="text1"/>
          <w:sz w:val="24"/>
          <w:szCs w:val="24"/>
        </w:rPr>
        <w:t xml:space="preserve"> </w:t>
      </w:r>
      <w:r w:rsidR="00160E9C" w:rsidRPr="00635AB0">
        <w:rPr>
          <w:rStyle w:val="Heading1Char"/>
          <w:rFonts w:ascii="Times New Roman" w:hAnsi="Times New Roman" w:cs="Times New Roman"/>
          <w:b/>
          <w:bCs/>
          <w:color w:val="000000" w:themeColor="text1"/>
          <w:sz w:val="24"/>
          <w:szCs w:val="24"/>
        </w:rPr>
        <w:t>Finding</w:t>
      </w:r>
      <w:bookmarkEnd w:id="4"/>
    </w:p>
    <w:p w14:paraId="34A3728E" w14:textId="77777777" w:rsidR="00763D1C" w:rsidRPr="00763D1C" w:rsidRDefault="00763D1C" w:rsidP="00763D1C">
      <w:pPr>
        <w:spacing w:line="480" w:lineRule="auto"/>
        <w:rPr>
          <w:rFonts w:ascii="Times New Roman" w:hAnsi="Times New Roman" w:cs="Times New Roman"/>
          <w:color w:val="000000" w:themeColor="text1"/>
          <w:szCs w:val="24"/>
        </w:rPr>
      </w:pPr>
      <w:bookmarkStart w:id="5" w:name="_Toc221200719"/>
      <w:r w:rsidRPr="00763D1C">
        <w:rPr>
          <w:rFonts w:ascii="Times New Roman" w:hAnsi="Times New Roman" w:cs="Times New Roman"/>
          <w:color w:val="000000" w:themeColor="text1"/>
          <w:szCs w:val="24"/>
        </w:rPr>
        <w:t>The analysis of legal literature, statutory frameworks, and case law reveals that contract law plays a central and indispensable role in regulating relationships within the tourism industry. The findings indicate that tourism transactions are overwhelmingly contractual and that disputes frequently arise due to ambiguity, imbalance of power, and failure to meet contractual obligations. These findings are discussed under key thematic areas derived from the doctrinal analysis.</w:t>
      </w:r>
    </w:p>
    <w:p w14:paraId="7D6E7BFC"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Prevalence of Standard-Form Contracts in Tourism</w:t>
      </w:r>
    </w:p>
    <w:p w14:paraId="129780EA"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One of the most significant findings is the widespread use of standard-form contracts across the tourism sector. Airlines, hotels, online travel agencies, and tour operators commonly rely on pre-drafted contractual terms to govern transactions. While these contracts enhance operational efficiency and reduce administrative costs for service providers, the literature indicates that they often place consumers at a disadvantage due to limited opportunity for negotiation (Poole, 2020). Courts and regulators have increasingly scrutinised such contracts, particularly where terms are complex, unclear, or disproportionately favour service providers.</w:t>
      </w:r>
    </w:p>
    <w:p w14:paraId="593948FA"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Frequent Breaches Related to Performance and Misrepresentation</w:t>
      </w:r>
    </w:p>
    <w:p w14:paraId="05B192F7"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The findings show that a large proportion of tourism contract disputes arise from failure to perform services as promised. Common examples include cancelled flights, downgraded accommodation, misleading advertising, and incomplete delivery of package tours. In many cases, courts have found that promotional materials and online descriptions form part of the contractual offer, making service providers legally accountable for inaccuracies (Dickerson, 2021). This highlights the legal significance of representations made prior to contract formation.</w:t>
      </w:r>
    </w:p>
    <w:p w14:paraId="085FAFAD"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lastRenderedPageBreak/>
        <w:t>Imbalance of Rights and Obligations</w:t>
      </w:r>
    </w:p>
    <w:p w14:paraId="59E33E30"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Another key finding is the imbalance between the rights and obligations of tourism service providers and consumers. Service providers often include limitation of liability clauses, strict cancellation policies, and exclusion clauses within contracts. While such clauses aim to manage commercial risk, legal analysis reveals that courts frequently invalidate them when they are deemed unfair, unclear, or contrary to consumer protection laws (European Commission, 2022). This demonstrates a judicial trend towards safeguarding consumer interests, particularly in mass tourism markets.</w:t>
      </w:r>
    </w:p>
    <w:p w14:paraId="7DD59612"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Importance of Implied Contractual Terms</w:t>
      </w:r>
    </w:p>
    <w:p w14:paraId="05EB1A31"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The research identifies implied terms as a crucial mechanism for protecting tourists. Even when contracts do not explicitly state obligations related to safety, quality, or reasonable care, courts often imply such terms to ensure fairness and accountability. Findings from case law analysis indicate that implied terms have been instrumental in holding tourism operators liable in situations involving unsafe facilities or inadequate service standards (Poole, 2020). This reinforces the protective function of contract law in tourism.</w:t>
      </w:r>
    </w:p>
    <w:p w14:paraId="275881C6"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Regulatory Influence on Tourism Contracts</w:t>
      </w:r>
    </w:p>
    <w:p w14:paraId="097756B5"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 xml:space="preserve">The findings further demonstrate that regulatory frameworks significantly shape tourism contracts. The EU Package Travel Directive, for example, imposes strict obligations on tour organisers, making them responsible for the overall performance of package holidays regardless of third-party involvement. This has strengthened consumer rights related to refunds, compensation, and assistance during disruptions (European Commission, 2022). Such </w:t>
      </w:r>
      <w:r w:rsidRPr="00763D1C">
        <w:rPr>
          <w:rFonts w:ascii="Times New Roman" w:hAnsi="Times New Roman" w:cs="Times New Roman"/>
          <w:color w:val="000000" w:themeColor="text1"/>
          <w:szCs w:val="24"/>
        </w:rPr>
        <w:lastRenderedPageBreak/>
        <w:t>regulations have reduced legal uncertainty and improved accountability across the tourism supply chain.</w:t>
      </w:r>
    </w:p>
    <w:p w14:paraId="4246260F"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Growth of Dispute Resolution Mechanisms</w:t>
      </w:r>
    </w:p>
    <w:p w14:paraId="182EF228"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The analysis also reveals an increasing reliance on alternative dispute resolution (ADR) mechanisms in tourism contracts. Arbitration and mediation clauses are commonly embedded in international travel agreements. While ADR offers efficiency and cost-effectiveness, findings indicate concerns regarding accessibility and fairness, particularly when consumers are required to resolve disputes in foreign jurisdictions (Dickerson, 2021). This raises questions about procedural justice and informed consent in tourism contracts.</w:t>
      </w:r>
    </w:p>
    <w:p w14:paraId="5C0CA0CD"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Impact of External Events on Contractual Stability</w:t>
      </w:r>
    </w:p>
    <w:p w14:paraId="6B81C21F"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Finally, the findings highlight how external events, such as global health crises, significantly impact tourism contracts. The COVID-19 pandemic exposed weaknesses in contractual risk allocation, particularly regarding cancellations and refunds. Courts and regulators adopted varied interpretations of force majeure and frustration doctrines, emphasising the need for clearer contractual drafting and equitable risk sharing (Poole, 2020).</w:t>
      </w:r>
    </w:p>
    <w:p w14:paraId="227D6D90"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0F7E0727"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1E57F87D"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6F116D5F"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649559CB"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0CD9F296"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1AC31556" w14:textId="77777777" w:rsidR="00825AA5" w:rsidRPr="00635AB0" w:rsidRDefault="00496E55" w:rsidP="00825AA5">
      <w:pPr>
        <w:spacing w:line="480" w:lineRule="auto"/>
        <w:rPr>
          <w:rFonts w:ascii="Times New Roman" w:hAnsi="Times New Roman" w:cs="Times New Roman"/>
          <w:color w:val="000000" w:themeColor="text1"/>
          <w:szCs w:val="24"/>
        </w:rPr>
      </w:pPr>
      <w:r w:rsidRPr="00635AB0">
        <w:rPr>
          <w:rStyle w:val="Heading1Char"/>
          <w:rFonts w:ascii="Times New Roman" w:hAnsi="Times New Roman" w:cs="Times New Roman"/>
          <w:b/>
          <w:bCs/>
          <w:color w:val="000000" w:themeColor="text1"/>
          <w:sz w:val="24"/>
          <w:szCs w:val="24"/>
        </w:rPr>
        <w:lastRenderedPageBreak/>
        <w:t>5</w:t>
      </w:r>
      <w:r w:rsidR="00F11085" w:rsidRPr="00635AB0">
        <w:rPr>
          <w:rStyle w:val="Heading1Char"/>
          <w:rFonts w:ascii="Times New Roman" w:hAnsi="Times New Roman" w:cs="Times New Roman"/>
          <w:b/>
          <w:bCs/>
          <w:color w:val="000000" w:themeColor="text1"/>
          <w:sz w:val="24"/>
          <w:szCs w:val="24"/>
        </w:rPr>
        <w:t>. Discussion</w:t>
      </w:r>
      <w:bookmarkEnd w:id="5"/>
      <w:r w:rsidR="00F11085" w:rsidRPr="00635AB0">
        <w:rPr>
          <w:rFonts w:ascii="Times New Roman" w:hAnsi="Times New Roman" w:cs="Times New Roman"/>
          <w:color w:val="000000" w:themeColor="text1"/>
          <w:szCs w:val="24"/>
        </w:rPr>
        <w:t xml:space="preserve"> </w:t>
      </w:r>
      <w:r w:rsidR="00F11085" w:rsidRPr="00635AB0">
        <w:rPr>
          <w:rFonts w:ascii="Times New Roman" w:hAnsi="Times New Roman" w:cs="Times New Roman"/>
          <w:color w:val="000000" w:themeColor="text1"/>
          <w:szCs w:val="24"/>
        </w:rPr>
        <w:br/>
      </w:r>
      <w:r w:rsidR="00825AA5" w:rsidRPr="00635AB0">
        <w:rPr>
          <w:rFonts w:ascii="Times New Roman" w:hAnsi="Times New Roman" w:cs="Times New Roman"/>
          <w:color w:val="000000" w:themeColor="text1"/>
          <w:szCs w:val="24"/>
        </w:rPr>
        <w:t>The findings of this study reaffirm the central role of contract law in structuring and regulating relationships within the tourism industry. When interpreted alongside existing literature, the results demonstrate that contract law not only facilitates commercial efficiency but also serves as a critical mechanism for consumer protection in an industry characterised by advance payments, service uncertainty, and cross-border transactions (Dickerson, 2021). The discussion below critically evaluates these findings in relation to established legal principles and scholarly debates.</w:t>
      </w:r>
    </w:p>
    <w:p w14:paraId="49164BE0"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A key issue highlighted in the findings is the dominance of standard-form contracts in tourism. While scholars acknowledge that such contracts are necessary for operational efficiency, their widespread use raises concerns about inequality of bargaining power between consumers and service providers (Poole, 2020). This imbalance is particularly evident in online booking environments, where consumers often accept terms without fully understanding their implications. The findings support the view that judicial intervention and regulatory oversight are essential to ensure fairness, aligning with previous studies that emphasise the protective function of contract law in mass tourism markets (European Commission, 2022).</w:t>
      </w:r>
    </w:p>
    <w:p w14:paraId="77699CB9"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The findings relating to breaches of contract due to non-performance and misrepresentation further illustrate the practical relevance of contract law. Promotional materials, online descriptions, and advertised amenities increasingly form part of the contractual offer, reinforcing service providers’ legal accountability. This supports Dickerson’s (2021) argument that modern tourism contracts extend beyond written terms to include pre-contractual representations. From a legal perspective, this development strengthens consumer rights but also increases compliance obligations for tourism businesses, requiring greater accuracy and transparency in marketing practices.</w:t>
      </w:r>
    </w:p>
    <w:p w14:paraId="29AE68EF"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lastRenderedPageBreak/>
        <w:t>Another significant area of discussion concerns the use of exclusion and limitation of liability clauses. While such clauses are intended to manage commercial risk, the findings indicate that courts frequently invalidate them when they conflict with consumer protection principles. This reflects a broader legal trend towards prioritising substantive fairness over strict contractual freedom (Poole, 2020). The implication is that tourism operators must carefully draft contractual terms to balance risk management with legal enforceability, particularly in jurisdictions with strong consumer protection regimes.</w:t>
      </w:r>
    </w:p>
    <w:p w14:paraId="22FC58E4"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The role of implied terms also warrants critical discussion. The findings demonstrate that implied obligations relating to safety, quality, and reasonable care have played a crucial role in addressing gaps within express contracts. This supports scholarly arguments that implied terms function as corrective tools, ensuring that contractual relationships remain fair even when express terms are inadequate (Dickerson, 2021). In the tourism context, where consumer safety is paramount, the judicial willingness to imply such terms enhances accountability and promotes higher service standards.</w:t>
      </w:r>
    </w:p>
    <w:p w14:paraId="45EAE1EB"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Regulatory frameworks, particularly the EU Package Travel Directive, emerge as a transformative influence on tourism contracts. The findings confirm that regulatory intervention has significantly strengthened consumer rights by imposing clear responsibilities on tour organisers. This aligns with academic literature advocating for harmonised legal standards to address the fragmented nature of tourism supply chains (European Commission, 2022). However, the discussion also highlights challenges in implementation, especially for small and medium-sized tourism enterprises facing increased compliance costs.</w:t>
      </w:r>
    </w:p>
    <w:p w14:paraId="5EE9CBF6"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 xml:space="preserve">The growing reliance on alternative dispute resolution mechanisms presents another important area of discussion. While ADR offers efficiency and reduces litigation costs, concerns remain </w:t>
      </w:r>
      <w:r w:rsidRPr="00825AA5">
        <w:rPr>
          <w:rFonts w:ascii="Times New Roman" w:hAnsi="Times New Roman" w:cs="Times New Roman"/>
          <w:color w:val="000000" w:themeColor="text1"/>
          <w:szCs w:val="24"/>
        </w:rPr>
        <w:lastRenderedPageBreak/>
        <w:t>regarding transparency and accessibility for consumers. Mandatory arbitration clauses, particularly in international tourism contracts, may restrict consumers’ ability to seek redress through courts (Bennett &amp; Baird, 2018). This raises critical questions about informed consent and procedural fairness, suggesting the need for clearer regulatory safeguards.</w:t>
      </w:r>
    </w:p>
    <w:p w14:paraId="4A42832B"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Finally, the impact of external disruptions such as the COVID-19 pandemic underscores the limitations of traditional contractual frameworks in tourism. The varied judicial responses to cancellations and refunds reveal inconsistencies in the application of doctrines such as force majeure and frustration. This discussion supports calls within the literature for clearer contractual drafting and more equitable risk allocation mechanisms to enhance resilience in the tourism industry (Poole, 2020).</w:t>
      </w:r>
    </w:p>
    <w:p w14:paraId="74AEEA8D"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Overall, the discussion demonstrates that while contract law remains fundamental to tourism governance, its effectiveness depends on continuous adaptation to evolving market practices, technological change, and global disruptions.</w:t>
      </w:r>
    </w:p>
    <w:p w14:paraId="0087A4A1" w14:textId="75690C92" w:rsidR="002F73F5" w:rsidRPr="00635AB0" w:rsidRDefault="002F73F5" w:rsidP="002F73F5">
      <w:pPr>
        <w:spacing w:line="480" w:lineRule="auto"/>
        <w:rPr>
          <w:rFonts w:ascii="Times New Roman" w:hAnsi="Times New Roman" w:cs="Times New Roman"/>
          <w:color w:val="000000" w:themeColor="text1"/>
          <w:szCs w:val="24"/>
        </w:rPr>
      </w:pPr>
    </w:p>
    <w:p w14:paraId="1EC72906" w14:textId="77777777" w:rsidR="00825AA5" w:rsidRPr="00635AB0" w:rsidRDefault="00825AA5" w:rsidP="002F73F5">
      <w:pPr>
        <w:spacing w:line="480" w:lineRule="auto"/>
        <w:rPr>
          <w:rFonts w:ascii="Times New Roman" w:hAnsi="Times New Roman" w:cs="Times New Roman"/>
          <w:color w:val="000000" w:themeColor="text1"/>
          <w:szCs w:val="24"/>
        </w:rPr>
      </w:pPr>
    </w:p>
    <w:p w14:paraId="428CD55F" w14:textId="77777777" w:rsidR="00825AA5" w:rsidRPr="00635AB0" w:rsidRDefault="00825AA5" w:rsidP="002F73F5">
      <w:pPr>
        <w:spacing w:line="480" w:lineRule="auto"/>
        <w:rPr>
          <w:rFonts w:ascii="Times New Roman" w:hAnsi="Times New Roman" w:cs="Times New Roman"/>
          <w:color w:val="000000" w:themeColor="text1"/>
          <w:szCs w:val="24"/>
        </w:rPr>
      </w:pPr>
    </w:p>
    <w:p w14:paraId="1C269F19" w14:textId="77777777" w:rsidR="00825AA5" w:rsidRPr="00635AB0" w:rsidRDefault="00825AA5" w:rsidP="002F73F5">
      <w:pPr>
        <w:spacing w:line="480" w:lineRule="auto"/>
        <w:rPr>
          <w:rFonts w:ascii="Times New Roman" w:hAnsi="Times New Roman" w:cs="Times New Roman"/>
          <w:color w:val="000000" w:themeColor="text1"/>
          <w:szCs w:val="24"/>
        </w:rPr>
      </w:pPr>
    </w:p>
    <w:p w14:paraId="1FF13E4C" w14:textId="77777777" w:rsidR="00825AA5" w:rsidRPr="00635AB0" w:rsidRDefault="00825AA5" w:rsidP="002F73F5">
      <w:pPr>
        <w:spacing w:line="480" w:lineRule="auto"/>
        <w:rPr>
          <w:rFonts w:ascii="Times New Roman" w:hAnsi="Times New Roman" w:cs="Times New Roman"/>
          <w:color w:val="000000" w:themeColor="text1"/>
          <w:szCs w:val="24"/>
        </w:rPr>
      </w:pPr>
    </w:p>
    <w:p w14:paraId="69E9907A" w14:textId="77777777" w:rsidR="002F73F5" w:rsidRPr="00635AB0" w:rsidRDefault="002F73F5" w:rsidP="002F73F5">
      <w:pPr>
        <w:spacing w:line="480" w:lineRule="auto"/>
        <w:rPr>
          <w:rFonts w:ascii="Times New Roman" w:hAnsi="Times New Roman" w:cs="Times New Roman"/>
          <w:color w:val="000000" w:themeColor="text1"/>
          <w:szCs w:val="24"/>
        </w:rPr>
      </w:pPr>
    </w:p>
    <w:p w14:paraId="650F133F" w14:textId="77777777" w:rsidR="00030EF9" w:rsidRPr="00635AB0" w:rsidRDefault="00EB264E" w:rsidP="00030EF9">
      <w:pPr>
        <w:spacing w:line="480" w:lineRule="auto"/>
        <w:rPr>
          <w:rFonts w:ascii="Times New Roman" w:hAnsi="Times New Roman" w:cs="Times New Roman"/>
          <w:color w:val="000000" w:themeColor="text1"/>
          <w:szCs w:val="24"/>
        </w:rPr>
      </w:pPr>
      <w:bookmarkStart w:id="6" w:name="_Toc221200720"/>
      <w:r w:rsidRPr="00635AB0">
        <w:rPr>
          <w:rStyle w:val="Heading1Char"/>
          <w:rFonts w:ascii="Times New Roman" w:hAnsi="Times New Roman" w:cs="Times New Roman"/>
          <w:b/>
          <w:bCs/>
          <w:color w:val="000000" w:themeColor="text1"/>
          <w:sz w:val="24"/>
          <w:szCs w:val="24"/>
        </w:rPr>
        <w:t>6</w:t>
      </w:r>
      <w:r w:rsidR="00F11085" w:rsidRPr="00635AB0">
        <w:rPr>
          <w:rStyle w:val="Heading1Char"/>
          <w:rFonts w:ascii="Times New Roman" w:hAnsi="Times New Roman" w:cs="Times New Roman"/>
          <w:b/>
          <w:bCs/>
          <w:color w:val="000000" w:themeColor="text1"/>
          <w:sz w:val="24"/>
          <w:szCs w:val="24"/>
        </w:rPr>
        <w:t>. Conclusion</w:t>
      </w:r>
      <w:bookmarkEnd w:id="6"/>
      <w:r w:rsidR="00F11085" w:rsidRPr="00635AB0">
        <w:rPr>
          <w:rFonts w:ascii="Times New Roman" w:hAnsi="Times New Roman" w:cs="Times New Roman"/>
          <w:b/>
          <w:bCs/>
          <w:color w:val="000000" w:themeColor="text1"/>
          <w:szCs w:val="24"/>
        </w:rPr>
        <w:t xml:space="preserve"> </w:t>
      </w:r>
      <w:r w:rsidR="00F11085" w:rsidRPr="00635AB0">
        <w:rPr>
          <w:rFonts w:ascii="Times New Roman" w:hAnsi="Times New Roman" w:cs="Times New Roman"/>
          <w:color w:val="000000" w:themeColor="text1"/>
          <w:szCs w:val="24"/>
        </w:rPr>
        <w:br/>
      </w:r>
      <w:r w:rsidR="00030EF9" w:rsidRPr="00635AB0">
        <w:rPr>
          <w:rFonts w:ascii="Times New Roman" w:hAnsi="Times New Roman" w:cs="Times New Roman"/>
          <w:color w:val="000000" w:themeColor="text1"/>
          <w:szCs w:val="24"/>
        </w:rPr>
        <w:t xml:space="preserve">This assignment has examined the role of contract law in the tourism industry, demonstrating </w:t>
      </w:r>
      <w:r w:rsidR="00030EF9" w:rsidRPr="00635AB0">
        <w:rPr>
          <w:rFonts w:ascii="Times New Roman" w:hAnsi="Times New Roman" w:cs="Times New Roman"/>
          <w:color w:val="000000" w:themeColor="text1"/>
          <w:szCs w:val="24"/>
        </w:rPr>
        <w:lastRenderedPageBreak/>
        <w:t>that contractual relationships form the legal foundation upon which tourism services are delivered and regulated. Given the service-based, pre-paid, and often cross-border nature of tourism transactions, contract law is essential in ensuring certainty, accountability, and fairness between service providers and consumers. The analysis has shown that core contractual principles—such as offer, acceptance, consideration, and intention to create legal relations—are central to the formation and enforceability of tourism agreements.</w:t>
      </w:r>
    </w:p>
    <w:p w14:paraId="0E623912" w14:textId="77777777" w:rsidR="00030EF9" w:rsidRPr="00030EF9" w:rsidRDefault="00030EF9" w:rsidP="00030EF9">
      <w:pPr>
        <w:spacing w:line="480" w:lineRule="auto"/>
        <w:rPr>
          <w:rFonts w:ascii="Times New Roman" w:hAnsi="Times New Roman" w:cs="Times New Roman"/>
          <w:color w:val="000000" w:themeColor="text1"/>
          <w:szCs w:val="24"/>
        </w:rPr>
      </w:pPr>
      <w:r w:rsidRPr="00030EF9">
        <w:rPr>
          <w:rFonts w:ascii="Times New Roman" w:hAnsi="Times New Roman" w:cs="Times New Roman"/>
          <w:color w:val="000000" w:themeColor="text1"/>
          <w:szCs w:val="24"/>
        </w:rPr>
        <w:t>The findings and discussion highlight that while standard-form contracts enhance efficiency within the tourism sector, they frequently create imbalances of power that necessitate judicial and regulatory intervention. Contract law, supported by consumer protection legislation and regulatory frameworks such as the EU Package Travel Directive, plays a critical role in addressing unfair terms, misrepresentation, and breaches of contract. Furthermore, the use of implied terms and remedies such as damages and refunds reinforces consumer protection and promotes higher service standards.</w:t>
      </w:r>
    </w:p>
    <w:p w14:paraId="69343191" w14:textId="77777777" w:rsidR="00030EF9" w:rsidRPr="00030EF9" w:rsidRDefault="00030EF9" w:rsidP="00030EF9">
      <w:pPr>
        <w:spacing w:line="480" w:lineRule="auto"/>
        <w:rPr>
          <w:rFonts w:ascii="Times New Roman" w:hAnsi="Times New Roman" w:cs="Times New Roman"/>
          <w:color w:val="000000" w:themeColor="text1"/>
          <w:szCs w:val="24"/>
        </w:rPr>
      </w:pPr>
      <w:r w:rsidRPr="00030EF9">
        <w:rPr>
          <w:rFonts w:ascii="Times New Roman" w:hAnsi="Times New Roman" w:cs="Times New Roman"/>
          <w:color w:val="000000" w:themeColor="text1"/>
          <w:szCs w:val="24"/>
        </w:rPr>
        <w:t>Overall, the study confirms that contract law is not merely a commercial tool but a vital mechanism for safeguarding consumer rights, maintaining trust, and ensuring the sustainable operation of the tourism industry. As tourism continues to evolve through digitalisation and global disruptions, contract law must adapt to remain effective and equitable.</w:t>
      </w:r>
    </w:p>
    <w:p w14:paraId="7A3B17D3" w14:textId="125E7333" w:rsidR="002F73F5" w:rsidRPr="00635AB0" w:rsidRDefault="002F73F5" w:rsidP="00030EF9">
      <w:pPr>
        <w:spacing w:line="480" w:lineRule="auto"/>
        <w:rPr>
          <w:rFonts w:ascii="Times New Roman" w:hAnsi="Times New Roman" w:cs="Times New Roman"/>
          <w:color w:val="000000" w:themeColor="text1"/>
          <w:szCs w:val="24"/>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3B24A22F" w14:textId="77777777" w:rsidR="00092BBD" w:rsidRPr="00635AB0" w:rsidRDefault="00092BBD" w:rsidP="00013DBD">
      <w:pPr>
        <w:spacing w:line="480" w:lineRule="auto"/>
        <w:rPr>
          <w:rFonts w:ascii="Times New Roman" w:hAnsi="Times New Roman" w:cs="Times New Roman"/>
          <w:color w:val="000000" w:themeColor="text1"/>
          <w:szCs w:val="24"/>
          <w:lang w:val="en-US"/>
        </w:rPr>
      </w:pPr>
    </w:p>
    <w:p w14:paraId="0881047A" w14:textId="7810E1B7" w:rsidR="004D7D13" w:rsidRPr="00635AB0" w:rsidRDefault="004D7D13" w:rsidP="00013DBD">
      <w:pPr>
        <w:pStyle w:val="Heading1"/>
        <w:spacing w:line="480" w:lineRule="auto"/>
        <w:rPr>
          <w:rFonts w:ascii="Times New Roman" w:hAnsi="Times New Roman" w:cs="Times New Roman"/>
          <w:b/>
          <w:bCs/>
          <w:color w:val="000000" w:themeColor="text1"/>
          <w:sz w:val="24"/>
          <w:szCs w:val="24"/>
        </w:rPr>
      </w:pPr>
      <w:bookmarkStart w:id="7" w:name="_Toc221200721"/>
      <w:r w:rsidRPr="00635AB0">
        <w:rPr>
          <w:rFonts w:ascii="Times New Roman" w:hAnsi="Times New Roman" w:cs="Times New Roman"/>
          <w:b/>
          <w:bCs/>
          <w:color w:val="000000" w:themeColor="text1"/>
          <w:sz w:val="24"/>
          <w:szCs w:val="24"/>
        </w:rPr>
        <w:lastRenderedPageBreak/>
        <w:t>Reference List</w:t>
      </w:r>
      <w:bookmarkEnd w:id="7"/>
      <w:r w:rsidRPr="00635AB0">
        <w:rPr>
          <w:rFonts w:ascii="Times New Roman" w:hAnsi="Times New Roman" w:cs="Times New Roman"/>
          <w:b/>
          <w:bCs/>
          <w:color w:val="000000" w:themeColor="text1"/>
          <w:sz w:val="24"/>
          <w:szCs w:val="24"/>
        </w:rPr>
        <w:t xml:space="preserve"> </w:t>
      </w:r>
    </w:p>
    <w:p w14:paraId="0A72BA34"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Bennett, M., &amp; Baird, S. (2018). </w:t>
      </w:r>
      <w:r w:rsidRPr="00635AB0">
        <w:rPr>
          <w:rFonts w:ascii="Times New Roman" w:hAnsi="Times New Roman" w:cs="Times New Roman"/>
          <w:i/>
          <w:iCs/>
          <w:color w:val="000000" w:themeColor="text1"/>
          <w:szCs w:val="24"/>
        </w:rPr>
        <w:t>Consumer law and policy in the digital marketplace</w:t>
      </w:r>
      <w:r w:rsidRPr="00635AB0">
        <w:rPr>
          <w:rFonts w:ascii="Times New Roman" w:hAnsi="Times New Roman" w:cs="Times New Roman"/>
          <w:color w:val="000000" w:themeColor="text1"/>
          <w:szCs w:val="24"/>
        </w:rPr>
        <w:t>. Cambridge University Press.</w:t>
      </w:r>
    </w:p>
    <w:p w14:paraId="6E5E087F"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Dickerson, T. A. (2021). </w:t>
      </w:r>
      <w:r w:rsidRPr="00635AB0">
        <w:rPr>
          <w:rFonts w:ascii="Times New Roman" w:hAnsi="Times New Roman" w:cs="Times New Roman"/>
          <w:i/>
          <w:iCs/>
          <w:color w:val="000000" w:themeColor="text1"/>
          <w:szCs w:val="24"/>
        </w:rPr>
        <w:t>Travel law</w:t>
      </w:r>
      <w:r w:rsidRPr="00635AB0">
        <w:rPr>
          <w:rFonts w:ascii="Times New Roman" w:hAnsi="Times New Roman" w:cs="Times New Roman"/>
          <w:color w:val="000000" w:themeColor="text1"/>
          <w:szCs w:val="24"/>
        </w:rPr>
        <w:t xml:space="preserve"> (7th ed.). Law Journal Press.</w:t>
      </w:r>
    </w:p>
    <w:p w14:paraId="2878E567"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European Commission. (2022). </w:t>
      </w:r>
      <w:r w:rsidRPr="00635AB0">
        <w:rPr>
          <w:rFonts w:ascii="Times New Roman" w:hAnsi="Times New Roman" w:cs="Times New Roman"/>
          <w:i/>
          <w:iCs/>
          <w:color w:val="000000" w:themeColor="text1"/>
          <w:szCs w:val="24"/>
        </w:rPr>
        <w:t>Guidance on the interpretation and application of Directive (EU) 2015/2302 on package travel</w:t>
      </w:r>
      <w:r w:rsidRPr="00635AB0">
        <w:rPr>
          <w:rFonts w:ascii="Times New Roman" w:hAnsi="Times New Roman" w:cs="Times New Roman"/>
          <w:color w:val="000000" w:themeColor="text1"/>
          <w:szCs w:val="24"/>
        </w:rPr>
        <w:t xml:space="preserve">. </w:t>
      </w:r>
      <w:hyperlink r:id="rId7" w:tgtFrame="_new" w:history="1">
        <w:r w:rsidRPr="00635AB0">
          <w:rPr>
            <w:rStyle w:val="Hyperlink"/>
            <w:rFonts w:ascii="Times New Roman" w:hAnsi="Times New Roman" w:cs="Times New Roman"/>
            <w:szCs w:val="24"/>
          </w:rPr>
          <w:t>https://commission.europa.eu</w:t>
        </w:r>
      </w:hyperlink>
    </w:p>
    <w:p w14:paraId="41055E3C"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Hudson, S., &amp; Hudson, L. (2017). </w:t>
      </w:r>
      <w:r w:rsidRPr="00635AB0">
        <w:rPr>
          <w:rFonts w:ascii="Times New Roman" w:hAnsi="Times New Roman" w:cs="Times New Roman"/>
          <w:i/>
          <w:iCs/>
          <w:color w:val="000000" w:themeColor="text1"/>
          <w:szCs w:val="24"/>
        </w:rPr>
        <w:t>Marketing for tourism, hospitality and events: A global and digital approach</w:t>
      </w:r>
      <w:r w:rsidRPr="00635AB0">
        <w:rPr>
          <w:rFonts w:ascii="Times New Roman" w:hAnsi="Times New Roman" w:cs="Times New Roman"/>
          <w:color w:val="000000" w:themeColor="text1"/>
          <w:szCs w:val="24"/>
        </w:rPr>
        <w:t>. SAGE Publications.</w:t>
      </w:r>
    </w:p>
    <w:p w14:paraId="05FCF805"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McConville, M., &amp; Chui, W. H. (2017). </w:t>
      </w:r>
      <w:r w:rsidRPr="00635AB0">
        <w:rPr>
          <w:rFonts w:ascii="Times New Roman" w:hAnsi="Times New Roman" w:cs="Times New Roman"/>
          <w:i/>
          <w:iCs/>
          <w:color w:val="000000" w:themeColor="text1"/>
          <w:szCs w:val="24"/>
        </w:rPr>
        <w:t>Research methods for law</w:t>
      </w:r>
      <w:r w:rsidRPr="00635AB0">
        <w:rPr>
          <w:rFonts w:ascii="Times New Roman" w:hAnsi="Times New Roman" w:cs="Times New Roman"/>
          <w:color w:val="000000" w:themeColor="text1"/>
          <w:szCs w:val="24"/>
        </w:rPr>
        <w:t xml:space="preserve"> (2nd ed.). Edinburgh University Press.</w:t>
      </w:r>
    </w:p>
    <w:p w14:paraId="54C39196"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Poole, J. (2020). </w:t>
      </w:r>
      <w:r w:rsidRPr="00635AB0">
        <w:rPr>
          <w:rFonts w:ascii="Times New Roman" w:hAnsi="Times New Roman" w:cs="Times New Roman"/>
          <w:i/>
          <w:iCs/>
          <w:color w:val="000000" w:themeColor="text1"/>
          <w:szCs w:val="24"/>
        </w:rPr>
        <w:t>Textbook on contract law</w:t>
      </w:r>
      <w:r w:rsidRPr="00635AB0">
        <w:rPr>
          <w:rFonts w:ascii="Times New Roman" w:hAnsi="Times New Roman" w:cs="Times New Roman"/>
          <w:color w:val="000000" w:themeColor="text1"/>
          <w:szCs w:val="24"/>
        </w:rPr>
        <w:t xml:space="preserve"> (15th ed.). Oxford University Press.</w:t>
      </w:r>
    </w:p>
    <w:p w14:paraId="6DB5030D"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Ruhl, J. B. (2020). Contracting in the digital age: Implications for consumer protection. </w:t>
      </w:r>
      <w:r w:rsidRPr="00635AB0">
        <w:rPr>
          <w:rFonts w:ascii="Times New Roman" w:hAnsi="Times New Roman" w:cs="Times New Roman"/>
          <w:i/>
          <w:iCs/>
          <w:color w:val="000000" w:themeColor="text1"/>
          <w:szCs w:val="24"/>
        </w:rPr>
        <w:t>Journal of Consumer Policy</w:t>
      </w:r>
      <w:r w:rsidRPr="00635AB0">
        <w:rPr>
          <w:rFonts w:ascii="Times New Roman" w:hAnsi="Times New Roman" w:cs="Times New Roman"/>
          <w:color w:val="000000" w:themeColor="text1"/>
          <w:szCs w:val="24"/>
        </w:rPr>
        <w:t>, 43(2), 245–266. https://doi.org/10.1007/s10603-020-09445-1</w:t>
      </w:r>
    </w:p>
    <w:p w14:paraId="54430893"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Sharpley, R. (2018). Tourism, tourists and society (5th ed.). </w:t>
      </w:r>
      <w:r w:rsidRPr="00635AB0">
        <w:rPr>
          <w:rFonts w:ascii="Times New Roman" w:hAnsi="Times New Roman" w:cs="Times New Roman"/>
          <w:i/>
          <w:iCs/>
          <w:color w:val="000000" w:themeColor="text1"/>
          <w:szCs w:val="24"/>
        </w:rPr>
        <w:t>Routledge</w:t>
      </w:r>
      <w:r w:rsidRPr="00635AB0">
        <w:rPr>
          <w:rFonts w:ascii="Times New Roman" w:hAnsi="Times New Roman" w:cs="Times New Roman"/>
          <w:color w:val="000000" w:themeColor="text1"/>
          <w:szCs w:val="24"/>
        </w:rPr>
        <w:t>.</w:t>
      </w:r>
    </w:p>
    <w:p w14:paraId="2AACDD2D"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Smith, S. L. J. (2015). </w:t>
      </w:r>
      <w:r w:rsidRPr="00635AB0">
        <w:rPr>
          <w:rFonts w:ascii="Times New Roman" w:hAnsi="Times New Roman" w:cs="Times New Roman"/>
          <w:i/>
          <w:iCs/>
          <w:color w:val="000000" w:themeColor="text1"/>
          <w:szCs w:val="24"/>
        </w:rPr>
        <w:t>Tourism analysis: A handbook</w:t>
      </w:r>
      <w:r w:rsidRPr="00635AB0">
        <w:rPr>
          <w:rFonts w:ascii="Times New Roman" w:hAnsi="Times New Roman" w:cs="Times New Roman"/>
          <w:color w:val="000000" w:themeColor="text1"/>
          <w:szCs w:val="24"/>
        </w:rPr>
        <w:t xml:space="preserve"> (2nd ed.). Routledge.</w:t>
      </w:r>
    </w:p>
    <w:p w14:paraId="44ADBECB"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United Nations World Tourism Organization. (2021). </w:t>
      </w:r>
      <w:r w:rsidRPr="00635AB0">
        <w:rPr>
          <w:rFonts w:ascii="Times New Roman" w:hAnsi="Times New Roman" w:cs="Times New Roman"/>
          <w:i/>
          <w:iCs/>
          <w:color w:val="000000" w:themeColor="text1"/>
          <w:szCs w:val="24"/>
        </w:rPr>
        <w:t>International code for the protection of tourists</w:t>
      </w:r>
      <w:r w:rsidRPr="00635AB0">
        <w:rPr>
          <w:rFonts w:ascii="Times New Roman" w:hAnsi="Times New Roman" w:cs="Times New Roman"/>
          <w:color w:val="000000" w:themeColor="text1"/>
          <w:szCs w:val="24"/>
        </w:rPr>
        <w:t xml:space="preserve">. </w:t>
      </w:r>
      <w:hyperlink r:id="rId8" w:tgtFrame="_new" w:history="1">
        <w:r w:rsidRPr="00635AB0">
          <w:rPr>
            <w:rStyle w:val="Hyperlink"/>
            <w:rFonts w:ascii="Times New Roman" w:hAnsi="Times New Roman" w:cs="Times New Roman"/>
            <w:szCs w:val="24"/>
          </w:rPr>
          <w:t>https://www.unwto.org</w:t>
        </w:r>
      </w:hyperlink>
    </w:p>
    <w:p w14:paraId="587D5B78"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Weatherill, S. (2020). </w:t>
      </w:r>
      <w:r w:rsidRPr="00635AB0">
        <w:rPr>
          <w:rFonts w:ascii="Times New Roman" w:hAnsi="Times New Roman" w:cs="Times New Roman"/>
          <w:i/>
          <w:iCs/>
          <w:color w:val="000000" w:themeColor="text1"/>
          <w:szCs w:val="24"/>
        </w:rPr>
        <w:t>EU consumer law and policy</w:t>
      </w:r>
      <w:r w:rsidRPr="00635AB0">
        <w:rPr>
          <w:rFonts w:ascii="Times New Roman" w:hAnsi="Times New Roman" w:cs="Times New Roman"/>
          <w:color w:val="000000" w:themeColor="text1"/>
          <w:szCs w:val="24"/>
        </w:rPr>
        <w:t xml:space="preserve"> (2nd ed.). Edward Elgar Publishing.</w:t>
      </w:r>
    </w:p>
    <w:p w14:paraId="18D123F1" w14:textId="77777777" w:rsidR="00F11085" w:rsidRPr="00635AB0" w:rsidRDefault="00F11085" w:rsidP="00E65C9D">
      <w:pPr>
        <w:spacing w:line="480" w:lineRule="auto"/>
        <w:rPr>
          <w:rFonts w:ascii="Times New Roman" w:hAnsi="Times New Roman" w:cs="Times New Roman"/>
          <w:color w:val="000000" w:themeColor="text1"/>
          <w:szCs w:val="24"/>
          <w:lang w:val="en-US"/>
        </w:rPr>
      </w:pPr>
    </w:p>
    <w:sectPr w:rsidR="00F11085" w:rsidRPr="00635A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2"/>
  </w:num>
  <w:num w:numId="32" w16cid:durableId="1795828787">
    <w:abstractNumId w:val="15"/>
  </w:num>
  <w:num w:numId="33" w16cid:durableId="13484050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0EF9"/>
    <w:rsid w:val="000318AA"/>
    <w:rsid w:val="000512A3"/>
    <w:rsid w:val="0009281E"/>
    <w:rsid w:val="00092BBD"/>
    <w:rsid w:val="000C4AFA"/>
    <w:rsid w:val="000D12EF"/>
    <w:rsid w:val="000E04F4"/>
    <w:rsid w:val="000E1A2C"/>
    <w:rsid w:val="00151724"/>
    <w:rsid w:val="00160E9C"/>
    <w:rsid w:val="00174C04"/>
    <w:rsid w:val="00183304"/>
    <w:rsid w:val="0018722F"/>
    <w:rsid w:val="001F1C7B"/>
    <w:rsid w:val="0023731E"/>
    <w:rsid w:val="00253A27"/>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35AB0"/>
    <w:rsid w:val="00654B4B"/>
    <w:rsid w:val="006640E0"/>
    <w:rsid w:val="00664D7C"/>
    <w:rsid w:val="006D483F"/>
    <w:rsid w:val="00714A73"/>
    <w:rsid w:val="007469A5"/>
    <w:rsid w:val="00763D1C"/>
    <w:rsid w:val="00770D56"/>
    <w:rsid w:val="007F2D81"/>
    <w:rsid w:val="00810849"/>
    <w:rsid w:val="00825AA5"/>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86E2A"/>
    <w:rsid w:val="00A22E5D"/>
    <w:rsid w:val="00A433D7"/>
    <w:rsid w:val="00A56F7D"/>
    <w:rsid w:val="00A63241"/>
    <w:rsid w:val="00A76B20"/>
    <w:rsid w:val="00AB5112"/>
    <w:rsid w:val="00AD05F9"/>
    <w:rsid w:val="00B02610"/>
    <w:rsid w:val="00B06124"/>
    <w:rsid w:val="00B425D9"/>
    <w:rsid w:val="00B6174C"/>
    <w:rsid w:val="00B75166"/>
    <w:rsid w:val="00BA1A47"/>
    <w:rsid w:val="00BD23A3"/>
    <w:rsid w:val="00BD4725"/>
    <w:rsid w:val="00BE2744"/>
    <w:rsid w:val="00BF0D10"/>
    <w:rsid w:val="00C1597C"/>
    <w:rsid w:val="00C82410"/>
    <w:rsid w:val="00CC17BF"/>
    <w:rsid w:val="00CE4EE4"/>
    <w:rsid w:val="00D1330E"/>
    <w:rsid w:val="00D16B77"/>
    <w:rsid w:val="00D33052"/>
    <w:rsid w:val="00D346FC"/>
    <w:rsid w:val="00D67892"/>
    <w:rsid w:val="00D74A74"/>
    <w:rsid w:val="00D84E95"/>
    <w:rsid w:val="00DD48B2"/>
    <w:rsid w:val="00DF3FD0"/>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tyles" Target="styles.xml"/><Relationship Id="rId7" Type="http://schemas.openxmlformats.org/officeDocument/2006/relationships/hyperlink" Target="https://commission.europ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5118</Words>
  <Characters>29177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2026-02-05T11:03:00Z</dcterms:created>
  <dcterms:modified xsi:type="dcterms:W3CDTF">2026-02-05T11:03:00Z</dcterms:modified>
</cp:coreProperties>
</file>