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3053E173" w14:textId="77777777" w:rsidR="00CC6688" w:rsidRPr="00CC6688" w:rsidRDefault="00CC6688" w:rsidP="00CC6688">
      <w:pPr>
        <w:spacing w:line="276" w:lineRule="auto"/>
        <w:rPr>
          <w:lang w:val="en-GB"/>
        </w:rPr>
      </w:pPr>
      <w:r w:rsidRPr="00CC6688">
        <w:rPr>
          <w:lang w:val="en-GB"/>
        </w:rPr>
        <w:t xml:space="preserve">Due to things like easier access to the market, increased global mobility, and the growth of digital platforms, the tourist business is very competitive. Although robust competition encourages efficiency and new ideas, some commercial strategies disrupt the market. There are two basic sorts of these practices: unlawful competition and unfair competition. The legal status, processes, and results of illicit competition differ. </w:t>
      </w:r>
      <w:r w:rsidRPr="00CC6688">
        <w:rPr>
          <w:lang w:val="en-GB"/>
        </w:rPr>
        <w:br/>
        <w:t xml:space="preserve">Anything that is manifestly prohibited and goes against the text of the law is deemed to be participating in illegitimate competition. Unlicensed operation of hotels, guesthouses, or tour services; refusal to pay taxes; violation of labour laws; and contempt for health, safety, or environmental norms are all examples of what is deemed criminal in the tourist sector. When guests stay in short-term rentals that don't adhere to zoning and safety regulations, they run the risk of inadequate fire safety precautions and insurance coverage, to name only two (Guttentag, 2015). These strategies weaken competition by enabling illegal businesses to undercut legal ones. </w:t>
      </w:r>
      <w:r w:rsidRPr="00CC6688">
        <w:rPr>
          <w:lang w:val="en-GB"/>
        </w:rPr>
        <w:br/>
        <w:t xml:space="preserve">Conversely, within the confines of legality, unfair competition comprises behaviours that manipulate the market or consumers by dishonest or immoral means. When it comes to tourism, there are a lot of frequent examples of false package descriptions, biased pricing algorithms, manipulated internet ratings, and phony sustainability pledges (greenwashing). These strategies take advantage of the fact that customers and enterprises have varying levels of knowledge, which is especially true in virtual arenas where confidence is crucial (Del Chiappa &amp; Baggio, 2015). </w:t>
      </w:r>
      <w:r w:rsidRPr="00CC6688">
        <w:rPr>
          <w:lang w:val="en-GB"/>
        </w:rPr>
        <w:br/>
        <w:t>There is a considerable contrast in the regulatory attitude between the two. To stop illegal competition, government inspections, licensing restrictions, and penalties are required. Rather than criminal punishment, self-regulatory mechanisms, consumer protection laws, and competition laws try to counteract unfair competition by disclosure, openness, and punishments for misbehaviour (</w:t>
      </w:r>
      <w:proofErr w:type="spellStart"/>
      <w:r w:rsidRPr="00CC6688">
        <w:rPr>
          <w:lang w:val="en-GB"/>
        </w:rPr>
        <w:t>Micklitz</w:t>
      </w:r>
      <w:proofErr w:type="spellEnd"/>
      <w:r w:rsidRPr="00CC6688">
        <w:rPr>
          <w:lang w:val="en-GB"/>
        </w:rPr>
        <w:t xml:space="preserve">, 2020). </w:t>
      </w:r>
      <w:r w:rsidRPr="00CC6688">
        <w:rPr>
          <w:lang w:val="en-GB"/>
        </w:rPr>
        <w:br/>
        <w:t>Their implications on destination governance and sustainability are another point of differentiation. Destination management is undercut by unlawful competition, which frequently results in overtourism, environmental damage, and a loss of public revenue. Ethical tourism operators, especially smaller and medium-sized firms without a strong marketing presence, suffer when customers lose faith in brands and unfair competition damages their reputation (</w:t>
      </w:r>
      <w:proofErr w:type="spellStart"/>
      <w:r w:rsidRPr="00CC6688">
        <w:rPr>
          <w:lang w:val="en-GB"/>
        </w:rPr>
        <w:t>Buhalis</w:t>
      </w:r>
      <w:proofErr w:type="spellEnd"/>
      <w:r w:rsidRPr="00CC6688">
        <w:rPr>
          <w:lang w:val="en-GB"/>
        </w:rPr>
        <w:t xml:space="preserve"> &amp; </w:t>
      </w:r>
      <w:proofErr w:type="spellStart"/>
      <w:r w:rsidRPr="00CC6688">
        <w:rPr>
          <w:lang w:val="en-GB"/>
        </w:rPr>
        <w:t>Sinarta</w:t>
      </w:r>
      <w:proofErr w:type="spellEnd"/>
      <w:r w:rsidRPr="00CC6688">
        <w:rPr>
          <w:lang w:val="en-GB"/>
        </w:rPr>
        <w:t xml:space="preserve">, 2019). </w:t>
      </w:r>
      <w:r w:rsidRPr="00CC6688">
        <w:rPr>
          <w:lang w:val="en-GB"/>
        </w:rPr>
        <w:br/>
        <w:t xml:space="preserve">With the rise of digital technology, competition in both sectors has heated up. There is increasing chance for unfair competition thanks of algorithm-driven pricing and review systems, and more informal tourism activities are being promoted by internet platforms, which has raised unlawful rivalry. International organizations like the World Tourism Organization stress the importance of updating rules to address these evolving challenges. </w:t>
      </w:r>
      <w:r w:rsidRPr="00CC6688">
        <w:rPr>
          <w:lang w:val="en-GB"/>
        </w:rPr>
        <w:br/>
        <w:t xml:space="preserve">Finally, in the tourist sector, unfair competition refers to misleading but largely legal practices that effect customer choice, but illicit competition is defined by unlawful acts that elude regulation. If we wish to develop tourist governance frameworks that foster </w:t>
      </w:r>
      <w:r w:rsidRPr="00CC6688">
        <w:rPr>
          <w:lang w:val="en-GB"/>
        </w:rPr>
        <w:lastRenderedPageBreak/>
        <w:t>sustainable destination growth, fair competition, and consumer protection, we must distinguish between the two.</w:t>
      </w:r>
    </w:p>
    <w:p w14:paraId="764B1657" w14:textId="77777777" w:rsidR="00104245" w:rsidRDefault="00104245" w:rsidP="00104245">
      <w:pPr>
        <w:spacing w:line="276" w:lineRule="auto"/>
        <w:rPr>
          <w:b/>
          <w:bCs/>
          <w:lang w:val="en-GB"/>
        </w:rPr>
      </w:pPr>
    </w:p>
    <w:p w14:paraId="098B7493" w14:textId="77777777" w:rsidR="00104245" w:rsidRDefault="00104245" w:rsidP="00104245">
      <w:pPr>
        <w:spacing w:line="276" w:lineRule="auto"/>
        <w:rPr>
          <w:b/>
          <w:bCs/>
          <w:lang w:val="en-GB"/>
        </w:rPr>
      </w:pPr>
    </w:p>
    <w:p w14:paraId="1B766757" w14:textId="77777777" w:rsidR="00104245" w:rsidRPr="00104245" w:rsidRDefault="00104245" w:rsidP="00104245">
      <w:pPr>
        <w:spacing w:line="276" w:lineRule="auto"/>
        <w:rPr>
          <w:b/>
          <w:bCs/>
          <w:lang w:val="en-GB"/>
        </w:rPr>
      </w:pPr>
    </w:p>
    <w:p w14:paraId="573AE5DB" w14:textId="387192E0" w:rsidR="00104245" w:rsidRPr="00104245" w:rsidRDefault="00104245" w:rsidP="00104245">
      <w:pPr>
        <w:spacing w:line="276" w:lineRule="auto"/>
        <w:rPr>
          <w:b/>
          <w:bCs/>
          <w:lang w:val="en-GB"/>
        </w:rPr>
      </w:pPr>
      <w:r w:rsidRPr="00104245">
        <w:rPr>
          <w:b/>
          <w:bCs/>
          <w:lang w:val="en-GB"/>
        </w:rPr>
        <w:t xml:space="preserve">References </w:t>
      </w:r>
    </w:p>
    <w:p w14:paraId="0990F2F4" w14:textId="77777777" w:rsidR="00104245" w:rsidRPr="00104245" w:rsidRDefault="00104245" w:rsidP="00104245">
      <w:pPr>
        <w:spacing w:line="276" w:lineRule="auto"/>
        <w:rPr>
          <w:b/>
          <w:bCs/>
          <w:lang w:val="en-GB"/>
        </w:rPr>
      </w:pPr>
      <w:proofErr w:type="spellStart"/>
      <w:r w:rsidRPr="00104245">
        <w:rPr>
          <w:b/>
          <w:bCs/>
          <w:lang w:val="en-GB"/>
        </w:rPr>
        <w:t>Buhalis</w:t>
      </w:r>
      <w:proofErr w:type="spellEnd"/>
      <w:r w:rsidRPr="00104245">
        <w:rPr>
          <w:b/>
          <w:bCs/>
          <w:lang w:val="en-GB"/>
        </w:rPr>
        <w:t xml:space="preserve">, D. &amp; </w:t>
      </w:r>
      <w:proofErr w:type="spellStart"/>
      <w:r w:rsidRPr="00104245">
        <w:rPr>
          <w:b/>
          <w:bCs/>
          <w:lang w:val="en-GB"/>
        </w:rPr>
        <w:t>Sinarta</w:t>
      </w:r>
      <w:proofErr w:type="spellEnd"/>
      <w:r w:rsidRPr="00104245">
        <w:rPr>
          <w:b/>
          <w:bCs/>
          <w:lang w:val="en-GB"/>
        </w:rPr>
        <w:t xml:space="preserve">, Y. (2019) ‘Real-time co-creation and destination competitiveness’, </w:t>
      </w:r>
      <w:r w:rsidRPr="00104245">
        <w:rPr>
          <w:b/>
          <w:bCs/>
          <w:i/>
          <w:iCs/>
          <w:lang w:val="en-GB"/>
        </w:rPr>
        <w:t>Journal of Travel &amp; Tourism Marketing</w:t>
      </w:r>
      <w:r w:rsidRPr="00104245">
        <w:rPr>
          <w:b/>
          <w:bCs/>
          <w:lang w:val="en-GB"/>
        </w:rPr>
        <w:t>, 36(4), pp. 1–15. https://doi.org/10.1080/10548408.2019.1566340</w:t>
      </w:r>
    </w:p>
    <w:p w14:paraId="18C53FCD" w14:textId="77777777" w:rsidR="00104245" w:rsidRPr="00104245" w:rsidRDefault="00104245" w:rsidP="00104245">
      <w:pPr>
        <w:spacing w:line="276" w:lineRule="auto"/>
        <w:rPr>
          <w:b/>
          <w:bCs/>
          <w:lang w:val="en-GB"/>
        </w:rPr>
      </w:pPr>
      <w:r w:rsidRPr="00104245">
        <w:rPr>
          <w:b/>
          <w:bCs/>
          <w:lang w:val="en-GB"/>
        </w:rPr>
        <w:t xml:space="preserve">Del Chiappa, G. &amp; Baggio, R. (2015) ‘Knowledge transfer in smart tourism destinations’, </w:t>
      </w:r>
      <w:r w:rsidRPr="00104245">
        <w:rPr>
          <w:b/>
          <w:bCs/>
          <w:i/>
          <w:iCs/>
          <w:lang w:val="en-GB"/>
        </w:rPr>
        <w:t>Journal of Destination Marketing &amp; Management</w:t>
      </w:r>
      <w:r w:rsidRPr="00104245">
        <w:rPr>
          <w:b/>
          <w:bCs/>
          <w:lang w:val="en-GB"/>
        </w:rPr>
        <w:t>, 4(4), pp. 258–267. https://doi.org/10.1016/j.jdmm.2015.10.001</w:t>
      </w:r>
    </w:p>
    <w:p w14:paraId="622D680C" w14:textId="77777777" w:rsidR="00104245" w:rsidRPr="00104245" w:rsidRDefault="00104245" w:rsidP="00104245">
      <w:pPr>
        <w:spacing w:line="276" w:lineRule="auto"/>
        <w:rPr>
          <w:b/>
          <w:bCs/>
          <w:lang w:val="en-GB"/>
        </w:rPr>
      </w:pPr>
      <w:r w:rsidRPr="00104245">
        <w:rPr>
          <w:b/>
          <w:bCs/>
          <w:lang w:val="en-GB"/>
        </w:rPr>
        <w:t xml:space="preserve">Guttentag, D. (2015) ‘Airbnb: Disruptive innovation and the rise of an informal tourism accommodation sector’, </w:t>
      </w:r>
      <w:r w:rsidRPr="00104245">
        <w:rPr>
          <w:b/>
          <w:bCs/>
          <w:i/>
          <w:iCs/>
          <w:lang w:val="en-GB"/>
        </w:rPr>
        <w:t>Current Issues in Tourism</w:t>
      </w:r>
      <w:r w:rsidRPr="00104245">
        <w:rPr>
          <w:b/>
          <w:bCs/>
          <w:lang w:val="en-GB"/>
        </w:rPr>
        <w:t>, 18(12), pp. 1192–1217. https://doi.org/10.1080/13683500.2013.827159</w:t>
      </w:r>
    </w:p>
    <w:p w14:paraId="02FD86A1" w14:textId="77777777" w:rsidR="00104245" w:rsidRPr="00104245" w:rsidRDefault="00104245" w:rsidP="00104245">
      <w:pPr>
        <w:spacing w:line="276" w:lineRule="auto"/>
        <w:rPr>
          <w:b/>
          <w:bCs/>
          <w:lang w:val="en-GB"/>
        </w:rPr>
      </w:pPr>
      <w:r w:rsidRPr="00104245">
        <w:rPr>
          <w:b/>
          <w:bCs/>
          <w:lang w:val="en-GB"/>
        </w:rPr>
        <w:t xml:space="preserve">Micklitz, H.-W. (2020) ‘Consumer law and unfair competition in the digital economy’, </w:t>
      </w:r>
      <w:r w:rsidRPr="00104245">
        <w:rPr>
          <w:b/>
          <w:bCs/>
          <w:i/>
          <w:iCs/>
          <w:lang w:val="en-GB"/>
        </w:rPr>
        <w:t>Journal of Consumer Policy</w:t>
      </w:r>
      <w:r w:rsidRPr="00104245">
        <w:rPr>
          <w:b/>
          <w:bCs/>
          <w:lang w:val="en-GB"/>
        </w:rPr>
        <w:t>, 43(1), pp. 1–12. https://doi.org/10.1007/s10603-019-09444-5</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516FF2DE-E632-44EA-8E12-31DD0673E4D7}"/>
    <w:embedBold r:id="rId2" w:fontKey="{EF8EA8D1-4E98-44EF-9591-411438D78243}"/>
    <w:embedBoldItalic r:id="rId3" w:fontKey="{E73C8C93-F26A-423E-9F49-D5C476D4CDF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DF3DF83-4C89-4482-90AC-995335F6D9C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3E42B64E-A8B0-4FDB-BFBB-6CECFA740E3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04245"/>
    <w:rsid w:val="00146A58"/>
    <w:rsid w:val="001700EC"/>
    <w:rsid w:val="00174BB1"/>
    <w:rsid w:val="0019504D"/>
    <w:rsid w:val="00224FD9"/>
    <w:rsid w:val="00234EFF"/>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688"/>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2026-02-04T13:28:00Z</dcterms:created>
  <dcterms:modified xsi:type="dcterms:W3CDTF">2026-02-04T13:28:00Z</dcterms:modified>
</cp:coreProperties>
</file>