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74867" w:rsidRDefault="00D74867" w:rsidP="00D74867">
      <w:pPr>
        <w:jc w:val="center"/>
        <w:rPr>
          <w:b/>
          <w:bCs/>
          <w:sz w:val="48"/>
          <w:szCs w:val="48"/>
        </w:rPr>
      </w:pPr>
      <w:r>
        <w:rPr>
          <w:b/>
          <w:noProof/>
          <w:sz w:val="48"/>
          <w:szCs w:val="48"/>
          <w:lang w:bidi="hi-IN"/>
        </w:rPr>
        <w:drawing>
          <wp:inline distT="0" distB="0" distL="0" distR="0">
            <wp:extent cx="5477510" cy="1718945"/>
            <wp:effectExtent l="0" t="0" r="0" b="0"/>
            <wp:docPr id="37" name="Picture 53" descr="European Institute of Innovation, Entrepreneurship and Technolog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descr="European Institute of Innovation, Entrepreneurship and Technology"/>
                    <pic:cNvPicPr>
                      <a:picLocks noChangeAspect="1" noChangeArrowheads="1"/>
                    </pic:cNvPicPr>
                  </pic:nvPicPr>
                  <pic:blipFill>
                    <a:blip r:embed="rId8"/>
                    <a:srcRect/>
                    <a:stretch>
                      <a:fillRect/>
                    </a:stretch>
                  </pic:blipFill>
                  <pic:spPr bwMode="auto">
                    <a:xfrm>
                      <a:off x="0" y="0"/>
                      <a:ext cx="5477510" cy="1718945"/>
                    </a:xfrm>
                    <a:prstGeom prst="rect">
                      <a:avLst/>
                    </a:prstGeom>
                    <a:noFill/>
                    <a:ln w="9525">
                      <a:noFill/>
                      <a:miter lim="800000"/>
                      <a:headEnd/>
                      <a:tailEnd/>
                    </a:ln>
                  </pic:spPr>
                </pic:pic>
              </a:graphicData>
            </a:graphic>
          </wp:inline>
        </w:drawing>
      </w:r>
    </w:p>
    <w:p w:rsidR="00D74867" w:rsidRDefault="00D74867" w:rsidP="00B40157">
      <w:pPr>
        <w:jc w:val="center"/>
        <w:rPr>
          <w:b/>
          <w:bCs/>
          <w:sz w:val="48"/>
          <w:szCs w:val="48"/>
        </w:rPr>
      </w:pPr>
      <w:r>
        <w:rPr>
          <w:b/>
          <w:bCs/>
          <w:sz w:val="48"/>
          <w:szCs w:val="48"/>
        </w:rPr>
        <w:t xml:space="preserve">Title: </w:t>
      </w:r>
      <w:r w:rsidR="00634A74" w:rsidRPr="00634A74">
        <w:rPr>
          <w:b/>
          <w:bCs/>
          <w:sz w:val="48"/>
          <w:szCs w:val="48"/>
        </w:rPr>
        <w:t>The Role of Contract Law in the Tourism Industry</w:t>
      </w:r>
    </w:p>
    <w:p w:rsidR="00E36E15" w:rsidRDefault="00D74867" w:rsidP="00E36E15">
      <w:pPr>
        <w:jc w:val="center"/>
        <w:rPr>
          <w:bCs/>
          <w:sz w:val="44"/>
          <w:szCs w:val="44"/>
        </w:rPr>
      </w:pPr>
      <w:r>
        <w:rPr>
          <w:b/>
          <w:sz w:val="40"/>
          <w:szCs w:val="40"/>
        </w:rPr>
        <w:br/>
      </w:r>
      <w:r>
        <w:rPr>
          <w:sz w:val="40"/>
          <w:szCs w:val="40"/>
        </w:rPr>
        <w:br/>
      </w:r>
      <w:r w:rsidR="00E36E15">
        <w:rPr>
          <w:bCs/>
          <w:sz w:val="44"/>
          <w:szCs w:val="44"/>
          <w:lang w:val="nl-NL"/>
        </w:rPr>
        <w:t>Student Name:  Sahil</w:t>
      </w:r>
    </w:p>
    <w:p w:rsidR="00E36E15" w:rsidRDefault="00E36E15" w:rsidP="00E36E15">
      <w:pPr>
        <w:jc w:val="center"/>
        <w:rPr>
          <w:bCs/>
          <w:sz w:val="44"/>
          <w:szCs w:val="44"/>
        </w:rPr>
      </w:pPr>
      <w:r>
        <w:rPr>
          <w:bCs/>
          <w:sz w:val="44"/>
          <w:szCs w:val="44"/>
          <w:lang w:val="nl-NL"/>
        </w:rPr>
        <w:t xml:space="preserve">Submission Id: </w:t>
      </w:r>
      <w:r>
        <w:rPr>
          <w:bCs/>
          <w:sz w:val="44"/>
          <w:szCs w:val="44"/>
        </w:rPr>
        <w:t>DE240320</w:t>
      </w:r>
    </w:p>
    <w:p w:rsidR="00D74867" w:rsidRDefault="00D74867" w:rsidP="00E36E15">
      <w:pPr>
        <w:jc w:val="center"/>
        <w:rPr>
          <w:sz w:val="44"/>
          <w:szCs w:val="44"/>
        </w:rPr>
      </w:pPr>
    </w:p>
    <w:p w:rsidR="00D74867" w:rsidRDefault="00D74867" w:rsidP="00D74867">
      <w:pPr>
        <w:jc w:val="center"/>
        <w:rPr>
          <w:sz w:val="44"/>
          <w:szCs w:val="44"/>
        </w:rPr>
      </w:pPr>
    </w:p>
    <w:p w:rsidR="00D74867" w:rsidRDefault="00D74867" w:rsidP="00D74867">
      <w:pPr>
        <w:jc w:val="center"/>
        <w:rPr>
          <w:sz w:val="44"/>
          <w:szCs w:val="44"/>
        </w:rPr>
      </w:pPr>
      <w:r>
        <w:rPr>
          <w:sz w:val="44"/>
          <w:szCs w:val="44"/>
        </w:rPr>
        <w:t xml:space="preserve">Submission date: </w:t>
      </w:r>
      <w:r w:rsidR="006D2A54">
        <w:rPr>
          <w:sz w:val="44"/>
          <w:szCs w:val="44"/>
        </w:rPr>
        <w:t>14.0</w:t>
      </w:r>
      <w:r w:rsidR="006B49E5">
        <w:rPr>
          <w:sz w:val="44"/>
          <w:szCs w:val="44"/>
        </w:rPr>
        <w:t>2</w:t>
      </w:r>
      <w:r>
        <w:rPr>
          <w:sz w:val="44"/>
          <w:szCs w:val="44"/>
        </w:rPr>
        <w:t>.2025</w:t>
      </w:r>
    </w:p>
    <w:p w:rsidR="00D74867" w:rsidRDefault="00D74867" w:rsidP="00D74867"/>
    <w:p w:rsidR="00D74867" w:rsidRDefault="00D74867" w:rsidP="00D74867"/>
    <w:p w:rsidR="00D74867" w:rsidRDefault="00D74867" w:rsidP="00D74867"/>
    <w:p w:rsidR="006D2A54" w:rsidRDefault="006D2A54" w:rsidP="00D74867"/>
    <w:p w:rsidR="00D74867" w:rsidRDefault="00D74867" w:rsidP="006B49E5">
      <w:pPr>
        <w:pStyle w:val="TOCHeading"/>
      </w:pPr>
    </w:p>
    <w:p w:rsidR="00B40157" w:rsidRDefault="00B40157"/>
    <w:sdt>
      <w:sdtPr>
        <w:rPr>
          <w:rFonts w:asciiTheme="minorHAnsi" w:eastAsiaTheme="minorHAnsi" w:hAnsiTheme="minorHAnsi" w:cstheme="minorBidi"/>
          <w:b w:val="0"/>
          <w:bCs w:val="0"/>
          <w:color w:val="auto"/>
          <w:sz w:val="22"/>
          <w:szCs w:val="22"/>
        </w:rPr>
        <w:id w:val="-2098055420"/>
        <w:docPartObj>
          <w:docPartGallery w:val="Table of Contents"/>
          <w:docPartUnique/>
        </w:docPartObj>
      </w:sdtPr>
      <w:sdtContent>
        <w:p w:rsidR="00104B14" w:rsidRDefault="00104B14">
          <w:pPr>
            <w:pStyle w:val="TOCHeading"/>
          </w:pPr>
          <w:r>
            <w:t>Contents</w:t>
          </w:r>
        </w:p>
        <w:p w:rsidR="002D1590" w:rsidRDefault="00AF37D0">
          <w:pPr>
            <w:pStyle w:val="TOC2"/>
            <w:tabs>
              <w:tab w:val="right" w:leader="dot" w:pos="9350"/>
            </w:tabs>
            <w:rPr>
              <w:rFonts w:eastAsiaTheme="minorEastAsia"/>
              <w:noProof/>
              <w:szCs w:val="20"/>
              <w:lang w:bidi="hi-IN"/>
            </w:rPr>
          </w:pPr>
          <w:r>
            <w:fldChar w:fldCharType="begin"/>
          </w:r>
          <w:r w:rsidR="00104B14">
            <w:instrText xml:space="preserve"> TOC \o "1-3" \h \z \u </w:instrText>
          </w:r>
          <w:r>
            <w:fldChar w:fldCharType="separate"/>
          </w:r>
          <w:hyperlink w:anchor="_Toc220974338" w:history="1">
            <w:r w:rsidR="002D1590" w:rsidRPr="00574FD7">
              <w:rPr>
                <w:rStyle w:val="Hyperlink"/>
                <w:rFonts w:ascii="Times New Roman" w:eastAsia="Times New Roman" w:hAnsi="Times New Roman" w:cs="Times New Roman"/>
                <w:b/>
                <w:bCs/>
                <w:noProof/>
              </w:rPr>
              <w:t>ABSTRACT</w:t>
            </w:r>
            <w:r w:rsidR="002D1590">
              <w:rPr>
                <w:noProof/>
                <w:webHidden/>
              </w:rPr>
              <w:tab/>
            </w:r>
            <w:r>
              <w:rPr>
                <w:noProof/>
                <w:webHidden/>
              </w:rPr>
              <w:fldChar w:fldCharType="begin"/>
            </w:r>
            <w:r w:rsidR="002D1590">
              <w:rPr>
                <w:noProof/>
                <w:webHidden/>
              </w:rPr>
              <w:instrText xml:space="preserve"> PAGEREF _Toc220974338 \h </w:instrText>
            </w:r>
            <w:r>
              <w:rPr>
                <w:noProof/>
                <w:webHidden/>
              </w:rPr>
            </w:r>
            <w:r>
              <w:rPr>
                <w:noProof/>
                <w:webHidden/>
              </w:rPr>
              <w:fldChar w:fldCharType="separate"/>
            </w:r>
            <w:r w:rsidR="002D1590">
              <w:rPr>
                <w:noProof/>
                <w:webHidden/>
              </w:rPr>
              <w:t>4</w:t>
            </w:r>
            <w:r>
              <w:rPr>
                <w:noProof/>
                <w:webHidden/>
              </w:rPr>
              <w:fldChar w:fldCharType="end"/>
            </w:r>
          </w:hyperlink>
        </w:p>
        <w:p w:rsidR="002D1590" w:rsidRDefault="00AF37D0">
          <w:pPr>
            <w:pStyle w:val="TOC2"/>
            <w:tabs>
              <w:tab w:val="right" w:leader="dot" w:pos="9350"/>
            </w:tabs>
            <w:rPr>
              <w:rFonts w:eastAsiaTheme="minorEastAsia"/>
              <w:noProof/>
              <w:szCs w:val="20"/>
              <w:lang w:bidi="hi-IN"/>
            </w:rPr>
          </w:pPr>
          <w:hyperlink w:anchor="_Toc220974339" w:history="1">
            <w:r w:rsidR="002D1590" w:rsidRPr="00574FD7">
              <w:rPr>
                <w:rStyle w:val="Hyperlink"/>
                <w:rFonts w:ascii="Times New Roman" w:eastAsia="Times New Roman" w:hAnsi="Times New Roman" w:cs="Times New Roman"/>
                <w:b/>
                <w:bCs/>
                <w:noProof/>
              </w:rPr>
              <w:t>INTRODUCTION</w:t>
            </w:r>
            <w:r w:rsidR="002D1590">
              <w:rPr>
                <w:noProof/>
                <w:webHidden/>
              </w:rPr>
              <w:tab/>
            </w:r>
            <w:r>
              <w:rPr>
                <w:noProof/>
                <w:webHidden/>
              </w:rPr>
              <w:fldChar w:fldCharType="begin"/>
            </w:r>
            <w:r w:rsidR="002D1590">
              <w:rPr>
                <w:noProof/>
                <w:webHidden/>
              </w:rPr>
              <w:instrText xml:space="preserve"> PAGEREF _Toc220974339 \h </w:instrText>
            </w:r>
            <w:r>
              <w:rPr>
                <w:noProof/>
                <w:webHidden/>
              </w:rPr>
            </w:r>
            <w:r>
              <w:rPr>
                <w:noProof/>
                <w:webHidden/>
              </w:rPr>
              <w:fldChar w:fldCharType="separate"/>
            </w:r>
            <w:r w:rsidR="002D1590">
              <w:rPr>
                <w:noProof/>
                <w:webHidden/>
              </w:rPr>
              <w:t>4</w:t>
            </w:r>
            <w:r>
              <w:rPr>
                <w:noProof/>
                <w:webHidden/>
              </w:rPr>
              <w:fldChar w:fldCharType="end"/>
            </w:r>
          </w:hyperlink>
        </w:p>
        <w:p w:rsidR="002D1590" w:rsidRDefault="00AF37D0">
          <w:pPr>
            <w:pStyle w:val="TOC2"/>
            <w:tabs>
              <w:tab w:val="right" w:leader="dot" w:pos="9350"/>
            </w:tabs>
            <w:rPr>
              <w:rFonts w:eastAsiaTheme="minorEastAsia"/>
              <w:noProof/>
              <w:szCs w:val="20"/>
              <w:lang w:bidi="hi-IN"/>
            </w:rPr>
          </w:pPr>
          <w:hyperlink w:anchor="_Toc220974340" w:history="1">
            <w:r w:rsidR="002D1590" w:rsidRPr="00574FD7">
              <w:rPr>
                <w:rStyle w:val="Hyperlink"/>
                <w:rFonts w:ascii="Times New Roman" w:eastAsia="Times New Roman" w:hAnsi="Times New Roman" w:cs="Times New Roman"/>
                <w:b/>
                <w:bCs/>
                <w:noProof/>
              </w:rPr>
              <w:t>LITERATURE REVIEW</w:t>
            </w:r>
            <w:r w:rsidR="002D1590">
              <w:rPr>
                <w:noProof/>
                <w:webHidden/>
              </w:rPr>
              <w:tab/>
            </w:r>
            <w:r>
              <w:rPr>
                <w:noProof/>
                <w:webHidden/>
              </w:rPr>
              <w:fldChar w:fldCharType="begin"/>
            </w:r>
            <w:r w:rsidR="002D1590">
              <w:rPr>
                <w:noProof/>
                <w:webHidden/>
              </w:rPr>
              <w:instrText xml:space="preserve"> PAGEREF _Toc220974340 \h </w:instrText>
            </w:r>
            <w:r>
              <w:rPr>
                <w:noProof/>
                <w:webHidden/>
              </w:rPr>
            </w:r>
            <w:r>
              <w:rPr>
                <w:noProof/>
                <w:webHidden/>
              </w:rPr>
              <w:fldChar w:fldCharType="separate"/>
            </w:r>
            <w:r w:rsidR="002D1590">
              <w:rPr>
                <w:noProof/>
                <w:webHidden/>
              </w:rPr>
              <w:t>5</w:t>
            </w:r>
            <w:r>
              <w:rPr>
                <w:noProof/>
                <w:webHidden/>
              </w:rPr>
              <w:fldChar w:fldCharType="end"/>
            </w:r>
          </w:hyperlink>
        </w:p>
        <w:p w:rsidR="002D1590" w:rsidRDefault="00AF37D0">
          <w:pPr>
            <w:pStyle w:val="TOC3"/>
            <w:tabs>
              <w:tab w:val="right" w:leader="dot" w:pos="9350"/>
            </w:tabs>
            <w:rPr>
              <w:rFonts w:eastAsiaTheme="minorEastAsia"/>
              <w:noProof/>
              <w:szCs w:val="20"/>
              <w:lang w:bidi="hi-IN"/>
            </w:rPr>
          </w:pPr>
          <w:hyperlink w:anchor="_Toc220974341" w:history="1">
            <w:r w:rsidR="002D1590" w:rsidRPr="00574FD7">
              <w:rPr>
                <w:rStyle w:val="Hyperlink"/>
                <w:rFonts w:ascii="Times New Roman" w:eastAsia="Times New Roman" w:hAnsi="Times New Roman" w:cs="Times New Roman"/>
                <w:b/>
                <w:bCs/>
                <w:noProof/>
              </w:rPr>
              <w:t>Contract Law and Adventure Tourism</w:t>
            </w:r>
            <w:r w:rsidR="002D1590">
              <w:rPr>
                <w:noProof/>
                <w:webHidden/>
              </w:rPr>
              <w:tab/>
            </w:r>
            <w:r>
              <w:rPr>
                <w:noProof/>
                <w:webHidden/>
              </w:rPr>
              <w:fldChar w:fldCharType="begin"/>
            </w:r>
            <w:r w:rsidR="002D1590">
              <w:rPr>
                <w:noProof/>
                <w:webHidden/>
              </w:rPr>
              <w:instrText xml:space="preserve"> PAGEREF _Toc220974341 \h </w:instrText>
            </w:r>
            <w:r>
              <w:rPr>
                <w:noProof/>
                <w:webHidden/>
              </w:rPr>
            </w:r>
            <w:r>
              <w:rPr>
                <w:noProof/>
                <w:webHidden/>
              </w:rPr>
              <w:fldChar w:fldCharType="separate"/>
            </w:r>
            <w:r w:rsidR="002D1590">
              <w:rPr>
                <w:noProof/>
                <w:webHidden/>
              </w:rPr>
              <w:t>5</w:t>
            </w:r>
            <w:r>
              <w:rPr>
                <w:noProof/>
                <w:webHidden/>
              </w:rPr>
              <w:fldChar w:fldCharType="end"/>
            </w:r>
          </w:hyperlink>
        </w:p>
        <w:p w:rsidR="002D1590" w:rsidRDefault="00AF37D0">
          <w:pPr>
            <w:pStyle w:val="TOC3"/>
            <w:tabs>
              <w:tab w:val="right" w:leader="dot" w:pos="9350"/>
            </w:tabs>
            <w:rPr>
              <w:rFonts w:eastAsiaTheme="minorEastAsia"/>
              <w:noProof/>
              <w:szCs w:val="20"/>
              <w:lang w:bidi="hi-IN"/>
            </w:rPr>
          </w:pPr>
          <w:hyperlink w:anchor="_Toc220974342" w:history="1">
            <w:r w:rsidR="002D1590" w:rsidRPr="00574FD7">
              <w:rPr>
                <w:rStyle w:val="Hyperlink"/>
                <w:rFonts w:ascii="Times New Roman" w:eastAsia="Times New Roman" w:hAnsi="Times New Roman" w:cs="Times New Roman"/>
                <w:b/>
                <w:bCs/>
                <w:noProof/>
              </w:rPr>
              <w:t>Liability Waivers and Consumer Protection</w:t>
            </w:r>
            <w:r w:rsidR="002D1590">
              <w:rPr>
                <w:noProof/>
                <w:webHidden/>
              </w:rPr>
              <w:tab/>
            </w:r>
            <w:r>
              <w:rPr>
                <w:noProof/>
                <w:webHidden/>
              </w:rPr>
              <w:fldChar w:fldCharType="begin"/>
            </w:r>
            <w:r w:rsidR="002D1590">
              <w:rPr>
                <w:noProof/>
                <w:webHidden/>
              </w:rPr>
              <w:instrText xml:space="preserve"> PAGEREF _Toc220974342 \h </w:instrText>
            </w:r>
            <w:r>
              <w:rPr>
                <w:noProof/>
                <w:webHidden/>
              </w:rPr>
            </w:r>
            <w:r>
              <w:rPr>
                <w:noProof/>
                <w:webHidden/>
              </w:rPr>
              <w:fldChar w:fldCharType="separate"/>
            </w:r>
            <w:r w:rsidR="002D1590">
              <w:rPr>
                <w:noProof/>
                <w:webHidden/>
              </w:rPr>
              <w:t>6</w:t>
            </w:r>
            <w:r>
              <w:rPr>
                <w:noProof/>
                <w:webHidden/>
              </w:rPr>
              <w:fldChar w:fldCharType="end"/>
            </w:r>
          </w:hyperlink>
        </w:p>
        <w:p w:rsidR="002D1590" w:rsidRDefault="00AF37D0">
          <w:pPr>
            <w:pStyle w:val="TOC3"/>
            <w:tabs>
              <w:tab w:val="right" w:leader="dot" w:pos="9350"/>
            </w:tabs>
            <w:rPr>
              <w:rFonts w:eastAsiaTheme="minorEastAsia"/>
              <w:noProof/>
              <w:szCs w:val="20"/>
              <w:lang w:bidi="hi-IN"/>
            </w:rPr>
          </w:pPr>
          <w:hyperlink w:anchor="_Toc220974343" w:history="1">
            <w:r w:rsidR="002D1590" w:rsidRPr="00574FD7">
              <w:rPr>
                <w:rStyle w:val="Hyperlink"/>
                <w:rFonts w:ascii="Times New Roman" w:eastAsia="Times New Roman" w:hAnsi="Times New Roman" w:cs="Times New Roman"/>
                <w:b/>
                <w:bCs/>
                <w:noProof/>
              </w:rPr>
              <w:t>Essential Elements of a Valid Adventure Tourism Contract</w:t>
            </w:r>
            <w:r w:rsidR="002D1590">
              <w:rPr>
                <w:noProof/>
                <w:webHidden/>
              </w:rPr>
              <w:tab/>
            </w:r>
            <w:r>
              <w:rPr>
                <w:noProof/>
                <w:webHidden/>
              </w:rPr>
              <w:fldChar w:fldCharType="begin"/>
            </w:r>
            <w:r w:rsidR="002D1590">
              <w:rPr>
                <w:noProof/>
                <w:webHidden/>
              </w:rPr>
              <w:instrText xml:space="preserve"> PAGEREF _Toc220974343 \h </w:instrText>
            </w:r>
            <w:r>
              <w:rPr>
                <w:noProof/>
                <w:webHidden/>
              </w:rPr>
            </w:r>
            <w:r>
              <w:rPr>
                <w:noProof/>
                <w:webHidden/>
              </w:rPr>
              <w:fldChar w:fldCharType="separate"/>
            </w:r>
            <w:r w:rsidR="002D1590">
              <w:rPr>
                <w:noProof/>
                <w:webHidden/>
              </w:rPr>
              <w:t>6</w:t>
            </w:r>
            <w:r>
              <w:rPr>
                <w:noProof/>
                <w:webHidden/>
              </w:rPr>
              <w:fldChar w:fldCharType="end"/>
            </w:r>
          </w:hyperlink>
        </w:p>
        <w:p w:rsidR="002D1590" w:rsidRDefault="00AF37D0">
          <w:pPr>
            <w:pStyle w:val="TOC3"/>
            <w:tabs>
              <w:tab w:val="right" w:leader="dot" w:pos="9350"/>
            </w:tabs>
            <w:rPr>
              <w:rFonts w:eastAsiaTheme="minorEastAsia"/>
              <w:noProof/>
              <w:szCs w:val="20"/>
              <w:lang w:bidi="hi-IN"/>
            </w:rPr>
          </w:pPr>
          <w:hyperlink w:anchor="_Toc220974344" w:history="1">
            <w:r w:rsidR="002D1590" w:rsidRPr="00574FD7">
              <w:rPr>
                <w:rStyle w:val="Hyperlink"/>
                <w:rFonts w:ascii="Times New Roman" w:eastAsia="Times New Roman" w:hAnsi="Times New Roman" w:cs="Times New Roman"/>
                <w:b/>
                <w:bCs/>
                <w:noProof/>
              </w:rPr>
              <w:t>Intention to Create Legal Relations and Capacity</w:t>
            </w:r>
            <w:r w:rsidR="002D1590">
              <w:rPr>
                <w:noProof/>
                <w:webHidden/>
              </w:rPr>
              <w:tab/>
            </w:r>
            <w:r>
              <w:rPr>
                <w:noProof/>
                <w:webHidden/>
              </w:rPr>
              <w:fldChar w:fldCharType="begin"/>
            </w:r>
            <w:r w:rsidR="002D1590">
              <w:rPr>
                <w:noProof/>
                <w:webHidden/>
              </w:rPr>
              <w:instrText xml:space="preserve"> PAGEREF _Toc220974344 \h </w:instrText>
            </w:r>
            <w:r>
              <w:rPr>
                <w:noProof/>
                <w:webHidden/>
              </w:rPr>
            </w:r>
            <w:r>
              <w:rPr>
                <w:noProof/>
                <w:webHidden/>
              </w:rPr>
              <w:fldChar w:fldCharType="separate"/>
            </w:r>
            <w:r w:rsidR="002D1590">
              <w:rPr>
                <w:noProof/>
                <w:webHidden/>
              </w:rPr>
              <w:t>7</w:t>
            </w:r>
            <w:r>
              <w:rPr>
                <w:noProof/>
                <w:webHidden/>
              </w:rPr>
              <w:fldChar w:fldCharType="end"/>
            </w:r>
          </w:hyperlink>
        </w:p>
        <w:p w:rsidR="002D1590" w:rsidRDefault="00AF37D0">
          <w:pPr>
            <w:pStyle w:val="TOC3"/>
            <w:tabs>
              <w:tab w:val="right" w:leader="dot" w:pos="9350"/>
            </w:tabs>
            <w:rPr>
              <w:rFonts w:eastAsiaTheme="minorEastAsia"/>
              <w:noProof/>
              <w:szCs w:val="20"/>
              <w:lang w:bidi="hi-IN"/>
            </w:rPr>
          </w:pPr>
          <w:hyperlink w:anchor="_Toc220974345" w:history="1">
            <w:r w:rsidR="002D1590" w:rsidRPr="00574FD7">
              <w:rPr>
                <w:rStyle w:val="Hyperlink"/>
                <w:rFonts w:ascii="Times New Roman" w:eastAsia="Times New Roman" w:hAnsi="Times New Roman" w:cs="Times New Roman"/>
                <w:b/>
                <w:bCs/>
                <w:noProof/>
              </w:rPr>
              <w:t>Types of Adventure Tourism Contracts</w:t>
            </w:r>
            <w:r w:rsidR="002D1590">
              <w:rPr>
                <w:noProof/>
                <w:webHidden/>
              </w:rPr>
              <w:tab/>
            </w:r>
            <w:r>
              <w:rPr>
                <w:noProof/>
                <w:webHidden/>
              </w:rPr>
              <w:fldChar w:fldCharType="begin"/>
            </w:r>
            <w:r w:rsidR="002D1590">
              <w:rPr>
                <w:noProof/>
                <w:webHidden/>
              </w:rPr>
              <w:instrText xml:space="preserve"> PAGEREF _Toc220974345 \h </w:instrText>
            </w:r>
            <w:r>
              <w:rPr>
                <w:noProof/>
                <w:webHidden/>
              </w:rPr>
            </w:r>
            <w:r>
              <w:rPr>
                <w:noProof/>
                <w:webHidden/>
              </w:rPr>
              <w:fldChar w:fldCharType="separate"/>
            </w:r>
            <w:r w:rsidR="002D1590">
              <w:rPr>
                <w:noProof/>
                <w:webHidden/>
              </w:rPr>
              <w:t>7</w:t>
            </w:r>
            <w:r>
              <w:rPr>
                <w:noProof/>
                <w:webHidden/>
              </w:rPr>
              <w:fldChar w:fldCharType="end"/>
            </w:r>
          </w:hyperlink>
        </w:p>
        <w:p w:rsidR="002D1590" w:rsidRDefault="00AF37D0">
          <w:pPr>
            <w:pStyle w:val="TOC3"/>
            <w:tabs>
              <w:tab w:val="right" w:leader="dot" w:pos="9350"/>
            </w:tabs>
            <w:rPr>
              <w:rFonts w:eastAsiaTheme="minorEastAsia"/>
              <w:noProof/>
              <w:szCs w:val="20"/>
              <w:lang w:bidi="hi-IN"/>
            </w:rPr>
          </w:pPr>
          <w:hyperlink w:anchor="_Toc220974346" w:history="1">
            <w:r w:rsidR="002D1590" w:rsidRPr="00574FD7">
              <w:rPr>
                <w:rStyle w:val="Hyperlink"/>
                <w:rFonts w:ascii="Times New Roman" w:eastAsia="Times New Roman" w:hAnsi="Times New Roman" w:cs="Times New Roman"/>
                <w:b/>
                <w:bCs/>
                <w:noProof/>
              </w:rPr>
              <w:t>Standard Form Contracts and Unequal Bargaining Power</w:t>
            </w:r>
            <w:r w:rsidR="002D1590">
              <w:rPr>
                <w:noProof/>
                <w:webHidden/>
              </w:rPr>
              <w:tab/>
            </w:r>
            <w:r>
              <w:rPr>
                <w:noProof/>
                <w:webHidden/>
              </w:rPr>
              <w:fldChar w:fldCharType="begin"/>
            </w:r>
            <w:r w:rsidR="002D1590">
              <w:rPr>
                <w:noProof/>
                <w:webHidden/>
              </w:rPr>
              <w:instrText xml:space="preserve"> PAGEREF _Toc220974346 \h </w:instrText>
            </w:r>
            <w:r>
              <w:rPr>
                <w:noProof/>
                <w:webHidden/>
              </w:rPr>
            </w:r>
            <w:r>
              <w:rPr>
                <w:noProof/>
                <w:webHidden/>
              </w:rPr>
              <w:fldChar w:fldCharType="separate"/>
            </w:r>
            <w:r w:rsidR="002D1590">
              <w:rPr>
                <w:noProof/>
                <w:webHidden/>
              </w:rPr>
              <w:t>7</w:t>
            </w:r>
            <w:r>
              <w:rPr>
                <w:noProof/>
                <w:webHidden/>
              </w:rPr>
              <w:fldChar w:fldCharType="end"/>
            </w:r>
          </w:hyperlink>
        </w:p>
        <w:p w:rsidR="002D1590" w:rsidRDefault="00AF37D0">
          <w:pPr>
            <w:pStyle w:val="TOC2"/>
            <w:tabs>
              <w:tab w:val="right" w:leader="dot" w:pos="9350"/>
            </w:tabs>
            <w:rPr>
              <w:rFonts w:eastAsiaTheme="minorEastAsia"/>
              <w:noProof/>
              <w:szCs w:val="20"/>
              <w:lang w:bidi="hi-IN"/>
            </w:rPr>
          </w:pPr>
          <w:hyperlink w:anchor="_Toc220974347" w:history="1">
            <w:r w:rsidR="002D1590" w:rsidRPr="00574FD7">
              <w:rPr>
                <w:rStyle w:val="Hyperlink"/>
                <w:rFonts w:ascii="Times New Roman" w:eastAsia="Times New Roman" w:hAnsi="Times New Roman" w:cs="Times New Roman"/>
                <w:b/>
                <w:bCs/>
                <w:noProof/>
              </w:rPr>
              <w:t>METHODOLOGY</w:t>
            </w:r>
            <w:r w:rsidR="002D1590">
              <w:rPr>
                <w:noProof/>
                <w:webHidden/>
              </w:rPr>
              <w:tab/>
            </w:r>
            <w:r>
              <w:rPr>
                <w:noProof/>
                <w:webHidden/>
              </w:rPr>
              <w:fldChar w:fldCharType="begin"/>
            </w:r>
            <w:r w:rsidR="002D1590">
              <w:rPr>
                <w:noProof/>
                <w:webHidden/>
              </w:rPr>
              <w:instrText xml:space="preserve"> PAGEREF _Toc220974347 \h </w:instrText>
            </w:r>
            <w:r>
              <w:rPr>
                <w:noProof/>
                <w:webHidden/>
              </w:rPr>
            </w:r>
            <w:r>
              <w:rPr>
                <w:noProof/>
                <w:webHidden/>
              </w:rPr>
              <w:fldChar w:fldCharType="separate"/>
            </w:r>
            <w:r w:rsidR="002D1590">
              <w:rPr>
                <w:noProof/>
                <w:webHidden/>
              </w:rPr>
              <w:t>8</w:t>
            </w:r>
            <w:r>
              <w:rPr>
                <w:noProof/>
                <w:webHidden/>
              </w:rPr>
              <w:fldChar w:fldCharType="end"/>
            </w:r>
          </w:hyperlink>
        </w:p>
        <w:p w:rsidR="002D1590" w:rsidRDefault="00AF37D0">
          <w:pPr>
            <w:pStyle w:val="TOC3"/>
            <w:tabs>
              <w:tab w:val="right" w:leader="dot" w:pos="9350"/>
            </w:tabs>
            <w:rPr>
              <w:rFonts w:eastAsiaTheme="minorEastAsia"/>
              <w:noProof/>
              <w:szCs w:val="20"/>
              <w:lang w:bidi="hi-IN"/>
            </w:rPr>
          </w:pPr>
          <w:hyperlink w:anchor="_Toc220974348" w:history="1">
            <w:r w:rsidR="002D1590" w:rsidRPr="00574FD7">
              <w:rPr>
                <w:rStyle w:val="Hyperlink"/>
                <w:rFonts w:ascii="Times New Roman" w:eastAsia="Times New Roman" w:hAnsi="Times New Roman" w:cs="Times New Roman"/>
                <w:b/>
                <w:bCs/>
                <w:noProof/>
              </w:rPr>
              <w:t>Research Approach</w:t>
            </w:r>
            <w:r w:rsidR="002D1590">
              <w:rPr>
                <w:noProof/>
                <w:webHidden/>
              </w:rPr>
              <w:tab/>
            </w:r>
            <w:r>
              <w:rPr>
                <w:noProof/>
                <w:webHidden/>
              </w:rPr>
              <w:fldChar w:fldCharType="begin"/>
            </w:r>
            <w:r w:rsidR="002D1590">
              <w:rPr>
                <w:noProof/>
                <w:webHidden/>
              </w:rPr>
              <w:instrText xml:space="preserve"> PAGEREF _Toc220974348 \h </w:instrText>
            </w:r>
            <w:r>
              <w:rPr>
                <w:noProof/>
                <w:webHidden/>
              </w:rPr>
            </w:r>
            <w:r>
              <w:rPr>
                <w:noProof/>
                <w:webHidden/>
              </w:rPr>
              <w:fldChar w:fldCharType="separate"/>
            </w:r>
            <w:r w:rsidR="002D1590">
              <w:rPr>
                <w:noProof/>
                <w:webHidden/>
              </w:rPr>
              <w:t>8</w:t>
            </w:r>
            <w:r>
              <w:rPr>
                <w:noProof/>
                <w:webHidden/>
              </w:rPr>
              <w:fldChar w:fldCharType="end"/>
            </w:r>
          </w:hyperlink>
        </w:p>
        <w:p w:rsidR="002D1590" w:rsidRDefault="00AF37D0">
          <w:pPr>
            <w:pStyle w:val="TOC3"/>
            <w:tabs>
              <w:tab w:val="right" w:leader="dot" w:pos="9350"/>
            </w:tabs>
            <w:rPr>
              <w:rFonts w:eastAsiaTheme="minorEastAsia"/>
              <w:noProof/>
              <w:szCs w:val="20"/>
              <w:lang w:bidi="hi-IN"/>
            </w:rPr>
          </w:pPr>
          <w:hyperlink w:anchor="_Toc220974349" w:history="1">
            <w:r w:rsidR="002D1590" w:rsidRPr="00574FD7">
              <w:rPr>
                <w:rStyle w:val="Hyperlink"/>
                <w:rFonts w:ascii="Times New Roman" w:eastAsia="Times New Roman" w:hAnsi="Times New Roman" w:cs="Times New Roman"/>
                <w:b/>
                <w:bCs/>
                <w:noProof/>
              </w:rPr>
              <w:t>Sources of Data</w:t>
            </w:r>
            <w:r w:rsidR="002D1590">
              <w:rPr>
                <w:noProof/>
                <w:webHidden/>
              </w:rPr>
              <w:tab/>
            </w:r>
            <w:r>
              <w:rPr>
                <w:noProof/>
                <w:webHidden/>
              </w:rPr>
              <w:fldChar w:fldCharType="begin"/>
            </w:r>
            <w:r w:rsidR="002D1590">
              <w:rPr>
                <w:noProof/>
                <w:webHidden/>
              </w:rPr>
              <w:instrText xml:space="preserve"> PAGEREF _Toc220974349 \h </w:instrText>
            </w:r>
            <w:r>
              <w:rPr>
                <w:noProof/>
                <w:webHidden/>
              </w:rPr>
            </w:r>
            <w:r>
              <w:rPr>
                <w:noProof/>
                <w:webHidden/>
              </w:rPr>
              <w:fldChar w:fldCharType="separate"/>
            </w:r>
            <w:r w:rsidR="002D1590">
              <w:rPr>
                <w:noProof/>
                <w:webHidden/>
              </w:rPr>
              <w:t>8</w:t>
            </w:r>
            <w:r>
              <w:rPr>
                <w:noProof/>
                <w:webHidden/>
              </w:rPr>
              <w:fldChar w:fldCharType="end"/>
            </w:r>
          </w:hyperlink>
        </w:p>
        <w:p w:rsidR="002D1590" w:rsidRDefault="00AF37D0">
          <w:pPr>
            <w:pStyle w:val="TOC3"/>
            <w:tabs>
              <w:tab w:val="right" w:leader="dot" w:pos="9350"/>
            </w:tabs>
            <w:rPr>
              <w:rFonts w:eastAsiaTheme="minorEastAsia"/>
              <w:noProof/>
              <w:szCs w:val="20"/>
              <w:lang w:bidi="hi-IN"/>
            </w:rPr>
          </w:pPr>
          <w:hyperlink w:anchor="_Toc220974350" w:history="1">
            <w:r w:rsidR="002D1590" w:rsidRPr="00574FD7">
              <w:rPr>
                <w:rStyle w:val="Hyperlink"/>
                <w:rFonts w:ascii="Times New Roman" w:eastAsia="Times New Roman" w:hAnsi="Times New Roman" w:cs="Times New Roman"/>
                <w:b/>
                <w:bCs/>
                <w:noProof/>
              </w:rPr>
              <w:t>Analytical Framework</w:t>
            </w:r>
            <w:r w:rsidR="002D1590">
              <w:rPr>
                <w:noProof/>
                <w:webHidden/>
              </w:rPr>
              <w:tab/>
            </w:r>
            <w:r>
              <w:rPr>
                <w:noProof/>
                <w:webHidden/>
              </w:rPr>
              <w:fldChar w:fldCharType="begin"/>
            </w:r>
            <w:r w:rsidR="002D1590">
              <w:rPr>
                <w:noProof/>
                <w:webHidden/>
              </w:rPr>
              <w:instrText xml:space="preserve"> PAGEREF _Toc220974350 \h </w:instrText>
            </w:r>
            <w:r>
              <w:rPr>
                <w:noProof/>
                <w:webHidden/>
              </w:rPr>
            </w:r>
            <w:r>
              <w:rPr>
                <w:noProof/>
                <w:webHidden/>
              </w:rPr>
              <w:fldChar w:fldCharType="separate"/>
            </w:r>
            <w:r w:rsidR="002D1590">
              <w:rPr>
                <w:noProof/>
                <w:webHidden/>
              </w:rPr>
              <w:t>8</w:t>
            </w:r>
            <w:r>
              <w:rPr>
                <w:noProof/>
                <w:webHidden/>
              </w:rPr>
              <w:fldChar w:fldCharType="end"/>
            </w:r>
          </w:hyperlink>
        </w:p>
        <w:p w:rsidR="002D1590" w:rsidRDefault="00AF37D0">
          <w:pPr>
            <w:pStyle w:val="TOC2"/>
            <w:tabs>
              <w:tab w:val="right" w:leader="dot" w:pos="9350"/>
            </w:tabs>
            <w:rPr>
              <w:rFonts w:eastAsiaTheme="minorEastAsia"/>
              <w:noProof/>
              <w:szCs w:val="20"/>
              <w:lang w:bidi="hi-IN"/>
            </w:rPr>
          </w:pPr>
          <w:hyperlink w:anchor="_Toc220974351" w:history="1">
            <w:r w:rsidR="002D1590" w:rsidRPr="00574FD7">
              <w:rPr>
                <w:rStyle w:val="Hyperlink"/>
                <w:rFonts w:ascii="Times New Roman" w:eastAsia="Times New Roman" w:hAnsi="Times New Roman" w:cs="Times New Roman"/>
                <w:b/>
                <w:bCs/>
                <w:noProof/>
              </w:rPr>
              <w:t>FINDINGS</w:t>
            </w:r>
            <w:r w:rsidR="002D1590">
              <w:rPr>
                <w:noProof/>
                <w:webHidden/>
              </w:rPr>
              <w:tab/>
            </w:r>
            <w:r>
              <w:rPr>
                <w:noProof/>
                <w:webHidden/>
              </w:rPr>
              <w:fldChar w:fldCharType="begin"/>
            </w:r>
            <w:r w:rsidR="002D1590">
              <w:rPr>
                <w:noProof/>
                <w:webHidden/>
              </w:rPr>
              <w:instrText xml:space="preserve"> PAGEREF _Toc220974351 \h </w:instrText>
            </w:r>
            <w:r>
              <w:rPr>
                <w:noProof/>
                <w:webHidden/>
              </w:rPr>
            </w:r>
            <w:r>
              <w:rPr>
                <w:noProof/>
                <w:webHidden/>
              </w:rPr>
              <w:fldChar w:fldCharType="separate"/>
            </w:r>
            <w:r w:rsidR="002D1590">
              <w:rPr>
                <w:noProof/>
                <w:webHidden/>
              </w:rPr>
              <w:t>9</w:t>
            </w:r>
            <w:r>
              <w:rPr>
                <w:noProof/>
                <w:webHidden/>
              </w:rPr>
              <w:fldChar w:fldCharType="end"/>
            </w:r>
          </w:hyperlink>
        </w:p>
        <w:p w:rsidR="002D1590" w:rsidRDefault="00AF37D0">
          <w:pPr>
            <w:pStyle w:val="TOC3"/>
            <w:tabs>
              <w:tab w:val="right" w:leader="dot" w:pos="9350"/>
            </w:tabs>
            <w:rPr>
              <w:rFonts w:eastAsiaTheme="minorEastAsia"/>
              <w:noProof/>
              <w:szCs w:val="20"/>
              <w:lang w:bidi="hi-IN"/>
            </w:rPr>
          </w:pPr>
          <w:hyperlink w:anchor="_Toc220974352" w:history="1">
            <w:r w:rsidR="002D1590" w:rsidRPr="00574FD7">
              <w:rPr>
                <w:rStyle w:val="Hyperlink"/>
                <w:rFonts w:ascii="Times New Roman" w:eastAsia="Times New Roman" w:hAnsi="Times New Roman" w:cs="Times New Roman"/>
                <w:b/>
                <w:bCs/>
                <w:noProof/>
              </w:rPr>
              <w:t>Participant Awareness and Informed Consent</w:t>
            </w:r>
            <w:r w:rsidR="002D1590">
              <w:rPr>
                <w:noProof/>
                <w:webHidden/>
              </w:rPr>
              <w:tab/>
            </w:r>
            <w:r>
              <w:rPr>
                <w:noProof/>
                <w:webHidden/>
              </w:rPr>
              <w:fldChar w:fldCharType="begin"/>
            </w:r>
            <w:r w:rsidR="002D1590">
              <w:rPr>
                <w:noProof/>
                <w:webHidden/>
              </w:rPr>
              <w:instrText xml:space="preserve"> PAGEREF _Toc220974352 \h </w:instrText>
            </w:r>
            <w:r>
              <w:rPr>
                <w:noProof/>
                <w:webHidden/>
              </w:rPr>
            </w:r>
            <w:r>
              <w:rPr>
                <w:noProof/>
                <w:webHidden/>
              </w:rPr>
              <w:fldChar w:fldCharType="separate"/>
            </w:r>
            <w:r w:rsidR="002D1590">
              <w:rPr>
                <w:noProof/>
                <w:webHidden/>
              </w:rPr>
              <w:t>9</w:t>
            </w:r>
            <w:r>
              <w:rPr>
                <w:noProof/>
                <w:webHidden/>
              </w:rPr>
              <w:fldChar w:fldCharType="end"/>
            </w:r>
          </w:hyperlink>
        </w:p>
        <w:p w:rsidR="002D1590" w:rsidRDefault="00AF37D0">
          <w:pPr>
            <w:pStyle w:val="TOC3"/>
            <w:tabs>
              <w:tab w:val="right" w:leader="dot" w:pos="9350"/>
            </w:tabs>
            <w:rPr>
              <w:rFonts w:eastAsiaTheme="minorEastAsia"/>
              <w:noProof/>
              <w:szCs w:val="20"/>
              <w:lang w:bidi="hi-IN"/>
            </w:rPr>
          </w:pPr>
          <w:hyperlink w:anchor="_Toc220974353" w:history="1">
            <w:r w:rsidR="002D1590" w:rsidRPr="00574FD7">
              <w:rPr>
                <w:rStyle w:val="Hyperlink"/>
                <w:rFonts w:ascii="Times New Roman" w:eastAsia="Times New Roman" w:hAnsi="Times New Roman" w:cs="Times New Roman"/>
                <w:b/>
                <w:bCs/>
                <w:noProof/>
              </w:rPr>
              <w:t>Operator Compliance with Safety Obligations</w:t>
            </w:r>
            <w:r w:rsidR="002D1590">
              <w:rPr>
                <w:noProof/>
                <w:webHidden/>
              </w:rPr>
              <w:tab/>
            </w:r>
            <w:r>
              <w:rPr>
                <w:noProof/>
                <w:webHidden/>
              </w:rPr>
              <w:fldChar w:fldCharType="begin"/>
            </w:r>
            <w:r w:rsidR="002D1590">
              <w:rPr>
                <w:noProof/>
                <w:webHidden/>
              </w:rPr>
              <w:instrText xml:space="preserve"> PAGEREF _Toc220974353 \h </w:instrText>
            </w:r>
            <w:r>
              <w:rPr>
                <w:noProof/>
                <w:webHidden/>
              </w:rPr>
            </w:r>
            <w:r>
              <w:rPr>
                <w:noProof/>
                <w:webHidden/>
              </w:rPr>
              <w:fldChar w:fldCharType="separate"/>
            </w:r>
            <w:r w:rsidR="002D1590">
              <w:rPr>
                <w:noProof/>
                <w:webHidden/>
              </w:rPr>
              <w:t>9</w:t>
            </w:r>
            <w:r>
              <w:rPr>
                <w:noProof/>
                <w:webHidden/>
              </w:rPr>
              <w:fldChar w:fldCharType="end"/>
            </w:r>
          </w:hyperlink>
        </w:p>
        <w:p w:rsidR="002D1590" w:rsidRDefault="00AF37D0">
          <w:pPr>
            <w:pStyle w:val="TOC3"/>
            <w:tabs>
              <w:tab w:val="right" w:leader="dot" w:pos="9350"/>
            </w:tabs>
            <w:rPr>
              <w:rFonts w:eastAsiaTheme="minorEastAsia"/>
              <w:noProof/>
              <w:szCs w:val="20"/>
              <w:lang w:bidi="hi-IN"/>
            </w:rPr>
          </w:pPr>
          <w:hyperlink w:anchor="_Toc220974354" w:history="1">
            <w:r w:rsidR="002D1590" w:rsidRPr="00574FD7">
              <w:rPr>
                <w:rStyle w:val="Hyperlink"/>
                <w:rFonts w:ascii="Times New Roman" w:eastAsia="Times New Roman" w:hAnsi="Times New Roman" w:cs="Times New Roman"/>
                <w:b/>
                <w:bCs/>
                <w:noProof/>
              </w:rPr>
              <w:t>Unequal Bargaining Power and Contractual Fairness</w:t>
            </w:r>
            <w:r w:rsidR="002D1590">
              <w:rPr>
                <w:noProof/>
                <w:webHidden/>
              </w:rPr>
              <w:tab/>
            </w:r>
            <w:r>
              <w:rPr>
                <w:noProof/>
                <w:webHidden/>
              </w:rPr>
              <w:fldChar w:fldCharType="begin"/>
            </w:r>
            <w:r w:rsidR="002D1590">
              <w:rPr>
                <w:noProof/>
                <w:webHidden/>
              </w:rPr>
              <w:instrText xml:space="preserve"> PAGEREF _Toc220974354 \h </w:instrText>
            </w:r>
            <w:r>
              <w:rPr>
                <w:noProof/>
                <w:webHidden/>
              </w:rPr>
            </w:r>
            <w:r>
              <w:rPr>
                <w:noProof/>
                <w:webHidden/>
              </w:rPr>
              <w:fldChar w:fldCharType="separate"/>
            </w:r>
            <w:r w:rsidR="002D1590">
              <w:rPr>
                <w:noProof/>
                <w:webHidden/>
              </w:rPr>
              <w:t>9</w:t>
            </w:r>
            <w:r>
              <w:rPr>
                <w:noProof/>
                <w:webHidden/>
              </w:rPr>
              <w:fldChar w:fldCharType="end"/>
            </w:r>
          </w:hyperlink>
        </w:p>
        <w:p w:rsidR="002D1590" w:rsidRDefault="00AF37D0">
          <w:pPr>
            <w:pStyle w:val="TOC2"/>
            <w:tabs>
              <w:tab w:val="right" w:leader="dot" w:pos="9350"/>
            </w:tabs>
            <w:rPr>
              <w:rFonts w:eastAsiaTheme="minorEastAsia"/>
              <w:noProof/>
              <w:szCs w:val="20"/>
              <w:lang w:bidi="hi-IN"/>
            </w:rPr>
          </w:pPr>
          <w:hyperlink w:anchor="_Toc220974355" w:history="1">
            <w:r w:rsidR="002D1590" w:rsidRPr="00574FD7">
              <w:rPr>
                <w:rStyle w:val="Hyperlink"/>
                <w:rFonts w:ascii="Times New Roman" w:eastAsia="Times New Roman" w:hAnsi="Times New Roman" w:cs="Times New Roman"/>
                <w:b/>
                <w:bCs/>
                <w:noProof/>
              </w:rPr>
              <w:t>REAL-WORLD CONTRACT DISPUTES IN ADVENTURE TOURISM</w:t>
            </w:r>
            <w:r w:rsidR="002D1590">
              <w:rPr>
                <w:noProof/>
                <w:webHidden/>
              </w:rPr>
              <w:tab/>
            </w:r>
            <w:r>
              <w:rPr>
                <w:noProof/>
                <w:webHidden/>
              </w:rPr>
              <w:fldChar w:fldCharType="begin"/>
            </w:r>
            <w:r w:rsidR="002D1590">
              <w:rPr>
                <w:noProof/>
                <w:webHidden/>
              </w:rPr>
              <w:instrText xml:space="preserve"> PAGEREF _Toc220974355 \h </w:instrText>
            </w:r>
            <w:r>
              <w:rPr>
                <w:noProof/>
                <w:webHidden/>
              </w:rPr>
            </w:r>
            <w:r>
              <w:rPr>
                <w:noProof/>
                <w:webHidden/>
              </w:rPr>
              <w:fldChar w:fldCharType="separate"/>
            </w:r>
            <w:r w:rsidR="002D1590">
              <w:rPr>
                <w:noProof/>
                <w:webHidden/>
              </w:rPr>
              <w:t>10</w:t>
            </w:r>
            <w:r>
              <w:rPr>
                <w:noProof/>
                <w:webHidden/>
              </w:rPr>
              <w:fldChar w:fldCharType="end"/>
            </w:r>
          </w:hyperlink>
        </w:p>
        <w:p w:rsidR="002D1590" w:rsidRDefault="00AF37D0">
          <w:pPr>
            <w:pStyle w:val="TOC3"/>
            <w:tabs>
              <w:tab w:val="right" w:leader="dot" w:pos="9350"/>
            </w:tabs>
            <w:rPr>
              <w:rFonts w:eastAsiaTheme="minorEastAsia"/>
              <w:noProof/>
              <w:szCs w:val="20"/>
              <w:lang w:bidi="hi-IN"/>
            </w:rPr>
          </w:pPr>
          <w:hyperlink w:anchor="_Toc220974356" w:history="1">
            <w:r w:rsidR="002D1590" w:rsidRPr="00574FD7">
              <w:rPr>
                <w:rStyle w:val="Hyperlink"/>
                <w:rFonts w:ascii="Times New Roman" w:eastAsia="Times New Roman" w:hAnsi="Times New Roman" w:cs="Times New Roman"/>
                <w:b/>
                <w:bCs/>
                <w:noProof/>
              </w:rPr>
              <w:t>Case Study 1: Injury Claims and Liability Waivers</w:t>
            </w:r>
            <w:r w:rsidR="002D1590">
              <w:rPr>
                <w:noProof/>
                <w:webHidden/>
              </w:rPr>
              <w:tab/>
            </w:r>
            <w:r>
              <w:rPr>
                <w:noProof/>
                <w:webHidden/>
              </w:rPr>
              <w:fldChar w:fldCharType="begin"/>
            </w:r>
            <w:r w:rsidR="002D1590">
              <w:rPr>
                <w:noProof/>
                <w:webHidden/>
              </w:rPr>
              <w:instrText xml:space="preserve"> PAGEREF _Toc220974356 \h </w:instrText>
            </w:r>
            <w:r>
              <w:rPr>
                <w:noProof/>
                <w:webHidden/>
              </w:rPr>
            </w:r>
            <w:r>
              <w:rPr>
                <w:noProof/>
                <w:webHidden/>
              </w:rPr>
              <w:fldChar w:fldCharType="separate"/>
            </w:r>
            <w:r w:rsidR="002D1590">
              <w:rPr>
                <w:noProof/>
                <w:webHidden/>
              </w:rPr>
              <w:t>10</w:t>
            </w:r>
            <w:r>
              <w:rPr>
                <w:noProof/>
                <w:webHidden/>
              </w:rPr>
              <w:fldChar w:fldCharType="end"/>
            </w:r>
          </w:hyperlink>
        </w:p>
        <w:p w:rsidR="002D1590" w:rsidRDefault="00AF37D0">
          <w:pPr>
            <w:pStyle w:val="TOC3"/>
            <w:tabs>
              <w:tab w:val="right" w:leader="dot" w:pos="9350"/>
            </w:tabs>
            <w:rPr>
              <w:rFonts w:eastAsiaTheme="minorEastAsia"/>
              <w:noProof/>
              <w:szCs w:val="20"/>
              <w:lang w:bidi="hi-IN"/>
            </w:rPr>
          </w:pPr>
          <w:hyperlink w:anchor="_Toc220974357" w:history="1">
            <w:r w:rsidR="002D1590" w:rsidRPr="00574FD7">
              <w:rPr>
                <w:rStyle w:val="Hyperlink"/>
                <w:rFonts w:ascii="Times New Roman" w:eastAsia="Times New Roman" w:hAnsi="Times New Roman" w:cs="Times New Roman"/>
                <w:b/>
                <w:bCs/>
                <w:noProof/>
              </w:rPr>
              <w:t>Case Study 2: Misrepresentation of Risk</w:t>
            </w:r>
            <w:r w:rsidR="002D1590">
              <w:rPr>
                <w:noProof/>
                <w:webHidden/>
              </w:rPr>
              <w:tab/>
            </w:r>
            <w:r>
              <w:rPr>
                <w:noProof/>
                <w:webHidden/>
              </w:rPr>
              <w:fldChar w:fldCharType="begin"/>
            </w:r>
            <w:r w:rsidR="002D1590">
              <w:rPr>
                <w:noProof/>
                <w:webHidden/>
              </w:rPr>
              <w:instrText xml:space="preserve"> PAGEREF _Toc220974357 \h </w:instrText>
            </w:r>
            <w:r>
              <w:rPr>
                <w:noProof/>
                <w:webHidden/>
              </w:rPr>
            </w:r>
            <w:r>
              <w:rPr>
                <w:noProof/>
                <w:webHidden/>
              </w:rPr>
              <w:fldChar w:fldCharType="separate"/>
            </w:r>
            <w:r w:rsidR="002D1590">
              <w:rPr>
                <w:noProof/>
                <w:webHidden/>
              </w:rPr>
              <w:t>10</w:t>
            </w:r>
            <w:r>
              <w:rPr>
                <w:noProof/>
                <w:webHidden/>
              </w:rPr>
              <w:fldChar w:fldCharType="end"/>
            </w:r>
          </w:hyperlink>
        </w:p>
        <w:p w:rsidR="002D1590" w:rsidRDefault="00AF37D0">
          <w:pPr>
            <w:pStyle w:val="TOC3"/>
            <w:tabs>
              <w:tab w:val="right" w:leader="dot" w:pos="9350"/>
            </w:tabs>
            <w:rPr>
              <w:rFonts w:eastAsiaTheme="minorEastAsia"/>
              <w:noProof/>
              <w:szCs w:val="20"/>
              <w:lang w:bidi="hi-IN"/>
            </w:rPr>
          </w:pPr>
          <w:hyperlink w:anchor="_Toc220974358" w:history="1">
            <w:r w:rsidR="002D1590" w:rsidRPr="00574FD7">
              <w:rPr>
                <w:rStyle w:val="Hyperlink"/>
                <w:rFonts w:ascii="Times New Roman" w:eastAsia="Times New Roman" w:hAnsi="Times New Roman" w:cs="Times New Roman"/>
                <w:b/>
                <w:bCs/>
                <w:noProof/>
              </w:rPr>
              <w:t>Case Study 3: Equipment Failure and Operator Responsibility</w:t>
            </w:r>
            <w:r w:rsidR="002D1590">
              <w:rPr>
                <w:noProof/>
                <w:webHidden/>
              </w:rPr>
              <w:tab/>
            </w:r>
            <w:r>
              <w:rPr>
                <w:noProof/>
                <w:webHidden/>
              </w:rPr>
              <w:fldChar w:fldCharType="begin"/>
            </w:r>
            <w:r w:rsidR="002D1590">
              <w:rPr>
                <w:noProof/>
                <w:webHidden/>
              </w:rPr>
              <w:instrText xml:space="preserve"> PAGEREF _Toc220974358 \h </w:instrText>
            </w:r>
            <w:r>
              <w:rPr>
                <w:noProof/>
                <w:webHidden/>
              </w:rPr>
            </w:r>
            <w:r>
              <w:rPr>
                <w:noProof/>
                <w:webHidden/>
              </w:rPr>
              <w:fldChar w:fldCharType="separate"/>
            </w:r>
            <w:r w:rsidR="002D1590">
              <w:rPr>
                <w:noProof/>
                <w:webHidden/>
              </w:rPr>
              <w:t>10</w:t>
            </w:r>
            <w:r>
              <w:rPr>
                <w:noProof/>
                <w:webHidden/>
              </w:rPr>
              <w:fldChar w:fldCharType="end"/>
            </w:r>
          </w:hyperlink>
        </w:p>
        <w:p w:rsidR="002D1590" w:rsidRDefault="00AF37D0">
          <w:pPr>
            <w:pStyle w:val="TOC2"/>
            <w:tabs>
              <w:tab w:val="right" w:leader="dot" w:pos="9350"/>
            </w:tabs>
            <w:rPr>
              <w:rFonts w:eastAsiaTheme="minorEastAsia"/>
              <w:noProof/>
              <w:szCs w:val="20"/>
              <w:lang w:bidi="hi-IN"/>
            </w:rPr>
          </w:pPr>
          <w:hyperlink w:anchor="_Toc220974359" w:history="1">
            <w:r w:rsidR="002D1590" w:rsidRPr="00574FD7">
              <w:rPr>
                <w:rStyle w:val="Hyperlink"/>
                <w:rFonts w:ascii="Times New Roman" w:eastAsia="Times New Roman" w:hAnsi="Times New Roman" w:cs="Times New Roman"/>
                <w:b/>
                <w:bCs/>
                <w:noProof/>
              </w:rPr>
              <w:t>REMEDIES AVAILABLE UNDER CONTRACT LAW</w:t>
            </w:r>
            <w:r w:rsidR="002D1590">
              <w:rPr>
                <w:noProof/>
                <w:webHidden/>
              </w:rPr>
              <w:tab/>
            </w:r>
            <w:r>
              <w:rPr>
                <w:noProof/>
                <w:webHidden/>
              </w:rPr>
              <w:fldChar w:fldCharType="begin"/>
            </w:r>
            <w:r w:rsidR="002D1590">
              <w:rPr>
                <w:noProof/>
                <w:webHidden/>
              </w:rPr>
              <w:instrText xml:space="preserve"> PAGEREF _Toc220974359 \h </w:instrText>
            </w:r>
            <w:r>
              <w:rPr>
                <w:noProof/>
                <w:webHidden/>
              </w:rPr>
            </w:r>
            <w:r>
              <w:rPr>
                <w:noProof/>
                <w:webHidden/>
              </w:rPr>
              <w:fldChar w:fldCharType="separate"/>
            </w:r>
            <w:r w:rsidR="002D1590">
              <w:rPr>
                <w:noProof/>
                <w:webHidden/>
              </w:rPr>
              <w:t>11</w:t>
            </w:r>
            <w:r>
              <w:rPr>
                <w:noProof/>
                <w:webHidden/>
              </w:rPr>
              <w:fldChar w:fldCharType="end"/>
            </w:r>
          </w:hyperlink>
        </w:p>
        <w:p w:rsidR="002D1590" w:rsidRDefault="00AF37D0">
          <w:pPr>
            <w:pStyle w:val="TOC2"/>
            <w:tabs>
              <w:tab w:val="right" w:leader="dot" w:pos="9350"/>
            </w:tabs>
            <w:rPr>
              <w:rFonts w:eastAsiaTheme="minorEastAsia"/>
              <w:noProof/>
              <w:szCs w:val="20"/>
              <w:lang w:bidi="hi-IN"/>
            </w:rPr>
          </w:pPr>
          <w:hyperlink w:anchor="_Toc220974362" w:history="1">
            <w:r w:rsidR="002D1590" w:rsidRPr="00574FD7">
              <w:rPr>
                <w:rStyle w:val="Hyperlink"/>
                <w:rFonts w:ascii="Times New Roman" w:eastAsia="Times New Roman" w:hAnsi="Times New Roman" w:cs="Times New Roman"/>
                <w:b/>
                <w:bCs/>
                <w:noProof/>
              </w:rPr>
              <w:t>DISCUSSION</w:t>
            </w:r>
            <w:r w:rsidR="002D1590">
              <w:rPr>
                <w:noProof/>
                <w:webHidden/>
              </w:rPr>
              <w:tab/>
            </w:r>
            <w:r>
              <w:rPr>
                <w:noProof/>
                <w:webHidden/>
              </w:rPr>
              <w:fldChar w:fldCharType="begin"/>
            </w:r>
            <w:r w:rsidR="002D1590">
              <w:rPr>
                <w:noProof/>
                <w:webHidden/>
              </w:rPr>
              <w:instrText xml:space="preserve"> PAGEREF _Toc220974362 \h </w:instrText>
            </w:r>
            <w:r>
              <w:rPr>
                <w:noProof/>
                <w:webHidden/>
              </w:rPr>
            </w:r>
            <w:r>
              <w:rPr>
                <w:noProof/>
                <w:webHidden/>
              </w:rPr>
              <w:fldChar w:fldCharType="separate"/>
            </w:r>
            <w:r w:rsidR="002D1590">
              <w:rPr>
                <w:noProof/>
                <w:webHidden/>
              </w:rPr>
              <w:t>11</w:t>
            </w:r>
            <w:r>
              <w:rPr>
                <w:noProof/>
                <w:webHidden/>
              </w:rPr>
              <w:fldChar w:fldCharType="end"/>
            </w:r>
          </w:hyperlink>
        </w:p>
        <w:p w:rsidR="002D1590" w:rsidRDefault="00AF37D0">
          <w:pPr>
            <w:pStyle w:val="TOC3"/>
            <w:tabs>
              <w:tab w:val="right" w:leader="dot" w:pos="9350"/>
            </w:tabs>
            <w:rPr>
              <w:rFonts w:eastAsiaTheme="minorEastAsia"/>
              <w:noProof/>
              <w:szCs w:val="20"/>
              <w:lang w:bidi="hi-IN"/>
            </w:rPr>
          </w:pPr>
          <w:hyperlink w:anchor="_Toc220974363" w:history="1">
            <w:r w:rsidR="002D1590" w:rsidRPr="00574FD7">
              <w:rPr>
                <w:rStyle w:val="Hyperlink"/>
                <w:rFonts w:ascii="Times New Roman" w:eastAsia="Times New Roman" w:hAnsi="Times New Roman" w:cs="Times New Roman"/>
                <w:b/>
                <w:bCs/>
                <w:noProof/>
              </w:rPr>
              <w:t>Effectiveness of Contract Law in Adventure Tourism</w:t>
            </w:r>
            <w:r w:rsidR="002D1590">
              <w:rPr>
                <w:noProof/>
                <w:webHidden/>
              </w:rPr>
              <w:tab/>
            </w:r>
            <w:r>
              <w:rPr>
                <w:noProof/>
                <w:webHidden/>
              </w:rPr>
              <w:fldChar w:fldCharType="begin"/>
            </w:r>
            <w:r w:rsidR="002D1590">
              <w:rPr>
                <w:noProof/>
                <w:webHidden/>
              </w:rPr>
              <w:instrText xml:space="preserve"> PAGEREF _Toc220974363 \h </w:instrText>
            </w:r>
            <w:r>
              <w:rPr>
                <w:noProof/>
                <w:webHidden/>
              </w:rPr>
            </w:r>
            <w:r>
              <w:rPr>
                <w:noProof/>
                <w:webHidden/>
              </w:rPr>
              <w:fldChar w:fldCharType="separate"/>
            </w:r>
            <w:r w:rsidR="002D1590">
              <w:rPr>
                <w:noProof/>
                <w:webHidden/>
              </w:rPr>
              <w:t>11</w:t>
            </w:r>
            <w:r>
              <w:rPr>
                <w:noProof/>
                <w:webHidden/>
              </w:rPr>
              <w:fldChar w:fldCharType="end"/>
            </w:r>
          </w:hyperlink>
        </w:p>
        <w:p w:rsidR="002D1590" w:rsidRDefault="00AF37D0">
          <w:pPr>
            <w:pStyle w:val="TOC3"/>
            <w:tabs>
              <w:tab w:val="right" w:leader="dot" w:pos="9350"/>
            </w:tabs>
            <w:rPr>
              <w:rFonts w:eastAsiaTheme="minorEastAsia"/>
              <w:noProof/>
              <w:szCs w:val="20"/>
              <w:lang w:bidi="hi-IN"/>
            </w:rPr>
          </w:pPr>
          <w:hyperlink w:anchor="_Toc220974364" w:history="1">
            <w:r w:rsidR="002D1590" w:rsidRPr="00574FD7">
              <w:rPr>
                <w:rStyle w:val="Hyperlink"/>
                <w:rFonts w:ascii="Times New Roman" w:eastAsia="Times New Roman" w:hAnsi="Times New Roman" w:cs="Times New Roman"/>
                <w:b/>
                <w:bCs/>
                <w:noProof/>
              </w:rPr>
              <w:t>Judicial Scrutiny of Liability Waivers</w:t>
            </w:r>
            <w:r w:rsidR="002D1590">
              <w:rPr>
                <w:noProof/>
                <w:webHidden/>
              </w:rPr>
              <w:tab/>
            </w:r>
            <w:r>
              <w:rPr>
                <w:noProof/>
                <w:webHidden/>
              </w:rPr>
              <w:fldChar w:fldCharType="begin"/>
            </w:r>
            <w:r w:rsidR="002D1590">
              <w:rPr>
                <w:noProof/>
                <w:webHidden/>
              </w:rPr>
              <w:instrText xml:space="preserve"> PAGEREF _Toc220974364 \h </w:instrText>
            </w:r>
            <w:r>
              <w:rPr>
                <w:noProof/>
                <w:webHidden/>
              </w:rPr>
            </w:r>
            <w:r>
              <w:rPr>
                <w:noProof/>
                <w:webHidden/>
              </w:rPr>
              <w:fldChar w:fldCharType="separate"/>
            </w:r>
            <w:r w:rsidR="002D1590">
              <w:rPr>
                <w:noProof/>
                <w:webHidden/>
              </w:rPr>
              <w:t>12</w:t>
            </w:r>
            <w:r>
              <w:rPr>
                <w:noProof/>
                <w:webHidden/>
              </w:rPr>
              <w:fldChar w:fldCharType="end"/>
            </w:r>
          </w:hyperlink>
        </w:p>
        <w:p w:rsidR="002D1590" w:rsidRDefault="00AF37D0">
          <w:pPr>
            <w:pStyle w:val="TOC3"/>
            <w:tabs>
              <w:tab w:val="right" w:leader="dot" w:pos="9350"/>
            </w:tabs>
            <w:rPr>
              <w:rFonts w:eastAsiaTheme="minorEastAsia"/>
              <w:noProof/>
              <w:szCs w:val="20"/>
              <w:lang w:bidi="hi-IN"/>
            </w:rPr>
          </w:pPr>
          <w:hyperlink w:anchor="_Toc220974365" w:history="1">
            <w:r w:rsidR="002D1590" w:rsidRPr="00574FD7">
              <w:rPr>
                <w:rStyle w:val="Hyperlink"/>
                <w:rFonts w:ascii="Times New Roman" w:eastAsia="Times New Roman" w:hAnsi="Times New Roman" w:cs="Times New Roman"/>
                <w:b/>
                <w:bCs/>
                <w:noProof/>
              </w:rPr>
              <w:t>Implications for Adventure Tourism Operators</w:t>
            </w:r>
            <w:r w:rsidR="002D1590">
              <w:rPr>
                <w:noProof/>
                <w:webHidden/>
              </w:rPr>
              <w:tab/>
            </w:r>
            <w:r>
              <w:rPr>
                <w:noProof/>
                <w:webHidden/>
              </w:rPr>
              <w:fldChar w:fldCharType="begin"/>
            </w:r>
            <w:r w:rsidR="002D1590">
              <w:rPr>
                <w:noProof/>
                <w:webHidden/>
              </w:rPr>
              <w:instrText xml:space="preserve"> PAGEREF _Toc220974365 \h </w:instrText>
            </w:r>
            <w:r>
              <w:rPr>
                <w:noProof/>
                <w:webHidden/>
              </w:rPr>
            </w:r>
            <w:r>
              <w:rPr>
                <w:noProof/>
                <w:webHidden/>
              </w:rPr>
              <w:fldChar w:fldCharType="separate"/>
            </w:r>
            <w:r w:rsidR="002D1590">
              <w:rPr>
                <w:noProof/>
                <w:webHidden/>
              </w:rPr>
              <w:t>12</w:t>
            </w:r>
            <w:r>
              <w:rPr>
                <w:noProof/>
                <w:webHidden/>
              </w:rPr>
              <w:fldChar w:fldCharType="end"/>
            </w:r>
          </w:hyperlink>
        </w:p>
        <w:p w:rsidR="002D1590" w:rsidRDefault="00AF37D0">
          <w:pPr>
            <w:pStyle w:val="TOC3"/>
            <w:tabs>
              <w:tab w:val="right" w:leader="dot" w:pos="9350"/>
            </w:tabs>
            <w:rPr>
              <w:rFonts w:eastAsiaTheme="minorEastAsia"/>
              <w:noProof/>
              <w:szCs w:val="20"/>
              <w:lang w:bidi="hi-IN"/>
            </w:rPr>
          </w:pPr>
          <w:hyperlink w:anchor="_Toc220974366" w:history="1">
            <w:r w:rsidR="002D1590" w:rsidRPr="00574FD7">
              <w:rPr>
                <w:rStyle w:val="Hyperlink"/>
                <w:rFonts w:ascii="Times New Roman" w:eastAsia="Times New Roman" w:hAnsi="Times New Roman" w:cs="Times New Roman"/>
                <w:b/>
                <w:bCs/>
                <w:noProof/>
              </w:rPr>
              <w:t>Broader Implications for Tourism Law</w:t>
            </w:r>
            <w:r w:rsidR="002D1590">
              <w:rPr>
                <w:noProof/>
                <w:webHidden/>
              </w:rPr>
              <w:tab/>
            </w:r>
            <w:r>
              <w:rPr>
                <w:noProof/>
                <w:webHidden/>
              </w:rPr>
              <w:fldChar w:fldCharType="begin"/>
            </w:r>
            <w:r w:rsidR="002D1590">
              <w:rPr>
                <w:noProof/>
                <w:webHidden/>
              </w:rPr>
              <w:instrText xml:space="preserve"> PAGEREF _Toc220974366 \h </w:instrText>
            </w:r>
            <w:r>
              <w:rPr>
                <w:noProof/>
                <w:webHidden/>
              </w:rPr>
            </w:r>
            <w:r>
              <w:rPr>
                <w:noProof/>
                <w:webHidden/>
              </w:rPr>
              <w:fldChar w:fldCharType="separate"/>
            </w:r>
            <w:r w:rsidR="002D1590">
              <w:rPr>
                <w:noProof/>
                <w:webHidden/>
              </w:rPr>
              <w:t>12</w:t>
            </w:r>
            <w:r>
              <w:rPr>
                <w:noProof/>
                <w:webHidden/>
              </w:rPr>
              <w:fldChar w:fldCharType="end"/>
            </w:r>
          </w:hyperlink>
        </w:p>
        <w:p w:rsidR="002D1590" w:rsidRDefault="00AF37D0">
          <w:pPr>
            <w:pStyle w:val="TOC2"/>
            <w:tabs>
              <w:tab w:val="right" w:leader="dot" w:pos="9350"/>
            </w:tabs>
            <w:rPr>
              <w:rFonts w:eastAsiaTheme="minorEastAsia"/>
              <w:noProof/>
              <w:szCs w:val="20"/>
              <w:lang w:bidi="hi-IN"/>
            </w:rPr>
          </w:pPr>
          <w:hyperlink w:anchor="_Toc220974367" w:history="1">
            <w:r w:rsidR="002D1590" w:rsidRPr="00574FD7">
              <w:rPr>
                <w:rStyle w:val="Hyperlink"/>
                <w:rFonts w:ascii="Times New Roman" w:eastAsia="Times New Roman" w:hAnsi="Times New Roman" w:cs="Times New Roman"/>
                <w:b/>
                <w:bCs/>
                <w:noProof/>
              </w:rPr>
              <w:t>CONCLUSION</w:t>
            </w:r>
            <w:r w:rsidR="002D1590">
              <w:rPr>
                <w:noProof/>
                <w:webHidden/>
              </w:rPr>
              <w:tab/>
            </w:r>
            <w:r>
              <w:rPr>
                <w:noProof/>
                <w:webHidden/>
              </w:rPr>
              <w:fldChar w:fldCharType="begin"/>
            </w:r>
            <w:r w:rsidR="002D1590">
              <w:rPr>
                <w:noProof/>
                <w:webHidden/>
              </w:rPr>
              <w:instrText xml:space="preserve"> PAGEREF _Toc220974367 \h </w:instrText>
            </w:r>
            <w:r>
              <w:rPr>
                <w:noProof/>
                <w:webHidden/>
              </w:rPr>
            </w:r>
            <w:r>
              <w:rPr>
                <w:noProof/>
                <w:webHidden/>
              </w:rPr>
              <w:fldChar w:fldCharType="separate"/>
            </w:r>
            <w:r w:rsidR="002D1590">
              <w:rPr>
                <w:noProof/>
                <w:webHidden/>
              </w:rPr>
              <w:t>13</w:t>
            </w:r>
            <w:r>
              <w:rPr>
                <w:noProof/>
                <w:webHidden/>
              </w:rPr>
              <w:fldChar w:fldCharType="end"/>
            </w:r>
          </w:hyperlink>
        </w:p>
        <w:p w:rsidR="002D1590" w:rsidRDefault="00AF37D0">
          <w:pPr>
            <w:pStyle w:val="TOC2"/>
            <w:tabs>
              <w:tab w:val="right" w:leader="dot" w:pos="9350"/>
            </w:tabs>
            <w:rPr>
              <w:rFonts w:eastAsiaTheme="minorEastAsia"/>
              <w:noProof/>
              <w:szCs w:val="20"/>
              <w:lang w:bidi="hi-IN"/>
            </w:rPr>
          </w:pPr>
          <w:hyperlink w:anchor="_Toc220974368" w:history="1">
            <w:r w:rsidR="002D1590" w:rsidRPr="00574FD7">
              <w:rPr>
                <w:rStyle w:val="Hyperlink"/>
                <w:rFonts w:ascii="Times New Roman" w:eastAsia="Times New Roman" w:hAnsi="Times New Roman" w:cs="Times New Roman"/>
                <w:b/>
                <w:bCs/>
                <w:noProof/>
              </w:rPr>
              <w:t>REFERENCES</w:t>
            </w:r>
            <w:r w:rsidR="002D1590">
              <w:rPr>
                <w:noProof/>
                <w:webHidden/>
              </w:rPr>
              <w:tab/>
            </w:r>
            <w:r>
              <w:rPr>
                <w:noProof/>
                <w:webHidden/>
              </w:rPr>
              <w:fldChar w:fldCharType="begin"/>
            </w:r>
            <w:r w:rsidR="002D1590">
              <w:rPr>
                <w:noProof/>
                <w:webHidden/>
              </w:rPr>
              <w:instrText xml:space="preserve"> PAGEREF _Toc220974368 \h </w:instrText>
            </w:r>
            <w:r>
              <w:rPr>
                <w:noProof/>
                <w:webHidden/>
              </w:rPr>
            </w:r>
            <w:r>
              <w:rPr>
                <w:noProof/>
                <w:webHidden/>
              </w:rPr>
              <w:fldChar w:fldCharType="separate"/>
            </w:r>
            <w:r w:rsidR="002D1590">
              <w:rPr>
                <w:noProof/>
                <w:webHidden/>
              </w:rPr>
              <w:t>14</w:t>
            </w:r>
            <w:r>
              <w:rPr>
                <w:noProof/>
                <w:webHidden/>
              </w:rPr>
              <w:fldChar w:fldCharType="end"/>
            </w:r>
          </w:hyperlink>
        </w:p>
        <w:p w:rsidR="00104B14" w:rsidRDefault="00AF37D0">
          <w:r>
            <w:fldChar w:fldCharType="end"/>
          </w:r>
        </w:p>
      </w:sdtContent>
    </w:sdt>
    <w:p w:rsidR="00B40157" w:rsidRDefault="00B40157" w:rsidP="0073559F">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sectPr w:rsidR="00B40157" w:rsidSect="00AA6995">
          <w:pgSz w:w="12240" w:h="15840"/>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pPr>
    </w:p>
    <w:p w:rsidR="00634A74" w:rsidRPr="00634A74" w:rsidRDefault="00634A74" w:rsidP="00634A74">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0" w:name="_Toc220974338"/>
      <w:r w:rsidRPr="00634A74">
        <w:rPr>
          <w:rFonts w:ascii="Times New Roman" w:eastAsia="Times New Roman" w:hAnsi="Times New Roman" w:cs="Times New Roman"/>
          <w:b/>
          <w:bCs/>
          <w:sz w:val="36"/>
          <w:szCs w:val="36"/>
          <w:lang w:bidi="hi-IN"/>
        </w:rPr>
        <w:lastRenderedPageBreak/>
        <w:t>ABSTRACT</w:t>
      </w:r>
      <w:bookmarkEnd w:id="0"/>
    </w:p>
    <w:p w:rsidR="002D1590" w:rsidRPr="002D1590" w:rsidRDefault="002D1590" w:rsidP="002D1590">
      <w:pPr>
        <w:spacing w:before="100" w:beforeAutospacing="1" w:after="100" w:afterAutospacing="1" w:line="240" w:lineRule="auto"/>
        <w:rPr>
          <w:rFonts w:ascii="Times New Roman" w:eastAsia="Times New Roman" w:hAnsi="Times New Roman" w:cs="Times New Roman"/>
          <w:sz w:val="24"/>
          <w:szCs w:val="24"/>
          <w:lang w:bidi="hi-IN"/>
        </w:rPr>
      </w:pPr>
      <w:r w:rsidRPr="002D1590">
        <w:rPr>
          <w:rFonts w:ascii="Times New Roman" w:eastAsia="Times New Roman" w:hAnsi="Times New Roman" w:cs="Times New Roman"/>
          <w:sz w:val="24"/>
          <w:szCs w:val="24"/>
          <w:lang w:bidi="hi-IN"/>
        </w:rPr>
        <w:t>Adventure tourism has emerged as a rapidly expanding segment of the global tourism industry, offering a wide range of high-risk recreational activities such as trekking, scuba diving, rafting, skydiving, and mountaineering. The inherent physical risks associated with these activities create complex legal relationships between adventure tourism operators and participants. As a result, contractual arrangements in this sector are heavily influenced by liability waivers and exclusion clauses that seek to allocate risk and limit the legal responsibility of service providers.</w:t>
      </w:r>
    </w:p>
    <w:p w:rsidR="002D1590" w:rsidRPr="002D1590" w:rsidRDefault="002D1590" w:rsidP="002D1590">
      <w:pPr>
        <w:spacing w:before="100" w:beforeAutospacing="1" w:after="100" w:afterAutospacing="1" w:line="240" w:lineRule="auto"/>
        <w:rPr>
          <w:rFonts w:ascii="Times New Roman" w:eastAsia="Times New Roman" w:hAnsi="Times New Roman" w:cs="Times New Roman"/>
          <w:sz w:val="24"/>
          <w:szCs w:val="24"/>
          <w:lang w:bidi="hi-IN"/>
        </w:rPr>
      </w:pPr>
      <w:r w:rsidRPr="002D1590">
        <w:rPr>
          <w:rFonts w:ascii="Times New Roman" w:eastAsia="Times New Roman" w:hAnsi="Times New Roman" w:cs="Times New Roman"/>
          <w:sz w:val="24"/>
          <w:szCs w:val="24"/>
          <w:lang w:bidi="hi-IN"/>
        </w:rPr>
        <w:t>This assignment examines the role of contract law in regulating adventure tourism, with a specific focus on contracts formed between adventure tour operators and participants. It analyses the essential elements of a valid contract, including offer, acceptance, consideration, and intention to create legal relations, in the context of high-risk tourism activities. Particular attention is given to the structure and content of liability waivers and their function as risk management tools within adventure tourism contracts.</w:t>
      </w:r>
    </w:p>
    <w:p w:rsidR="002D1590" w:rsidRPr="002D1590" w:rsidRDefault="002D1590" w:rsidP="002D1590">
      <w:pPr>
        <w:spacing w:before="100" w:beforeAutospacing="1" w:after="100" w:afterAutospacing="1" w:line="240" w:lineRule="auto"/>
        <w:rPr>
          <w:rFonts w:ascii="Times New Roman" w:eastAsia="Times New Roman" w:hAnsi="Times New Roman" w:cs="Times New Roman"/>
          <w:sz w:val="24"/>
          <w:szCs w:val="24"/>
          <w:lang w:bidi="hi-IN"/>
        </w:rPr>
      </w:pPr>
      <w:r w:rsidRPr="002D1590">
        <w:rPr>
          <w:rFonts w:ascii="Times New Roman" w:eastAsia="Times New Roman" w:hAnsi="Times New Roman" w:cs="Times New Roman"/>
          <w:sz w:val="24"/>
          <w:szCs w:val="24"/>
          <w:lang w:bidi="hi-IN"/>
        </w:rPr>
        <w:t>The study further critically evaluates key contractual issues such as assumption of risk, negligence, misrepresentation, and unequal bargaining power. It explores how these factors affect the enforceability of liability waivers and the extent to which participants can be deemed to have given informed consent. Through a doctrinal research methodology supported by legal literature and relevant case law, the assignment assesses how courts interpret and apply contractual principles in disputes arising from adventure tourism activities.</w:t>
      </w:r>
    </w:p>
    <w:p w:rsidR="002D1590" w:rsidRPr="002D1590" w:rsidRDefault="002D1590" w:rsidP="002D1590">
      <w:pPr>
        <w:spacing w:before="100" w:beforeAutospacing="1" w:after="100" w:afterAutospacing="1" w:line="240" w:lineRule="auto"/>
        <w:rPr>
          <w:rFonts w:ascii="Times New Roman" w:eastAsia="Times New Roman" w:hAnsi="Times New Roman" w:cs="Times New Roman"/>
          <w:sz w:val="24"/>
          <w:szCs w:val="24"/>
          <w:lang w:bidi="hi-IN"/>
        </w:rPr>
      </w:pPr>
      <w:r w:rsidRPr="002D1590">
        <w:rPr>
          <w:rFonts w:ascii="Times New Roman" w:eastAsia="Times New Roman" w:hAnsi="Times New Roman" w:cs="Times New Roman"/>
          <w:sz w:val="24"/>
          <w:szCs w:val="24"/>
          <w:lang w:bidi="hi-IN"/>
        </w:rPr>
        <w:t>The findings suggest that while contract law permits a degree of risk allocation through liability waivers, judicial intervention is common where contractual terms are unclear, unfair, or contrary to public policy. Courts frequently restrict the enforcement of exclusion clauses that attempt to absolve operators from negligence or inadequate safety standards. The study concludes that transparent contractual practices, clear risk disclosure, and informed participant consent are essential for ensuring fairness, accountability, and legal certainty in adventure tourism contracts.</w:t>
      </w:r>
    </w:p>
    <w:p w:rsidR="00634A74" w:rsidRPr="00634A74" w:rsidRDefault="00634A74" w:rsidP="00634A74">
      <w:pPr>
        <w:spacing w:after="0" w:line="240" w:lineRule="auto"/>
        <w:rPr>
          <w:rFonts w:ascii="Times New Roman" w:eastAsia="Times New Roman" w:hAnsi="Times New Roman" w:cs="Times New Roman"/>
          <w:sz w:val="24"/>
          <w:szCs w:val="24"/>
          <w:lang w:bidi="hi-IN"/>
        </w:rPr>
      </w:pPr>
    </w:p>
    <w:p w:rsidR="00634A74" w:rsidRPr="00634A74" w:rsidRDefault="00634A74" w:rsidP="00634A74">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1" w:name="_Toc220974339"/>
      <w:r w:rsidRPr="00634A74">
        <w:rPr>
          <w:rFonts w:ascii="Times New Roman" w:eastAsia="Times New Roman" w:hAnsi="Times New Roman" w:cs="Times New Roman"/>
          <w:b/>
          <w:bCs/>
          <w:sz w:val="36"/>
          <w:szCs w:val="36"/>
          <w:lang w:bidi="hi-IN"/>
        </w:rPr>
        <w:t>INTRODUCTION</w:t>
      </w:r>
      <w:bookmarkEnd w:id="1"/>
    </w:p>
    <w:p w:rsidR="00634A74" w:rsidRPr="00634A74" w:rsidRDefault="00634A74" w:rsidP="00634A74">
      <w:pPr>
        <w:spacing w:before="100" w:beforeAutospacing="1" w:after="100" w:afterAutospacing="1" w:line="240" w:lineRule="auto"/>
        <w:rPr>
          <w:rFonts w:ascii="Times New Roman" w:eastAsia="Times New Roman" w:hAnsi="Times New Roman" w:cs="Times New Roman"/>
          <w:sz w:val="24"/>
          <w:szCs w:val="24"/>
          <w:lang w:bidi="hi-IN"/>
        </w:rPr>
      </w:pPr>
      <w:r w:rsidRPr="00634A74">
        <w:rPr>
          <w:rFonts w:ascii="Times New Roman" w:eastAsia="Times New Roman" w:hAnsi="Times New Roman" w:cs="Times New Roman"/>
          <w:sz w:val="24"/>
          <w:szCs w:val="24"/>
          <w:lang w:bidi="hi-IN"/>
        </w:rPr>
        <w:t>Adventure tourism has become one of the most dynamic and profitable segments of the tourism industry, attracting travelers seeking unique, challenging, and high-adrenaline experiences. Activities such as bungee jumping, scuba diving, white-water rafting, zip-lining, and mountain trekking are now widely marketed as recreational tourism products (Sharpley, 2018). Due to the physical risks associated with these activities, adventure tourism relies heavily on contractual agreements to allocate responsibility and manage legal liability. Contract law therefore plays a central role in regulating relationships between adventure tour operators and participants.</w:t>
      </w:r>
    </w:p>
    <w:p w:rsidR="00634A74" w:rsidRPr="00634A74" w:rsidRDefault="00634A74" w:rsidP="00634A74">
      <w:pPr>
        <w:spacing w:before="100" w:beforeAutospacing="1" w:after="100" w:afterAutospacing="1" w:line="240" w:lineRule="auto"/>
        <w:rPr>
          <w:rFonts w:ascii="Times New Roman" w:eastAsia="Times New Roman" w:hAnsi="Times New Roman" w:cs="Times New Roman"/>
          <w:sz w:val="24"/>
          <w:szCs w:val="24"/>
          <w:lang w:bidi="hi-IN"/>
        </w:rPr>
      </w:pPr>
      <w:r w:rsidRPr="00634A74">
        <w:rPr>
          <w:rFonts w:ascii="Times New Roman" w:eastAsia="Times New Roman" w:hAnsi="Times New Roman" w:cs="Times New Roman"/>
          <w:sz w:val="24"/>
          <w:szCs w:val="24"/>
          <w:lang w:bidi="hi-IN"/>
        </w:rPr>
        <w:t xml:space="preserve">Unlike conventional tourism services, adventure tourism involves an elevated risk of injury or loss. As a result, tour operators frequently require participants to sign liability waivers and assumption-of-risk agreements as a condition of participation (Dickerson, 2019). These contracts </w:t>
      </w:r>
      <w:r w:rsidRPr="00634A74">
        <w:rPr>
          <w:rFonts w:ascii="Times New Roman" w:eastAsia="Times New Roman" w:hAnsi="Times New Roman" w:cs="Times New Roman"/>
          <w:sz w:val="24"/>
          <w:szCs w:val="24"/>
          <w:lang w:bidi="hi-IN"/>
        </w:rPr>
        <w:lastRenderedPageBreak/>
        <w:t>seek to limit or exclude the operator’s liability in the event of accidents or injuries. However, the enforceability of such waivers depends on fundamental principles of contract law, including consent, fairness, and public policy considerations (Poole, 2020).</w:t>
      </w:r>
    </w:p>
    <w:p w:rsidR="00634A74" w:rsidRPr="00634A74" w:rsidRDefault="00634A74" w:rsidP="00634A74">
      <w:pPr>
        <w:spacing w:before="100" w:beforeAutospacing="1" w:after="100" w:afterAutospacing="1" w:line="240" w:lineRule="auto"/>
        <w:rPr>
          <w:rFonts w:ascii="Times New Roman" w:eastAsia="Times New Roman" w:hAnsi="Times New Roman" w:cs="Times New Roman"/>
          <w:sz w:val="24"/>
          <w:szCs w:val="24"/>
          <w:lang w:bidi="hi-IN"/>
        </w:rPr>
      </w:pPr>
      <w:r w:rsidRPr="00634A74">
        <w:rPr>
          <w:rFonts w:ascii="Times New Roman" w:eastAsia="Times New Roman" w:hAnsi="Times New Roman" w:cs="Times New Roman"/>
          <w:sz w:val="24"/>
          <w:szCs w:val="24"/>
          <w:lang w:bidi="hi-IN"/>
        </w:rPr>
        <w:t>The increasing commercialization of adventure tourism has raised important legal and ethical questions regarding consumer protection. Tourists often participate in adventure activities without fully understanding the legal consequences of signing liability waivers or the extent of risks involved (Mason &amp; Bohdanowicz, 2020). Courts are therefore frequently called upon to determine whether such contracts are valid, enforceable, and consistent with principles of fairness and reasonable care.</w:t>
      </w:r>
    </w:p>
    <w:p w:rsidR="00634A74" w:rsidRPr="00634A74" w:rsidRDefault="00634A74" w:rsidP="00634A74">
      <w:pPr>
        <w:spacing w:before="100" w:beforeAutospacing="1" w:after="100" w:afterAutospacing="1" w:line="240" w:lineRule="auto"/>
        <w:rPr>
          <w:rFonts w:ascii="Times New Roman" w:eastAsia="Times New Roman" w:hAnsi="Times New Roman" w:cs="Times New Roman"/>
          <w:sz w:val="24"/>
          <w:szCs w:val="24"/>
          <w:lang w:bidi="hi-IN"/>
        </w:rPr>
      </w:pPr>
      <w:r w:rsidRPr="00634A74">
        <w:rPr>
          <w:rFonts w:ascii="Times New Roman" w:eastAsia="Times New Roman" w:hAnsi="Times New Roman" w:cs="Times New Roman"/>
          <w:sz w:val="24"/>
          <w:szCs w:val="24"/>
          <w:lang w:bidi="hi-IN"/>
        </w:rPr>
        <w:t>This assignment examines the role of contract law in the tourism industry by focusing on adventure tourism contracts and liability waivers. The objectives of the study are threefold. First, it analyzes the essential elements required to form a valid adventure tourism contract. Second, it examines the legal status and enforceability of liability waivers used by adventure tour operators. Third, it evaluates how contract law addresses disputes arising from injury, negligence, and misrepresentation in adventure tourism. Through this analysis, the assignment highlights the importance of contract law in balancing risk allocation with consumer protection in high-risk tourism activities.</w:t>
      </w:r>
    </w:p>
    <w:p w:rsidR="00634A74" w:rsidRPr="00634A74" w:rsidRDefault="00634A74" w:rsidP="00634A74">
      <w:pPr>
        <w:spacing w:after="0" w:line="240" w:lineRule="auto"/>
        <w:rPr>
          <w:rFonts w:ascii="Times New Roman" w:eastAsia="Times New Roman" w:hAnsi="Times New Roman" w:cs="Times New Roman"/>
          <w:sz w:val="24"/>
          <w:szCs w:val="24"/>
          <w:lang w:bidi="hi-IN"/>
        </w:rPr>
      </w:pPr>
    </w:p>
    <w:p w:rsidR="00634A74" w:rsidRPr="00634A74" w:rsidRDefault="00634A74" w:rsidP="00634A74">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2" w:name="_Toc220974340"/>
      <w:r w:rsidRPr="00634A74">
        <w:rPr>
          <w:rFonts w:ascii="Times New Roman" w:eastAsia="Times New Roman" w:hAnsi="Times New Roman" w:cs="Times New Roman"/>
          <w:b/>
          <w:bCs/>
          <w:sz w:val="36"/>
          <w:szCs w:val="36"/>
          <w:lang w:bidi="hi-IN"/>
        </w:rPr>
        <w:t>LITERATURE REVIEW</w:t>
      </w:r>
      <w:bookmarkEnd w:id="2"/>
      <w:r w:rsidRPr="00634A74">
        <w:rPr>
          <w:rFonts w:ascii="Times New Roman" w:eastAsia="Times New Roman" w:hAnsi="Times New Roman" w:cs="Times New Roman"/>
          <w:b/>
          <w:bCs/>
          <w:sz w:val="36"/>
          <w:szCs w:val="36"/>
          <w:lang w:bidi="hi-IN"/>
        </w:rPr>
        <w:t xml:space="preserve"> </w:t>
      </w:r>
    </w:p>
    <w:p w:rsidR="00634A74" w:rsidRPr="00634A74" w:rsidRDefault="00634A74" w:rsidP="00634A74">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3" w:name="_Toc220974341"/>
      <w:r w:rsidRPr="00634A74">
        <w:rPr>
          <w:rFonts w:ascii="Times New Roman" w:eastAsia="Times New Roman" w:hAnsi="Times New Roman" w:cs="Times New Roman"/>
          <w:b/>
          <w:bCs/>
          <w:sz w:val="27"/>
          <w:szCs w:val="27"/>
          <w:lang w:bidi="hi-IN"/>
        </w:rPr>
        <w:t>Contract Law and Adventure Tourism</w:t>
      </w:r>
      <w:bookmarkEnd w:id="3"/>
    </w:p>
    <w:p w:rsidR="002D1590" w:rsidRDefault="002D1590" w:rsidP="002D1590">
      <w:pPr>
        <w:pStyle w:val="NormalWeb"/>
      </w:pPr>
      <w:r>
        <w:t>Academic literature consistently identifies adventure tourism as a legally complex sector due to the inherent risks associated with high-intensity recreational activities. Unlike conventional tourism services, adventure tourism frequently exposes participants to physical danger, creating heightened legal responsibilities for service providers. As a result, contractual arrangements in this sector are subject to closer legal scrutiny, particularly when they involve liability waivers and exclusion clauses intended to limit the responsibility of operators.</w:t>
      </w:r>
    </w:p>
    <w:p w:rsidR="002D1590" w:rsidRDefault="002D1590" w:rsidP="002D1590">
      <w:pPr>
        <w:pStyle w:val="NormalWeb"/>
      </w:pPr>
      <w:r>
        <w:t>Dickerson (2019) highlights that adventure tourism contracts differ significantly from traditional tourism agreements because they often require participants to explicitly acknowledge and accept the risks involved in the activity. These acknowledgements raise important legal questions regarding the validity of consent, especially when participants may not fully understand the nature or extent of the risks they are accepting. Contract law therefore plays a critical role in determining whether such acknowledgements represent informed and voluntary consent or constitute an unfair attempt to exclude liability.</w:t>
      </w:r>
    </w:p>
    <w:p w:rsidR="002D1590" w:rsidRDefault="002D1590" w:rsidP="002D1590">
      <w:pPr>
        <w:pStyle w:val="NormalWeb"/>
      </w:pPr>
      <w:r>
        <w:t xml:space="preserve">Sharpley (2018) further argues that adventure tourism contracts test the boundaries of contractual freedom, particularly in situations where consumers have limited bargaining power and little opportunity to negotiate contractual terms. Many adventure tourism agreements are presented as standard form contracts containing complex legal language, which can undermine transparency </w:t>
      </w:r>
      <w:r>
        <w:lastRenderedPageBreak/>
        <w:t>and informed decision-making. This imbalance challenges the assumption that all parties enter into contracts on equal footing.</w:t>
      </w:r>
    </w:p>
    <w:p w:rsidR="002D1590" w:rsidRDefault="002D1590" w:rsidP="002D1590">
      <w:pPr>
        <w:pStyle w:val="NormalWeb"/>
      </w:pPr>
      <w:r>
        <w:t>Judicial responses to these issues have increasingly reflected a protective approach towards consumers. Courts have recognised that while risk-taking is an inherent and accepted element of adventure tourism, operators cannot rely on contractual exclusions to avoid liability for negligence or failure to maintain adequate safety standards (Poole, 2020). This judicial stance reinforces the principle that contractual freedom must be balanced with public policy considerations, ensuring that participant safety and fairness remain central to adventure tourism contracts.</w:t>
      </w:r>
    </w:p>
    <w:p w:rsidR="00634A74" w:rsidRPr="00634A74" w:rsidRDefault="00634A74" w:rsidP="00634A74">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4" w:name="_Toc220974342"/>
      <w:r w:rsidRPr="00634A74">
        <w:rPr>
          <w:rFonts w:ascii="Times New Roman" w:eastAsia="Times New Roman" w:hAnsi="Times New Roman" w:cs="Times New Roman"/>
          <w:b/>
          <w:bCs/>
          <w:sz w:val="27"/>
          <w:szCs w:val="27"/>
          <w:lang w:bidi="hi-IN"/>
        </w:rPr>
        <w:t>Liability Waivers and Consumer Protection</w:t>
      </w:r>
      <w:bookmarkEnd w:id="4"/>
    </w:p>
    <w:p w:rsidR="00634A74" w:rsidRPr="00634A74" w:rsidRDefault="00634A74" w:rsidP="00634A74">
      <w:pPr>
        <w:spacing w:before="100" w:beforeAutospacing="1" w:after="100" w:afterAutospacing="1" w:line="240" w:lineRule="auto"/>
        <w:rPr>
          <w:rFonts w:ascii="Times New Roman" w:eastAsia="Times New Roman" w:hAnsi="Times New Roman" w:cs="Times New Roman"/>
          <w:sz w:val="24"/>
          <w:szCs w:val="24"/>
          <w:lang w:bidi="hi-IN"/>
        </w:rPr>
      </w:pPr>
      <w:r w:rsidRPr="00634A74">
        <w:rPr>
          <w:rFonts w:ascii="Times New Roman" w:eastAsia="Times New Roman" w:hAnsi="Times New Roman" w:cs="Times New Roman"/>
          <w:sz w:val="24"/>
          <w:szCs w:val="24"/>
          <w:lang w:bidi="hi-IN"/>
        </w:rPr>
        <w:t>Liability waivers are among the most controversial contractual tools used in adventure tourism. Mason and Bohdanowicz (2020) note that waivers are typically presented as standard form contracts, leaving participants little choice but to accept the terms if they wish to participate. From a contractual perspective, the enforceability of such waivers depends on factors such as clarity, voluntariness, and compliance with public policy.</w:t>
      </w:r>
    </w:p>
    <w:p w:rsidR="00634A74" w:rsidRPr="00634A74" w:rsidRDefault="00634A74" w:rsidP="00634A74">
      <w:pPr>
        <w:spacing w:before="100" w:beforeAutospacing="1" w:after="100" w:afterAutospacing="1" w:line="240" w:lineRule="auto"/>
        <w:rPr>
          <w:rFonts w:ascii="Times New Roman" w:eastAsia="Times New Roman" w:hAnsi="Times New Roman" w:cs="Times New Roman"/>
          <w:sz w:val="24"/>
          <w:szCs w:val="24"/>
          <w:lang w:bidi="hi-IN"/>
        </w:rPr>
      </w:pPr>
      <w:r w:rsidRPr="00634A74">
        <w:rPr>
          <w:rFonts w:ascii="Times New Roman" w:eastAsia="Times New Roman" w:hAnsi="Times New Roman" w:cs="Times New Roman"/>
          <w:sz w:val="24"/>
          <w:szCs w:val="24"/>
          <w:lang w:bidi="hi-IN"/>
        </w:rPr>
        <w:t>Grant and Mason (2018) emphasize that courts often scrutinize adventure tourism waivers more strictly than other commercial contracts. Where waivers are ambiguous, misleading, or fail to adequately disclose risks, courts may refuse to enforce them. This judicial approach reflects a broader effort to balance contractual autonomy with consumer safety in the tourism industry (McKendrick, 2021).</w:t>
      </w:r>
    </w:p>
    <w:p w:rsidR="00634A74" w:rsidRPr="00634A74" w:rsidRDefault="00634A74" w:rsidP="00634A74">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5" w:name="_Toc220974343"/>
      <w:r w:rsidRPr="00634A74">
        <w:rPr>
          <w:rFonts w:ascii="Times New Roman" w:eastAsia="Times New Roman" w:hAnsi="Times New Roman" w:cs="Times New Roman"/>
          <w:b/>
          <w:bCs/>
          <w:sz w:val="27"/>
          <w:szCs w:val="27"/>
          <w:lang w:bidi="hi-IN"/>
        </w:rPr>
        <w:t>Essential Elements of a Valid Adventure Tourism Contract</w:t>
      </w:r>
      <w:bookmarkEnd w:id="5"/>
    </w:p>
    <w:p w:rsidR="00634A74" w:rsidRPr="00634A74" w:rsidRDefault="00634A74" w:rsidP="00634A74">
      <w:pPr>
        <w:spacing w:before="100" w:beforeAutospacing="1" w:after="100" w:afterAutospacing="1" w:line="240" w:lineRule="auto"/>
        <w:rPr>
          <w:rFonts w:ascii="Times New Roman" w:eastAsia="Times New Roman" w:hAnsi="Times New Roman" w:cs="Times New Roman"/>
          <w:sz w:val="24"/>
          <w:szCs w:val="24"/>
          <w:lang w:bidi="hi-IN"/>
        </w:rPr>
      </w:pPr>
      <w:r w:rsidRPr="00634A74">
        <w:rPr>
          <w:rFonts w:ascii="Times New Roman" w:eastAsia="Times New Roman" w:hAnsi="Times New Roman" w:cs="Times New Roman"/>
          <w:sz w:val="24"/>
          <w:szCs w:val="24"/>
          <w:lang w:bidi="hi-IN"/>
        </w:rPr>
        <w:t>The formation of a valid adventure tourism contract requires the presence of the essential elements of contract law, namely offer, acceptance, consideration, intention to create legal relations, and legal capacity (McKendrick, 2021). In adventure tourism, these elements are typically embedded within booking confirmations, participation agreements, and liability waiver forms signed prior to engaging in activities. Although these contracts are often presented informally, they are legally binding and enforceable if the necessary elements are satisfied (Poole, 2020).</w:t>
      </w:r>
    </w:p>
    <w:p w:rsidR="00634A74" w:rsidRPr="00634A74" w:rsidRDefault="00634A74" w:rsidP="00634A74">
      <w:pPr>
        <w:spacing w:before="100" w:beforeAutospacing="1" w:after="100" w:afterAutospacing="1" w:line="240" w:lineRule="auto"/>
        <w:rPr>
          <w:rFonts w:ascii="Times New Roman" w:eastAsia="Times New Roman" w:hAnsi="Times New Roman" w:cs="Times New Roman"/>
          <w:sz w:val="24"/>
          <w:szCs w:val="24"/>
          <w:lang w:bidi="hi-IN"/>
        </w:rPr>
      </w:pPr>
      <w:r w:rsidRPr="00634A74">
        <w:rPr>
          <w:rFonts w:ascii="Times New Roman" w:eastAsia="Times New Roman" w:hAnsi="Times New Roman" w:cs="Times New Roman"/>
          <w:sz w:val="24"/>
          <w:szCs w:val="24"/>
          <w:lang w:bidi="hi-IN"/>
        </w:rPr>
        <w:t xml:space="preserve">The </w:t>
      </w:r>
      <w:r w:rsidRPr="00634A74">
        <w:rPr>
          <w:rFonts w:ascii="Times New Roman" w:eastAsia="Times New Roman" w:hAnsi="Times New Roman" w:cs="Times New Roman"/>
          <w:b/>
          <w:bCs/>
          <w:sz w:val="24"/>
          <w:szCs w:val="24"/>
          <w:lang w:bidi="hi-IN"/>
        </w:rPr>
        <w:t>offer</w:t>
      </w:r>
      <w:r w:rsidRPr="00634A74">
        <w:rPr>
          <w:rFonts w:ascii="Times New Roman" w:eastAsia="Times New Roman" w:hAnsi="Times New Roman" w:cs="Times New Roman"/>
          <w:sz w:val="24"/>
          <w:szCs w:val="24"/>
          <w:lang w:bidi="hi-IN"/>
        </w:rPr>
        <w:t xml:space="preserve"> in adventure tourism contracts is usually made when tour operators advertise specific activities, detailing the nature of the experience, duration, price, and participation requirements. These advertisements may initially constitute invitations to treat; however, a formal offer arises once the operator confirms a participant’s booking and issues contractual documentation (Dickerson, 2019). This distinction becomes significant in disputes where operators attempt to deny responsibility by arguing that no binding offer existed.</w:t>
      </w:r>
    </w:p>
    <w:p w:rsidR="00634A74" w:rsidRPr="00634A74" w:rsidRDefault="00634A74" w:rsidP="00634A74">
      <w:pPr>
        <w:spacing w:before="100" w:beforeAutospacing="1" w:after="100" w:afterAutospacing="1" w:line="240" w:lineRule="auto"/>
        <w:rPr>
          <w:rFonts w:ascii="Times New Roman" w:eastAsia="Times New Roman" w:hAnsi="Times New Roman" w:cs="Times New Roman"/>
          <w:sz w:val="24"/>
          <w:szCs w:val="24"/>
          <w:lang w:bidi="hi-IN"/>
        </w:rPr>
      </w:pPr>
      <w:r w:rsidRPr="00634A74">
        <w:rPr>
          <w:rFonts w:ascii="Times New Roman" w:eastAsia="Times New Roman" w:hAnsi="Times New Roman" w:cs="Times New Roman"/>
          <w:b/>
          <w:bCs/>
          <w:sz w:val="24"/>
          <w:szCs w:val="24"/>
          <w:lang w:bidi="hi-IN"/>
        </w:rPr>
        <w:t>Acceptance</w:t>
      </w:r>
      <w:r w:rsidRPr="00634A74">
        <w:rPr>
          <w:rFonts w:ascii="Times New Roman" w:eastAsia="Times New Roman" w:hAnsi="Times New Roman" w:cs="Times New Roman"/>
          <w:sz w:val="24"/>
          <w:szCs w:val="24"/>
          <w:lang w:bidi="hi-IN"/>
        </w:rPr>
        <w:t xml:space="preserve"> occurs when the participant agrees to the terms of the adventure tourism contract, often by signing a liability waiver or completing an online consent form. Acceptance must be voluntary and informed to be legally valid (Poole, 2020). Courts have emphasized that acceptance obtained through pressure, lack of explanation, or misleading representations may </w:t>
      </w:r>
      <w:r w:rsidRPr="00634A74">
        <w:rPr>
          <w:rFonts w:ascii="Times New Roman" w:eastAsia="Times New Roman" w:hAnsi="Times New Roman" w:cs="Times New Roman"/>
          <w:sz w:val="24"/>
          <w:szCs w:val="24"/>
          <w:lang w:bidi="hi-IN"/>
        </w:rPr>
        <w:lastRenderedPageBreak/>
        <w:t>undermine the validity of the contract, particularly in high-risk tourism activities (Grant &amp; Mason, 2018).</w:t>
      </w:r>
    </w:p>
    <w:p w:rsidR="00634A74" w:rsidRPr="00634A74" w:rsidRDefault="00634A74" w:rsidP="00634A74">
      <w:pPr>
        <w:spacing w:before="100" w:beforeAutospacing="1" w:after="100" w:afterAutospacing="1" w:line="240" w:lineRule="auto"/>
        <w:rPr>
          <w:rFonts w:ascii="Times New Roman" w:eastAsia="Times New Roman" w:hAnsi="Times New Roman" w:cs="Times New Roman"/>
          <w:sz w:val="24"/>
          <w:szCs w:val="24"/>
          <w:lang w:bidi="hi-IN"/>
        </w:rPr>
      </w:pPr>
      <w:r w:rsidRPr="00634A74">
        <w:rPr>
          <w:rFonts w:ascii="Times New Roman" w:eastAsia="Times New Roman" w:hAnsi="Times New Roman" w:cs="Times New Roman"/>
          <w:b/>
          <w:bCs/>
          <w:sz w:val="24"/>
          <w:szCs w:val="24"/>
          <w:lang w:bidi="hi-IN"/>
        </w:rPr>
        <w:t>Consideration</w:t>
      </w:r>
      <w:r w:rsidRPr="00634A74">
        <w:rPr>
          <w:rFonts w:ascii="Times New Roman" w:eastAsia="Times New Roman" w:hAnsi="Times New Roman" w:cs="Times New Roman"/>
          <w:sz w:val="24"/>
          <w:szCs w:val="24"/>
          <w:lang w:bidi="hi-IN"/>
        </w:rPr>
        <w:t xml:space="preserve"> in adventure tourism contracts typically involves payment for participation in the activity. In some cases, consideration may also include the provision of equipment, training, or supervision by the tour operator (McKendrick, 2021). The presence of consideration ensures that adventure tourism agreements are enforceable, even where participation involves inherent risks.</w:t>
      </w:r>
    </w:p>
    <w:p w:rsidR="00634A74" w:rsidRPr="00634A74" w:rsidRDefault="00634A74" w:rsidP="00634A74">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6" w:name="_Toc220974344"/>
      <w:r w:rsidRPr="00634A74">
        <w:rPr>
          <w:rFonts w:ascii="Times New Roman" w:eastAsia="Times New Roman" w:hAnsi="Times New Roman" w:cs="Times New Roman"/>
          <w:b/>
          <w:bCs/>
          <w:sz w:val="27"/>
          <w:szCs w:val="27"/>
          <w:lang w:bidi="hi-IN"/>
        </w:rPr>
        <w:t>Intention to Create Legal Relations and Capacity</w:t>
      </w:r>
      <w:bookmarkEnd w:id="6"/>
    </w:p>
    <w:p w:rsidR="00634A74" w:rsidRPr="00634A74" w:rsidRDefault="00634A74" w:rsidP="00634A74">
      <w:pPr>
        <w:spacing w:before="100" w:beforeAutospacing="1" w:after="100" w:afterAutospacing="1" w:line="240" w:lineRule="auto"/>
        <w:rPr>
          <w:rFonts w:ascii="Times New Roman" w:eastAsia="Times New Roman" w:hAnsi="Times New Roman" w:cs="Times New Roman"/>
          <w:sz w:val="24"/>
          <w:szCs w:val="24"/>
          <w:lang w:bidi="hi-IN"/>
        </w:rPr>
      </w:pPr>
      <w:r w:rsidRPr="00634A74">
        <w:rPr>
          <w:rFonts w:ascii="Times New Roman" w:eastAsia="Times New Roman" w:hAnsi="Times New Roman" w:cs="Times New Roman"/>
          <w:sz w:val="24"/>
          <w:szCs w:val="24"/>
          <w:lang w:bidi="hi-IN"/>
        </w:rPr>
        <w:t>In adventure tourism, the intention to create legal relations is generally presumed due to the commercial nature of the transaction. Tour operators provide services in exchange for payment, making these agreements legally binding rather than recreational or social arrangements (Sharpley, 2018). This presumption is particularly strong where participants are required to sign formal contractual documents prior to engaging in activities.</w:t>
      </w:r>
    </w:p>
    <w:p w:rsidR="00634A74" w:rsidRPr="00634A74" w:rsidRDefault="00634A74" w:rsidP="00634A74">
      <w:pPr>
        <w:spacing w:before="100" w:beforeAutospacing="1" w:after="100" w:afterAutospacing="1" w:line="240" w:lineRule="auto"/>
        <w:rPr>
          <w:rFonts w:ascii="Times New Roman" w:eastAsia="Times New Roman" w:hAnsi="Times New Roman" w:cs="Times New Roman"/>
          <w:sz w:val="24"/>
          <w:szCs w:val="24"/>
          <w:lang w:bidi="hi-IN"/>
        </w:rPr>
      </w:pPr>
      <w:r w:rsidRPr="00634A74">
        <w:rPr>
          <w:rFonts w:ascii="Times New Roman" w:eastAsia="Times New Roman" w:hAnsi="Times New Roman" w:cs="Times New Roman"/>
          <w:sz w:val="24"/>
          <w:szCs w:val="24"/>
          <w:lang w:bidi="hi-IN"/>
        </w:rPr>
        <w:t>Capacity is an important consideration in adventure tourism contracts, especially given the participation of minors or individuals with limited legal capacity. Many adventure tourism operators impose age restrictions or require parental consent to address capacity-related issues (Dickerson, 2019). Courts closely examine whether consent was validly obtained and whether participants fully understood the contractual implications of participation (Poole, 2020). Failure to ensure capacity may render contracts voidable and expose operators to legal liability.</w:t>
      </w:r>
    </w:p>
    <w:p w:rsidR="00634A74" w:rsidRPr="00634A74" w:rsidRDefault="00634A74" w:rsidP="00634A74">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7" w:name="_Toc220974345"/>
      <w:r w:rsidRPr="00634A74">
        <w:rPr>
          <w:rFonts w:ascii="Times New Roman" w:eastAsia="Times New Roman" w:hAnsi="Times New Roman" w:cs="Times New Roman"/>
          <w:b/>
          <w:bCs/>
          <w:sz w:val="27"/>
          <w:szCs w:val="27"/>
          <w:lang w:bidi="hi-IN"/>
        </w:rPr>
        <w:t>Types of Adventure Tourism Contracts</w:t>
      </w:r>
      <w:bookmarkEnd w:id="7"/>
    </w:p>
    <w:p w:rsidR="00634A74" w:rsidRPr="00634A74" w:rsidRDefault="00634A74" w:rsidP="00634A74">
      <w:pPr>
        <w:spacing w:before="100" w:beforeAutospacing="1" w:after="100" w:afterAutospacing="1" w:line="240" w:lineRule="auto"/>
        <w:rPr>
          <w:rFonts w:ascii="Times New Roman" w:eastAsia="Times New Roman" w:hAnsi="Times New Roman" w:cs="Times New Roman"/>
          <w:sz w:val="24"/>
          <w:szCs w:val="24"/>
          <w:lang w:bidi="hi-IN"/>
        </w:rPr>
      </w:pPr>
      <w:r w:rsidRPr="00634A74">
        <w:rPr>
          <w:rFonts w:ascii="Times New Roman" w:eastAsia="Times New Roman" w:hAnsi="Times New Roman" w:cs="Times New Roman"/>
          <w:sz w:val="24"/>
          <w:szCs w:val="24"/>
          <w:lang w:bidi="hi-IN"/>
        </w:rPr>
        <w:t xml:space="preserve">Adventure tourism relies on various contractual forms to regulate participation and manage risk. The most common is the </w:t>
      </w:r>
      <w:r w:rsidRPr="00634A74">
        <w:rPr>
          <w:rFonts w:ascii="Times New Roman" w:eastAsia="Times New Roman" w:hAnsi="Times New Roman" w:cs="Times New Roman"/>
          <w:b/>
          <w:bCs/>
          <w:sz w:val="24"/>
          <w:szCs w:val="24"/>
          <w:lang w:bidi="hi-IN"/>
        </w:rPr>
        <w:t>participation agreement</w:t>
      </w:r>
      <w:r w:rsidRPr="00634A74">
        <w:rPr>
          <w:rFonts w:ascii="Times New Roman" w:eastAsia="Times New Roman" w:hAnsi="Times New Roman" w:cs="Times New Roman"/>
          <w:sz w:val="24"/>
          <w:szCs w:val="24"/>
          <w:lang w:bidi="hi-IN"/>
        </w:rPr>
        <w:t>, which outlines the nature of the activity, safety instructions, and participant responsibilities. These agreements often include express acknowledgments of risk, emphasizing the inherent dangers associated with adventure activities (Mason &amp; Bohdanowicz, 2020).</w:t>
      </w:r>
    </w:p>
    <w:p w:rsidR="00634A74" w:rsidRPr="00634A74" w:rsidRDefault="00634A74" w:rsidP="00634A74">
      <w:pPr>
        <w:spacing w:before="100" w:beforeAutospacing="1" w:after="100" w:afterAutospacing="1" w:line="240" w:lineRule="auto"/>
        <w:rPr>
          <w:rFonts w:ascii="Times New Roman" w:eastAsia="Times New Roman" w:hAnsi="Times New Roman" w:cs="Times New Roman"/>
          <w:sz w:val="24"/>
          <w:szCs w:val="24"/>
          <w:lang w:bidi="hi-IN"/>
        </w:rPr>
      </w:pPr>
      <w:r w:rsidRPr="00634A74">
        <w:rPr>
          <w:rFonts w:ascii="Times New Roman" w:eastAsia="Times New Roman" w:hAnsi="Times New Roman" w:cs="Times New Roman"/>
          <w:sz w:val="24"/>
          <w:szCs w:val="24"/>
          <w:lang w:bidi="hi-IN"/>
        </w:rPr>
        <w:t xml:space="preserve">Another widely used contractual form is the </w:t>
      </w:r>
      <w:r w:rsidRPr="00634A74">
        <w:rPr>
          <w:rFonts w:ascii="Times New Roman" w:eastAsia="Times New Roman" w:hAnsi="Times New Roman" w:cs="Times New Roman"/>
          <w:b/>
          <w:bCs/>
          <w:sz w:val="24"/>
          <w:szCs w:val="24"/>
          <w:lang w:bidi="hi-IN"/>
        </w:rPr>
        <w:t>liability waiver</w:t>
      </w:r>
      <w:r w:rsidRPr="00634A74">
        <w:rPr>
          <w:rFonts w:ascii="Times New Roman" w:eastAsia="Times New Roman" w:hAnsi="Times New Roman" w:cs="Times New Roman"/>
          <w:sz w:val="24"/>
          <w:szCs w:val="24"/>
          <w:lang w:bidi="hi-IN"/>
        </w:rPr>
        <w:t>, which seeks to exclude or limit the operator’s liability for injury or loss. While such waivers are legally permissible in principle, their enforceability depends on compliance with contractual and public policy requirements (McKendrick, 2021). Courts frequently scrutinize waiver language to ensure that it is clear, unambiguous, and reasonably brought to the participant’s attention.</w:t>
      </w:r>
    </w:p>
    <w:p w:rsidR="00634A74" w:rsidRPr="00634A74" w:rsidRDefault="00634A74" w:rsidP="00634A74">
      <w:pPr>
        <w:spacing w:before="100" w:beforeAutospacing="1" w:after="100" w:afterAutospacing="1" w:line="240" w:lineRule="auto"/>
        <w:rPr>
          <w:rFonts w:ascii="Times New Roman" w:eastAsia="Times New Roman" w:hAnsi="Times New Roman" w:cs="Times New Roman"/>
          <w:sz w:val="24"/>
          <w:szCs w:val="24"/>
          <w:lang w:bidi="hi-IN"/>
        </w:rPr>
      </w:pPr>
      <w:r w:rsidRPr="00634A74">
        <w:rPr>
          <w:rFonts w:ascii="Times New Roman" w:eastAsia="Times New Roman" w:hAnsi="Times New Roman" w:cs="Times New Roman"/>
          <w:b/>
          <w:bCs/>
          <w:sz w:val="24"/>
          <w:szCs w:val="24"/>
          <w:lang w:bidi="hi-IN"/>
        </w:rPr>
        <w:t>Assumption-of-risk clauses</w:t>
      </w:r>
      <w:r w:rsidRPr="00634A74">
        <w:rPr>
          <w:rFonts w:ascii="Times New Roman" w:eastAsia="Times New Roman" w:hAnsi="Times New Roman" w:cs="Times New Roman"/>
          <w:sz w:val="24"/>
          <w:szCs w:val="24"/>
          <w:lang w:bidi="hi-IN"/>
        </w:rPr>
        <w:t xml:space="preserve"> are also common in adventure tourism contracts. These clauses require participants to acknowledge that they voluntarily accept the risks associated with the activity. From a contractual perspective, assumption-of-risk clauses may reduce liability where risks are inherent and unavoidable, but they do not generally protect operators from liability arising from negligence or inadequate safety measures (Poole, 2020).</w:t>
      </w:r>
    </w:p>
    <w:p w:rsidR="00634A74" w:rsidRPr="00634A74" w:rsidRDefault="00634A74" w:rsidP="00634A74">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8" w:name="_Toc220974346"/>
      <w:r w:rsidRPr="00634A74">
        <w:rPr>
          <w:rFonts w:ascii="Times New Roman" w:eastAsia="Times New Roman" w:hAnsi="Times New Roman" w:cs="Times New Roman"/>
          <w:b/>
          <w:bCs/>
          <w:sz w:val="27"/>
          <w:szCs w:val="27"/>
          <w:lang w:bidi="hi-IN"/>
        </w:rPr>
        <w:t>Standard Form Contracts and Unequal Bargaining Power</w:t>
      </w:r>
      <w:bookmarkEnd w:id="8"/>
    </w:p>
    <w:p w:rsidR="00634A74" w:rsidRPr="00634A74" w:rsidRDefault="00634A74" w:rsidP="00634A74">
      <w:pPr>
        <w:spacing w:before="100" w:beforeAutospacing="1" w:after="100" w:afterAutospacing="1" w:line="240" w:lineRule="auto"/>
        <w:rPr>
          <w:rFonts w:ascii="Times New Roman" w:eastAsia="Times New Roman" w:hAnsi="Times New Roman" w:cs="Times New Roman"/>
          <w:sz w:val="24"/>
          <w:szCs w:val="24"/>
          <w:lang w:bidi="hi-IN"/>
        </w:rPr>
      </w:pPr>
      <w:r w:rsidRPr="00634A74">
        <w:rPr>
          <w:rFonts w:ascii="Times New Roman" w:eastAsia="Times New Roman" w:hAnsi="Times New Roman" w:cs="Times New Roman"/>
          <w:sz w:val="24"/>
          <w:szCs w:val="24"/>
          <w:lang w:bidi="hi-IN"/>
        </w:rPr>
        <w:lastRenderedPageBreak/>
        <w:t>Standard form contracts dominate adventure tourism agreements due to operational efficiency and risk management considerations. However, scholars argue that such contracts exacerbate unequal bargaining power between operators and participants (Grant &amp; Mason, 2018). Participants are typically presented with contracts on a “take-it-or-leave-it” basis, leaving little opportunity for negotiation or clarification.</w:t>
      </w:r>
    </w:p>
    <w:p w:rsidR="00634A74" w:rsidRPr="00634A74" w:rsidRDefault="00634A74" w:rsidP="00634A74">
      <w:pPr>
        <w:spacing w:before="100" w:beforeAutospacing="1" w:after="100" w:afterAutospacing="1" w:line="240" w:lineRule="auto"/>
        <w:rPr>
          <w:rFonts w:ascii="Times New Roman" w:eastAsia="Times New Roman" w:hAnsi="Times New Roman" w:cs="Times New Roman"/>
          <w:sz w:val="24"/>
          <w:szCs w:val="24"/>
          <w:lang w:bidi="hi-IN"/>
        </w:rPr>
      </w:pPr>
      <w:r w:rsidRPr="00634A74">
        <w:rPr>
          <w:rFonts w:ascii="Times New Roman" w:eastAsia="Times New Roman" w:hAnsi="Times New Roman" w:cs="Times New Roman"/>
          <w:sz w:val="24"/>
          <w:szCs w:val="24"/>
          <w:lang w:bidi="hi-IN"/>
        </w:rPr>
        <w:t>Contract law addresses this imbalance through doctrines relating to consent, notice, and reasonableness. Courts have increasingly emphasized that participants must be given sufficient time and information to understand contractual terms, particularly liability waivers (McKendrick, 2021). Where waivers are presented hastily or without explanation, courts may refuse to enforce them, prioritizing consumer protection over contractual autonomy (Sharpley, 2018).</w:t>
      </w:r>
    </w:p>
    <w:p w:rsidR="00634A74" w:rsidRPr="00634A74" w:rsidRDefault="00634A74" w:rsidP="00634A74">
      <w:pPr>
        <w:spacing w:after="0" w:line="240" w:lineRule="auto"/>
        <w:rPr>
          <w:rFonts w:ascii="Times New Roman" w:eastAsia="Times New Roman" w:hAnsi="Times New Roman" w:cs="Times New Roman"/>
          <w:sz w:val="24"/>
          <w:szCs w:val="24"/>
          <w:lang w:bidi="hi-IN"/>
        </w:rPr>
      </w:pPr>
    </w:p>
    <w:p w:rsidR="00634A74" w:rsidRPr="00634A74" w:rsidRDefault="00634A74" w:rsidP="00634A74">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9" w:name="_Toc220974347"/>
      <w:r w:rsidRPr="00634A74">
        <w:rPr>
          <w:rFonts w:ascii="Times New Roman" w:eastAsia="Times New Roman" w:hAnsi="Times New Roman" w:cs="Times New Roman"/>
          <w:b/>
          <w:bCs/>
          <w:sz w:val="36"/>
          <w:szCs w:val="36"/>
          <w:lang w:bidi="hi-IN"/>
        </w:rPr>
        <w:t>METHODOLOGY</w:t>
      </w:r>
      <w:bookmarkEnd w:id="9"/>
    </w:p>
    <w:p w:rsidR="00634A74" w:rsidRPr="00634A74" w:rsidRDefault="00634A74" w:rsidP="00634A74">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10" w:name="_Toc220974348"/>
      <w:r w:rsidRPr="00634A74">
        <w:rPr>
          <w:rFonts w:ascii="Times New Roman" w:eastAsia="Times New Roman" w:hAnsi="Times New Roman" w:cs="Times New Roman"/>
          <w:b/>
          <w:bCs/>
          <w:sz w:val="27"/>
          <w:szCs w:val="27"/>
          <w:lang w:bidi="hi-IN"/>
        </w:rPr>
        <w:t>Research Approach</w:t>
      </w:r>
      <w:bookmarkEnd w:id="10"/>
    </w:p>
    <w:p w:rsidR="00634A74" w:rsidRPr="00634A74" w:rsidRDefault="00634A74" w:rsidP="00634A74">
      <w:pPr>
        <w:spacing w:before="100" w:beforeAutospacing="1" w:after="100" w:afterAutospacing="1" w:line="240" w:lineRule="auto"/>
        <w:rPr>
          <w:rFonts w:ascii="Times New Roman" w:eastAsia="Times New Roman" w:hAnsi="Times New Roman" w:cs="Times New Roman"/>
          <w:sz w:val="24"/>
          <w:szCs w:val="24"/>
          <w:lang w:bidi="hi-IN"/>
        </w:rPr>
      </w:pPr>
      <w:r w:rsidRPr="00634A74">
        <w:rPr>
          <w:rFonts w:ascii="Times New Roman" w:eastAsia="Times New Roman" w:hAnsi="Times New Roman" w:cs="Times New Roman"/>
          <w:sz w:val="24"/>
          <w:szCs w:val="24"/>
          <w:lang w:bidi="hi-IN"/>
        </w:rPr>
        <w:t xml:space="preserve">This assignment adopts a </w:t>
      </w:r>
      <w:r w:rsidRPr="00634A74">
        <w:rPr>
          <w:rFonts w:ascii="Times New Roman" w:eastAsia="Times New Roman" w:hAnsi="Times New Roman" w:cs="Times New Roman"/>
          <w:b/>
          <w:bCs/>
          <w:sz w:val="24"/>
          <w:szCs w:val="24"/>
          <w:lang w:bidi="hi-IN"/>
        </w:rPr>
        <w:t>doctrinal legal research approach</w:t>
      </w:r>
      <w:r w:rsidRPr="00634A74">
        <w:rPr>
          <w:rFonts w:ascii="Times New Roman" w:eastAsia="Times New Roman" w:hAnsi="Times New Roman" w:cs="Times New Roman"/>
          <w:sz w:val="24"/>
          <w:szCs w:val="24"/>
          <w:lang w:bidi="hi-IN"/>
        </w:rPr>
        <w:t xml:space="preserve"> to examine the role of contract law in regulating adventure tourism agreements. Doctrinal research focuses on the analysis of legal principles, statutes, and judicial decisions, making it particularly suitable for evaluating the enforceability of liability waivers and risk allocation mechanisms (McKendrick, 2021).</w:t>
      </w:r>
    </w:p>
    <w:p w:rsidR="00634A74" w:rsidRPr="00634A74" w:rsidRDefault="00634A74" w:rsidP="00634A74">
      <w:pPr>
        <w:spacing w:before="100" w:beforeAutospacing="1" w:after="100" w:afterAutospacing="1" w:line="240" w:lineRule="auto"/>
        <w:rPr>
          <w:rFonts w:ascii="Times New Roman" w:eastAsia="Times New Roman" w:hAnsi="Times New Roman" w:cs="Times New Roman"/>
          <w:sz w:val="24"/>
          <w:szCs w:val="24"/>
          <w:lang w:bidi="hi-IN"/>
        </w:rPr>
      </w:pPr>
      <w:r w:rsidRPr="00634A74">
        <w:rPr>
          <w:rFonts w:ascii="Times New Roman" w:eastAsia="Times New Roman" w:hAnsi="Times New Roman" w:cs="Times New Roman"/>
          <w:sz w:val="24"/>
          <w:szCs w:val="24"/>
          <w:lang w:bidi="hi-IN"/>
        </w:rPr>
        <w:t>The study relies on qualitative analysis of secondary sources, including academic textbooks, peer-reviewed journal articles, and legal commentaries. These sources provide theoretical and practical insights into the interaction between contract law and high-risk tourism activities (Dickerson, 2019).</w:t>
      </w:r>
    </w:p>
    <w:p w:rsidR="00634A74" w:rsidRPr="00634A74" w:rsidRDefault="00634A74" w:rsidP="00634A74">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11" w:name="_Toc220974349"/>
      <w:r w:rsidRPr="00634A74">
        <w:rPr>
          <w:rFonts w:ascii="Times New Roman" w:eastAsia="Times New Roman" w:hAnsi="Times New Roman" w:cs="Times New Roman"/>
          <w:b/>
          <w:bCs/>
          <w:sz w:val="27"/>
          <w:szCs w:val="27"/>
          <w:lang w:bidi="hi-IN"/>
        </w:rPr>
        <w:t>Sources of Data</w:t>
      </w:r>
      <w:bookmarkEnd w:id="11"/>
    </w:p>
    <w:p w:rsidR="00634A74" w:rsidRPr="00634A74" w:rsidRDefault="00634A74" w:rsidP="00634A74">
      <w:pPr>
        <w:spacing w:before="100" w:beforeAutospacing="1" w:after="100" w:afterAutospacing="1" w:line="240" w:lineRule="auto"/>
        <w:rPr>
          <w:rFonts w:ascii="Times New Roman" w:eastAsia="Times New Roman" w:hAnsi="Times New Roman" w:cs="Times New Roman"/>
          <w:sz w:val="24"/>
          <w:szCs w:val="24"/>
          <w:lang w:bidi="hi-IN"/>
        </w:rPr>
      </w:pPr>
      <w:r w:rsidRPr="00634A74">
        <w:rPr>
          <w:rFonts w:ascii="Times New Roman" w:eastAsia="Times New Roman" w:hAnsi="Times New Roman" w:cs="Times New Roman"/>
          <w:sz w:val="24"/>
          <w:szCs w:val="24"/>
          <w:lang w:bidi="hi-IN"/>
        </w:rPr>
        <w:t>Primary sources include reported judicial decisions involving adventure tourism disputes, particularly cases relating to personal injury, negligence, and the enforceability of liability waivers. These cases illustrate how courts apply contract law principles in real-world adventure tourism contexts (Poole, 2020).</w:t>
      </w:r>
    </w:p>
    <w:p w:rsidR="00634A74" w:rsidRPr="00634A74" w:rsidRDefault="00634A74" w:rsidP="00634A74">
      <w:pPr>
        <w:spacing w:before="100" w:beforeAutospacing="1" w:after="100" w:afterAutospacing="1" w:line="240" w:lineRule="auto"/>
        <w:rPr>
          <w:rFonts w:ascii="Times New Roman" w:eastAsia="Times New Roman" w:hAnsi="Times New Roman" w:cs="Times New Roman"/>
          <w:sz w:val="24"/>
          <w:szCs w:val="24"/>
          <w:lang w:bidi="hi-IN"/>
        </w:rPr>
      </w:pPr>
      <w:r w:rsidRPr="00634A74">
        <w:rPr>
          <w:rFonts w:ascii="Times New Roman" w:eastAsia="Times New Roman" w:hAnsi="Times New Roman" w:cs="Times New Roman"/>
          <w:sz w:val="24"/>
          <w:szCs w:val="24"/>
          <w:lang w:bidi="hi-IN"/>
        </w:rPr>
        <w:t>Secondary sources such as tourism law texts and industry publications are used to contextualize legal principles within broader tourism practices. These materials help bridge the gap between legal theory and operational realities faced by adventure tourism operators (Mason &amp; Bohdanowicz, 2020).</w:t>
      </w:r>
    </w:p>
    <w:p w:rsidR="00634A74" w:rsidRPr="00634A74" w:rsidRDefault="00634A74" w:rsidP="00634A74">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12" w:name="_Toc220974350"/>
      <w:r w:rsidRPr="00634A74">
        <w:rPr>
          <w:rFonts w:ascii="Times New Roman" w:eastAsia="Times New Roman" w:hAnsi="Times New Roman" w:cs="Times New Roman"/>
          <w:b/>
          <w:bCs/>
          <w:sz w:val="27"/>
          <w:szCs w:val="27"/>
          <w:lang w:bidi="hi-IN"/>
        </w:rPr>
        <w:t>Analytical Framework</w:t>
      </w:r>
      <w:bookmarkEnd w:id="12"/>
    </w:p>
    <w:p w:rsidR="00634A74" w:rsidRPr="00634A74" w:rsidRDefault="00634A74" w:rsidP="00634A74">
      <w:pPr>
        <w:spacing w:before="100" w:beforeAutospacing="1" w:after="100" w:afterAutospacing="1" w:line="240" w:lineRule="auto"/>
        <w:rPr>
          <w:rFonts w:ascii="Times New Roman" w:eastAsia="Times New Roman" w:hAnsi="Times New Roman" w:cs="Times New Roman"/>
          <w:sz w:val="24"/>
          <w:szCs w:val="24"/>
          <w:lang w:bidi="hi-IN"/>
        </w:rPr>
      </w:pPr>
      <w:r w:rsidRPr="00634A74">
        <w:rPr>
          <w:rFonts w:ascii="Times New Roman" w:eastAsia="Times New Roman" w:hAnsi="Times New Roman" w:cs="Times New Roman"/>
          <w:sz w:val="24"/>
          <w:szCs w:val="24"/>
          <w:lang w:bidi="hi-IN"/>
        </w:rPr>
        <w:t xml:space="preserve">The analysis is structured around key contractual concepts, including contract formation, assumption of risk, breach, and remedies. Each concept is examined within the context of </w:t>
      </w:r>
      <w:r w:rsidRPr="00634A74">
        <w:rPr>
          <w:rFonts w:ascii="Times New Roman" w:eastAsia="Times New Roman" w:hAnsi="Times New Roman" w:cs="Times New Roman"/>
          <w:sz w:val="24"/>
          <w:szCs w:val="24"/>
          <w:lang w:bidi="hi-IN"/>
        </w:rPr>
        <w:lastRenderedPageBreak/>
        <w:t>adventure tourism to assess the effectiveness of contract law in balancing risk allocation with consumer protection (Grant &amp; Mason, 2018).</w:t>
      </w:r>
    </w:p>
    <w:p w:rsidR="00634A74" w:rsidRPr="00634A74" w:rsidRDefault="00634A74" w:rsidP="00634A74">
      <w:pPr>
        <w:spacing w:before="100" w:beforeAutospacing="1" w:after="100" w:afterAutospacing="1" w:line="240" w:lineRule="auto"/>
        <w:rPr>
          <w:rFonts w:ascii="Times New Roman" w:eastAsia="Times New Roman" w:hAnsi="Times New Roman" w:cs="Times New Roman"/>
          <w:sz w:val="24"/>
          <w:szCs w:val="24"/>
          <w:lang w:bidi="hi-IN"/>
        </w:rPr>
      </w:pPr>
      <w:r w:rsidRPr="00634A74">
        <w:rPr>
          <w:rFonts w:ascii="Times New Roman" w:eastAsia="Times New Roman" w:hAnsi="Times New Roman" w:cs="Times New Roman"/>
          <w:sz w:val="24"/>
          <w:szCs w:val="24"/>
          <w:lang w:bidi="hi-IN"/>
        </w:rPr>
        <w:t>By integrating doctrinal analysis with practical examples, the study aims to provide a comprehensive evaluation of how contract law functions within adventure tourism. This methodological approach ensures that conclusions are grounded in established legal principles while remaining relevant to contemporary tourism practices (Sharpley, 2018).</w:t>
      </w:r>
    </w:p>
    <w:p w:rsidR="00634A74" w:rsidRDefault="00634A74" w:rsidP="00634A74">
      <w:pPr>
        <w:spacing w:before="100" w:beforeAutospacing="1" w:after="100" w:afterAutospacing="1" w:line="240" w:lineRule="auto"/>
        <w:outlineLvl w:val="1"/>
        <w:rPr>
          <w:rFonts w:ascii="Times New Roman" w:eastAsia="Times New Roman" w:hAnsi="Times New Roman" w:cs="Times New Roman"/>
          <w:sz w:val="24"/>
          <w:szCs w:val="24"/>
          <w:lang w:bidi="hi-IN"/>
        </w:rPr>
      </w:pPr>
    </w:p>
    <w:p w:rsidR="00634A74" w:rsidRPr="00634A74" w:rsidRDefault="00634A74" w:rsidP="00634A74">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13" w:name="_Toc220974351"/>
      <w:r w:rsidRPr="00634A74">
        <w:rPr>
          <w:rFonts w:ascii="Times New Roman" w:eastAsia="Times New Roman" w:hAnsi="Times New Roman" w:cs="Times New Roman"/>
          <w:b/>
          <w:bCs/>
          <w:sz w:val="36"/>
          <w:szCs w:val="36"/>
          <w:lang w:bidi="hi-IN"/>
        </w:rPr>
        <w:t>FINDINGS</w:t>
      </w:r>
      <w:bookmarkEnd w:id="13"/>
    </w:p>
    <w:p w:rsidR="00634A74" w:rsidRPr="00634A74" w:rsidRDefault="00634A74" w:rsidP="00634A74">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14" w:name="_Toc220974352"/>
      <w:r w:rsidRPr="00634A74">
        <w:rPr>
          <w:rFonts w:ascii="Times New Roman" w:eastAsia="Times New Roman" w:hAnsi="Times New Roman" w:cs="Times New Roman"/>
          <w:b/>
          <w:bCs/>
          <w:sz w:val="27"/>
          <w:szCs w:val="27"/>
          <w:lang w:bidi="hi-IN"/>
        </w:rPr>
        <w:t>Participant Awareness and Informed Consent</w:t>
      </w:r>
      <w:bookmarkEnd w:id="14"/>
    </w:p>
    <w:p w:rsidR="00634A74" w:rsidRPr="00634A74" w:rsidRDefault="00634A74" w:rsidP="00634A74">
      <w:pPr>
        <w:spacing w:before="100" w:beforeAutospacing="1" w:after="100" w:afterAutospacing="1" w:line="240" w:lineRule="auto"/>
        <w:rPr>
          <w:rFonts w:ascii="Times New Roman" w:eastAsia="Times New Roman" w:hAnsi="Times New Roman" w:cs="Times New Roman"/>
          <w:sz w:val="24"/>
          <w:szCs w:val="24"/>
          <w:lang w:bidi="hi-IN"/>
        </w:rPr>
      </w:pPr>
      <w:r w:rsidRPr="00634A74">
        <w:rPr>
          <w:rFonts w:ascii="Times New Roman" w:eastAsia="Times New Roman" w:hAnsi="Times New Roman" w:cs="Times New Roman"/>
          <w:sz w:val="24"/>
          <w:szCs w:val="24"/>
          <w:lang w:bidi="hi-IN"/>
        </w:rPr>
        <w:t>One of the central findings of this study is that participants in adventure tourism activities often lack full awareness of the legal implications of the contracts they sign. Although liability waivers and participation agreements are presented as prerequisites for engaging in adventure activities, many participants sign these documents without carefully reading or understanding their contents (Sharpley, 2018). This lack of informed consent raises concerns regarding the validity and fairness of adventure tourism contracts under contract law.</w:t>
      </w:r>
    </w:p>
    <w:p w:rsidR="00634A74" w:rsidRPr="00634A74" w:rsidRDefault="00634A74" w:rsidP="00634A74">
      <w:pPr>
        <w:spacing w:before="100" w:beforeAutospacing="1" w:after="100" w:afterAutospacing="1" w:line="240" w:lineRule="auto"/>
        <w:rPr>
          <w:rFonts w:ascii="Times New Roman" w:eastAsia="Times New Roman" w:hAnsi="Times New Roman" w:cs="Times New Roman"/>
          <w:sz w:val="24"/>
          <w:szCs w:val="24"/>
          <w:lang w:bidi="hi-IN"/>
        </w:rPr>
      </w:pPr>
      <w:r w:rsidRPr="00634A74">
        <w:rPr>
          <w:rFonts w:ascii="Times New Roman" w:eastAsia="Times New Roman" w:hAnsi="Times New Roman" w:cs="Times New Roman"/>
          <w:sz w:val="24"/>
          <w:szCs w:val="24"/>
          <w:lang w:bidi="hi-IN"/>
        </w:rPr>
        <w:t>Research suggests that participants tend to focus on the excitement and novelty of the activity rather than the legal consequences of accepting contractual terms (Mason &amp; Bohdanowicz, 2020). As a result, disputes frequently arise when participants suffer injuries and discover that liability waivers limit or exclude their ability to seek compensation. Courts have increasingly examined whether participants were given sufficient opportunity to understand contractual terms, particularly where activities involve significant risk (Poole, 2020).</w:t>
      </w:r>
    </w:p>
    <w:p w:rsidR="00634A74" w:rsidRPr="00634A74" w:rsidRDefault="00634A74" w:rsidP="00634A74">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15" w:name="_Toc220974353"/>
      <w:r w:rsidRPr="00634A74">
        <w:rPr>
          <w:rFonts w:ascii="Times New Roman" w:eastAsia="Times New Roman" w:hAnsi="Times New Roman" w:cs="Times New Roman"/>
          <w:b/>
          <w:bCs/>
          <w:sz w:val="27"/>
          <w:szCs w:val="27"/>
          <w:lang w:bidi="hi-IN"/>
        </w:rPr>
        <w:t>Operator Compliance with Safety Obligations</w:t>
      </w:r>
      <w:bookmarkEnd w:id="15"/>
    </w:p>
    <w:p w:rsidR="00634A74" w:rsidRPr="00634A74" w:rsidRDefault="00634A74" w:rsidP="00634A74">
      <w:pPr>
        <w:spacing w:before="100" w:beforeAutospacing="1" w:after="100" w:afterAutospacing="1" w:line="240" w:lineRule="auto"/>
        <w:rPr>
          <w:rFonts w:ascii="Times New Roman" w:eastAsia="Times New Roman" w:hAnsi="Times New Roman" w:cs="Times New Roman"/>
          <w:sz w:val="24"/>
          <w:szCs w:val="24"/>
          <w:lang w:bidi="hi-IN"/>
        </w:rPr>
      </w:pPr>
      <w:r w:rsidRPr="00634A74">
        <w:rPr>
          <w:rFonts w:ascii="Times New Roman" w:eastAsia="Times New Roman" w:hAnsi="Times New Roman" w:cs="Times New Roman"/>
          <w:sz w:val="24"/>
          <w:szCs w:val="24"/>
          <w:lang w:bidi="hi-IN"/>
        </w:rPr>
        <w:t>Another key finding relates to the performance of contractual obligations by adventure tourism operators. While liability waivers may limit certain claims, they do not absolve operators of their duty to exercise reasonable care in providing safe equipment, qualified supervision, and adequate training (Dickerson, 2019). Failure to meet these standards may constitute a breach of contract or negligence, regardless of the existence of a waiver.</w:t>
      </w:r>
    </w:p>
    <w:p w:rsidR="00634A74" w:rsidRPr="00634A74" w:rsidRDefault="00634A74" w:rsidP="00634A74">
      <w:pPr>
        <w:spacing w:before="100" w:beforeAutospacing="1" w:after="100" w:afterAutospacing="1" w:line="240" w:lineRule="auto"/>
        <w:rPr>
          <w:rFonts w:ascii="Times New Roman" w:eastAsia="Times New Roman" w:hAnsi="Times New Roman" w:cs="Times New Roman"/>
          <w:sz w:val="24"/>
          <w:szCs w:val="24"/>
          <w:lang w:bidi="hi-IN"/>
        </w:rPr>
      </w:pPr>
      <w:r w:rsidRPr="00634A74">
        <w:rPr>
          <w:rFonts w:ascii="Times New Roman" w:eastAsia="Times New Roman" w:hAnsi="Times New Roman" w:cs="Times New Roman"/>
          <w:sz w:val="24"/>
          <w:szCs w:val="24"/>
          <w:lang w:bidi="hi-IN"/>
        </w:rPr>
        <w:t>The study finds that courts often distinguish between inherent risks, which participants may assume, and risks arising from operator negligence. Where injuries result from poor maintenance, inadequate instruction, or failure to follow safety protocols, courts are more likely to hold operators liable (McKendrick, 2021). This distinction reinforces the principle that contractual risk allocation must not undermine basic safety obligations in adventure tourism (Grant &amp; Mason, 2018).</w:t>
      </w:r>
    </w:p>
    <w:p w:rsidR="00634A74" w:rsidRPr="00634A74" w:rsidRDefault="00634A74" w:rsidP="00634A74">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16" w:name="_Toc220974354"/>
      <w:r w:rsidRPr="00634A74">
        <w:rPr>
          <w:rFonts w:ascii="Times New Roman" w:eastAsia="Times New Roman" w:hAnsi="Times New Roman" w:cs="Times New Roman"/>
          <w:b/>
          <w:bCs/>
          <w:sz w:val="27"/>
          <w:szCs w:val="27"/>
          <w:lang w:bidi="hi-IN"/>
        </w:rPr>
        <w:t>Unequal Bargaining Power and Contractual Fairness</w:t>
      </w:r>
      <w:bookmarkEnd w:id="16"/>
    </w:p>
    <w:p w:rsidR="00634A74" w:rsidRPr="00634A74" w:rsidRDefault="00634A74" w:rsidP="00634A74">
      <w:pPr>
        <w:spacing w:before="100" w:beforeAutospacing="1" w:after="100" w:afterAutospacing="1" w:line="240" w:lineRule="auto"/>
        <w:rPr>
          <w:rFonts w:ascii="Times New Roman" w:eastAsia="Times New Roman" w:hAnsi="Times New Roman" w:cs="Times New Roman"/>
          <w:sz w:val="24"/>
          <w:szCs w:val="24"/>
          <w:lang w:bidi="hi-IN"/>
        </w:rPr>
      </w:pPr>
      <w:r w:rsidRPr="00634A74">
        <w:rPr>
          <w:rFonts w:ascii="Times New Roman" w:eastAsia="Times New Roman" w:hAnsi="Times New Roman" w:cs="Times New Roman"/>
          <w:sz w:val="24"/>
          <w:szCs w:val="24"/>
          <w:lang w:bidi="hi-IN"/>
        </w:rPr>
        <w:lastRenderedPageBreak/>
        <w:t>The findings also highlight the issue of unequal bargaining power in adventure tourism contracts. Participants typically have no opportunity to negotiate waiver terms and must accept standard form contracts to participate (Sharpley, 2018). This imbalance raises questions about the voluntariness of consent and the fairness of liability exclusions.</w:t>
      </w:r>
    </w:p>
    <w:p w:rsidR="00634A74" w:rsidRPr="00634A74" w:rsidRDefault="00634A74" w:rsidP="00634A74">
      <w:pPr>
        <w:spacing w:before="100" w:beforeAutospacing="1" w:after="100" w:afterAutospacing="1" w:line="240" w:lineRule="auto"/>
        <w:rPr>
          <w:rFonts w:ascii="Times New Roman" w:eastAsia="Times New Roman" w:hAnsi="Times New Roman" w:cs="Times New Roman"/>
          <w:sz w:val="24"/>
          <w:szCs w:val="24"/>
          <w:lang w:bidi="hi-IN"/>
        </w:rPr>
      </w:pPr>
      <w:r w:rsidRPr="00634A74">
        <w:rPr>
          <w:rFonts w:ascii="Times New Roman" w:eastAsia="Times New Roman" w:hAnsi="Times New Roman" w:cs="Times New Roman"/>
          <w:sz w:val="24"/>
          <w:szCs w:val="24"/>
          <w:lang w:bidi="hi-IN"/>
        </w:rPr>
        <w:t>Courts have increasingly recognized that unequal bargaining power may undermine the enforceability of liability waivers, particularly where contracts are presented on a take-it-or-leave-it basis (Poole, 2020). The findings suggest that contract law plays an important role in addressing this imbalance by scrutinizing waiver clauses and prioritizing consumer protection where necessary (McKendrick, 2021).</w:t>
      </w:r>
    </w:p>
    <w:p w:rsidR="00634A74" w:rsidRPr="00634A74" w:rsidRDefault="00634A74" w:rsidP="00634A74">
      <w:pPr>
        <w:spacing w:after="0" w:line="240" w:lineRule="auto"/>
        <w:rPr>
          <w:rFonts w:ascii="Times New Roman" w:eastAsia="Times New Roman" w:hAnsi="Times New Roman" w:cs="Times New Roman"/>
          <w:sz w:val="24"/>
          <w:szCs w:val="24"/>
          <w:lang w:bidi="hi-IN"/>
        </w:rPr>
      </w:pPr>
    </w:p>
    <w:p w:rsidR="00634A74" w:rsidRPr="00634A74" w:rsidRDefault="00634A74" w:rsidP="00634A74">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17" w:name="_Toc220974355"/>
      <w:r w:rsidRPr="00634A74">
        <w:rPr>
          <w:rFonts w:ascii="Times New Roman" w:eastAsia="Times New Roman" w:hAnsi="Times New Roman" w:cs="Times New Roman"/>
          <w:b/>
          <w:bCs/>
          <w:sz w:val="36"/>
          <w:szCs w:val="36"/>
          <w:lang w:bidi="hi-IN"/>
        </w:rPr>
        <w:t>REAL-WORLD CONTRACT DISPUTES IN ADVENTURE TOURISM</w:t>
      </w:r>
      <w:bookmarkEnd w:id="17"/>
    </w:p>
    <w:p w:rsidR="00634A74" w:rsidRPr="00634A74" w:rsidRDefault="00634A74" w:rsidP="00634A74">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18" w:name="_Toc220974356"/>
      <w:r w:rsidRPr="00634A74">
        <w:rPr>
          <w:rFonts w:ascii="Times New Roman" w:eastAsia="Times New Roman" w:hAnsi="Times New Roman" w:cs="Times New Roman"/>
          <w:b/>
          <w:bCs/>
          <w:sz w:val="27"/>
          <w:szCs w:val="27"/>
          <w:lang w:bidi="hi-IN"/>
        </w:rPr>
        <w:t>Case Study 1: Injury Claims and Liability Waivers</w:t>
      </w:r>
      <w:bookmarkEnd w:id="18"/>
    </w:p>
    <w:p w:rsidR="00634A74" w:rsidRPr="00634A74" w:rsidRDefault="00634A74" w:rsidP="00634A74">
      <w:pPr>
        <w:spacing w:before="100" w:beforeAutospacing="1" w:after="100" w:afterAutospacing="1" w:line="240" w:lineRule="auto"/>
        <w:rPr>
          <w:rFonts w:ascii="Times New Roman" w:eastAsia="Times New Roman" w:hAnsi="Times New Roman" w:cs="Times New Roman"/>
          <w:sz w:val="24"/>
          <w:szCs w:val="24"/>
          <w:lang w:bidi="hi-IN"/>
        </w:rPr>
      </w:pPr>
      <w:r w:rsidRPr="00634A74">
        <w:rPr>
          <w:rFonts w:ascii="Times New Roman" w:eastAsia="Times New Roman" w:hAnsi="Times New Roman" w:cs="Times New Roman"/>
          <w:sz w:val="24"/>
          <w:szCs w:val="24"/>
          <w:lang w:bidi="hi-IN"/>
        </w:rPr>
        <w:t>Injury-related disputes are among the most common legal issues in adventure tourism. In cases where participants suffer physical harm during activities such as rafting, climbing, or diving, operators often rely on liability waivers to defend against claims (Dickerson, 2019). Courts typically assess whether the waiver was clearly drafted, properly disclosed, and voluntarily accepted.</w:t>
      </w:r>
    </w:p>
    <w:p w:rsidR="00634A74" w:rsidRPr="00634A74" w:rsidRDefault="00634A74" w:rsidP="00634A74">
      <w:pPr>
        <w:spacing w:before="100" w:beforeAutospacing="1" w:after="100" w:afterAutospacing="1" w:line="240" w:lineRule="auto"/>
        <w:rPr>
          <w:rFonts w:ascii="Times New Roman" w:eastAsia="Times New Roman" w:hAnsi="Times New Roman" w:cs="Times New Roman"/>
          <w:sz w:val="24"/>
          <w:szCs w:val="24"/>
          <w:lang w:bidi="hi-IN"/>
        </w:rPr>
      </w:pPr>
      <w:r w:rsidRPr="00634A74">
        <w:rPr>
          <w:rFonts w:ascii="Times New Roman" w:eastAsia="Times New Roman" w:hAnsi="Times New Roman" w:cs="Times New Roman"/>
          <w:sz w:val="24"/>
          <w:szCs w:val="24"/>
          <w:lang w:bidi="hi-IN"/>
        </w:rPr>
        <w:t>Judicial decisions indicate that waivers may be enforceable where risks are inherent and adequately explained. However, courts have consistently refused to enforce waivers that attempt to exclude liability for negligence or unsafe practices (McKendrick, 2021). This approach reflects a commitment to ensuring that adventure tourism operators cannot contract out of fundamental duties of care (Poole, 2020).</w:t>
      </w:r>
    </w:p>
    <w:p w:rsidR="00634A74" w:rsidRPr="00634A74" w:rsidRDefault="00634A74" w:rsidP="00634A74">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19" w:name="_Toc220974357"/>
      <w:r w:rsidRPr="00634A74">
        <w:rPr>
          <w:rFonts w:ascii="Times New Roman" w:eastAsia="Times New Roman" w:hAnsi="Times New Roman" w:cs="Times New Roman"/>
          <w:b/>
          <w:bCs/>
          <w:sz w:val="27"/>
          <w:szCs w:val="27"/>
          <w:lang w:bidi="hi-IN"/>
        </w:rPr>
        <w:t>Case Study 2: Misrepresentation of Risk</w:t>
      </w:r>
      <w:bookmarkEnd w:id="19"/>
    </w:p>
    <w:p w:rsidR="00634A74" w:rsidRPr="00634A74" w:rsidRDefault="00634A74" w:rsidP="00634A74">
      <w:pPr>
        <w:spacing w:before="100" w:beforeAutospacing="1" w:after="100" w:afterAutospacing="1" w:line="240" w:lineRule="auto"/>
        <w:rPr>
          <w:rFonts w:ascii="Times New Roman" w:eastAsia="Times New Roman" w:hAnsi="Times New Roman" w:cs="Times New Roman"/>
          <w:sz w:val="24"/>
          <w:szCs w:val="24"/>
          <w:lang w:bidi="hi-IN"/>
        </w:rPr>
      </w:pPr>
      <w:r w:rsidRPr="00634A74">
        <w:rPr>
          <w:rFonts w:ascii="Times New Roman" w:eastAsia="Times New Roman" w:hAnsi="Times New Roman" w:cs="Times New Roman"/>
          <w:sz w:val="24"/>
          <w:szCs w:val="24"/>
          <w:lang w:bidi="hi-IN"/>
        </w:rPr>
        <w:t>Misrepresentation disputes arise when operators fail to accurately disclose the level of risk associated with adventure activities. Courts have held that misleading representations regarding safety standards, difficulty levels, or required experience may invalidate liability waivers (Grant &amp; Mason, 2018). Participants who rely on such representations may be entitled to remedies under contract law.</w:t>
      </w:r>
    </w:p>
    <w:p w:rsidR="00634A74" w:rsidRPr="00634A74" w:rsidRDefault="00634A74" w:rsidP="00634A74">
      <w:pPr>
        <w:spacing w:before="100" w:beforeAutospacing="1" w:after="100" w:afterAutospacing="1" w:line="240" w:lineRule="auto"/>
        <w:rPr>
          <w:rFonts w:ascii="Times New Roman" w:eastAsia="Times New Roman" w:hAnsi="Times New Roman" w:cs="Times New Roman"/>
          <w:sz w:val="24"/>
          <w:szCs w:val="24"/>
          <w:lang w:bidi="hi-IN"/>
        </w:rPr>
      </w:pPr>
      <w:r w:rsidRPr="00634A74">
        <w:rPr>
          <w:rFonts w:ascii="Times New Roman" w:eastAsia="Times New Roman" w:hAnsi="Times New Roman" w:cs="Times New Roman"/>
          <w:sz w:val="24"/>
          <w:szCs w:val="24"/>
          <w:lang w:bidi="hi-IN"/>
        </w:rPr>
        <w:t>The findings indicate that accurate risk disclosure is essential for the enforceability of adventure tourism contracts. Where operators exaggerate safety or downplay risks, courts may find that consent was not genuinely informed, undermining the contractual agreement (Sharpley, 2018).</w:t>
      </w:r>
    </w:p>
    <w:p w:rsidR="00634A74" w:rsidRPr="00634A74" w:rsidRDefault="00634A74" w:rsidP="00634A74">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20" w:name="_Toc220974358"/>
      <w:r w:rsidRPr="00634A74">
        <w:rPr>
          <w:rFonts w:ascii="Times New Roman" w:eastAsia="Times New Roman" w:hAnsi="Times New Roman" w:cs="Times New Roman"/>
          <w:b/>
          <w:bCs/>
          <w:sz w:val="27"/>
          <w:szCs w:val="27"/>
          <w:lang w:bidi="hi-IN"/>
        </w:rPr>
        <w:t>Case Study 3: Equipment Failure and Operator Responsibility</w:t>
      </w:r>
      <w:bookmarkEnd w:id="20"/>
    </w:p>
    <w:p w:rsidR="00634A74" w:rsidRPr="00634A74" w:rsidRDefault="00634A74" w:rsidP="00634A74">
      <w:pPr>
        <w:spacing w:before="100" w:beforeAutospacing="1" w:after="100" w:afterAutospacing="1" w:line="240" w:lineRule="auto"/>
        <w:rPr>
          <w:rFonts w:ascii="Times New Roman" w:eastAsia="Times New Roman" w:hAnsi="Times New Roman" w:cs="Times New Roman"/>
          <w:sz w:val="24"/>
          <w:szCs w:val="24"/>
          <w:lang w:bidi="hi-IN"/>
        </w:rPr>
      </w:pPr>
      <w:r w:rsidRPr="00634A74">
        <w:rPr>
          <w:rFonts w:ascii="Times New Roman" w:eastAsia="Times New Roman" w:hAnsi="Times New Roman" w:cs="Times New Roman"/>
          <w:sz w:val="24"/>
          <w:szCs w:val="24"/>
          <w:lang w:bidi="hi-IN"/>
        </w:rPr>
        <w:lastRenderedPageBreak/>
        <w:t>Equipment failure represents another significant source of contractual disputes in adventure tourism. Participants may suffer injury due to defective or poorly maintained equipment provided by operators. Courts have generally held that liability waivers do not protect operators from claims arising from equipment failure attributable to negligence (Dickerson, 2019).</w:t>
      </w:r>
    </w:p>
    <w:p w:rsidR="00634A74" w:rsidRPr="00634A74" w:rsidRDefault="00634A74" w:rsidP="00634A74">
      <w:pPr>
        <w:spacing w:before="100" w:beforeAutospacing="1" w:after="100" w:afterAutospacing="1" w:line="240" w:lineRule="auto"/>
        <w:rPr>
          <w:rFonts w:ascii="Times New Roman" w:eastAsia="Times New Roman" w:hAnsi="Times New Roman" w:cs="Times New Roman"/>
          <w:sz w:val="24"/>
          <w:szCs w:val="24"/>
          <w:lang w:bidi="hi-IN"/>
        </w:rPr>
      </w:pPr>
      <w:r w:rsidRPr="00634A74">
        <w:rPr>
          <w:rFonts w:ascii="Times New Roman" w:eastAsia="Times New Roman" w:hAnsi="Times New Roman" w:cs="Times New Roman"/>
          <w:sz w:val="24"/>
          <w:szCs w:val="24"/>
          <w:lang w:bidi="hi-IN"/>
        </w:rPr>
        <w:t>The study finds that courts emphasize the operator’s responsibility to ensure equipment safety as part of their contractual obligations. Failure to do so may constitute both a breach of contract and negligence, entitling participants to compensation despite the presence of a waiver (Poole, 2020).</w:t>
      </w:r>
    </w:p>
    <w:p w:rsidR="00634A74" w:rsidRPr="00634A74" w:rsidRDefault="00634A74" w:rsidP="00634A74">
      <w:pPr>
        <w:spacing w:after="0" w:line="240" w:lineRule="auto"/>
        <w:rPr>
          <w:rFonts w:ascii="Times New Roman" w:eastAsia="Times New Roman" w:hAnsi="Times New Roman" w:cs="Times New Roman"/>
          <w:sz w:val="24"/>
          <w:szCs w:val="24"/>
          <w:lang w:bidi="hi-IN"/>
        </w:rPr>
      </w:pPr>
    </w:p>
    <w:p w:rsidR="00634A74" w:rsidRPr="00634A74" w:rsidRDefault="00634A74" w:rsidP="00634A74">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21" w:name="_Toc220974359"/>
      <w:r w:rsidRPr="00634A74">
        <w:rPr>
          <w:rFonts w:ascii="Times New Roman" w:eastAsia="Times New Roman" w:hAnsi="Times New Roman" w:cs="Times New Roman"/>
          <w:b/>
          <w:bCs/>
          <w:sz w:val="36"/>
          <w:szCs w:val="36"/>
          <w:lang w:bidi="hi-IN"/>
        </w:rPr>
        <w:t>REMEDIES AVAILABLE UNDER CONTRACT LAW</w:t>
      </w:r>
      <w:bookmarkEnd w:id="21"/>
    </w:p>
    <w:p w:rsidR="00634A74" w:rsidRPr="00634A74" w:rsidRDefault="00634A74" w:rsidP="00634A74">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22" w:name="_Toc220974360"/>
      <w:r w:rsidRPr="00634A74">
        <w:rPr>
          <w:rFonts w:ascii="Times New Roman" w:eastAsia="Times New Roman" w:hAnsi="Times New Roman" w:cs="Times New Roman"/>
          <w:b/>
          <w:bCs/>
          <w:sz w:val="27"/>
          <w:szCs w:val="27"/>
          <w:lang w:bidi="hi-IN"/>
        </w:rPr>
        <w:t>Damages and Compensation</w:t>
      </w:r>
      <w:bookmarkEnd w:id="22"/>
    </w:p>
    <w:p w:rsidR="00634A74" w:rsidRPr="00634A74" w:rsidRDefault="00634A74" w:rsidP="00634A74">
      <w:pPr>
        <w:spacing w:before="100" w:beforeAutospacing="1" w:after="100" w:afterAutospacing="1" w:line="240" w:lineRule="auto"/>
        <w:rPr>
          <w:rFonts w:ascii="Times New Roman" w:eastAsia="Times New Roman" w:hAnsi="Times New Roman" w:cs="Times New Roman"/>
          <w:sz w:val="24"/>
          <w:szCs w:val="24"/>
          <w:lang w:bidi="hi-IN"/>
        </w:rPr>
      </w:pPr>
      <w:r w:rsidRPr="00634A74">
        <w:rPr>
          <w:rFonts w:ascii="Times New Roman" w:eastAsia="Times New Roman" w:hAnsi="Times New Roman" w:cs="Times New Roman"/>
          <w:sz w:val="24"/>
          <w:szCs w:val="24"/>
          <w:lang w:bidi="hi-IN"/>
        </w:rPr>
        <w:t>Damages are the primary remedy available to participants who suffer injury or loss due to breach of contract or negligence in adventure tourism. Courts aim to compensate participants for medical expenses, loss of earnings, and other foreseeable losses resulting from contractual breaches (McKendrick, 2021).</w:t>
      </w:r>
    </w:p>
    <w:p w:rsidR="00634A74" w:rsidRPr="00634A74" w:rsidRDefault="00634A74" w:rsidP="00634A74">
      <w:pPr>
        <w:spacing w:before="100" w:beforeAutospacing="1" w:after="100" w:afterAutospacing="1" w:line="240" w:lineRule="auto"/>
        <w:rPr>
          <w:rFonts w:ascii="Times New Roman" w:eastAsia="Times New Roman" w:hAnsi="Times New Roman" w:cs="Times New Roman"/>
          <w:sz w:val="24"/>
          <w:szCs w:val="24"/>
          <w:lang w:bidi="hi-IN"/>
        </w:rPr>
      </w:pPr>
      <w:r w:rsidRPr="00634A74">
        <w:rPr>
          <w:rFonts w:ascii="Times New Roman" w:eastAsia="Times New Roman" w:hAnsi="Times New Roman" w:cs="Times New Roman"/>
          <w:sz w:val="24"/>
          <w:szCs w:val="24"/>
          <w:lang w:bidi="hi-IN"/>
        </w:rPr>
        <w:t>In some cases, damages may also reflect non-financial losses such as pain, suffering, or loss of enjoyment, particularly where the purpose of the contract was recreational (Sharpley, 2018). However, courts carefully assess such claims to ensure proportionality and fairness, balancing participant protection with operator interests (Poole, 2020).</w:t>
      </w:r>
    </w:p>
    <w:p w:rsidR="00634A74" w:rsidRPr="00634A74" w:rsidRDefault="00634A74" w:rsidP="00634A74">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23" w:name="_Toc220974361"/>
      <w:r w:rsidRPr="00634A74">
        <w:rPr>
          <w:rFonts w:ascii="Times New Roman" w:eastAsia="Times New Roman" w:hAnsi="Times New Roman" w:cs="Times New Roman"/>
          <w:b/>
          <w:bCs/>
          <w:sz w:val="27"/>
          <w:szCs w:val="27"/>
          <w:lang w:bidi="hi-IN"/>
        </w:rPr>
        <w:t>Contract Termination and Refunds</w:t>
      </w:r>
      <w:bookmarkEnd w:id="23"/>
    </w:p>
    <w:p w:rsidR="00634A74" w:rsidRPr="00634A74" w:rsidRDefault="00634A74" w:rsidP="00634A74">
      <w:pPr>
        <w:spacing w:before="100" w:beforeAutospacing="1" w:after="100" w:afterAutospacing="1" w:line="240" w:lineRule="auto"/>
        <w:rPr>
          <w:rFonts w:ascii="Times New Roman" w:eastAsia="Times New Roman" w:hAnsi="Times New Roman" w:cs="Times New Roman"/>
          <w:sz w:val="24"/>
          <w:szCs w:val="24"/>
          <w:lang w:bidi="hi-IN"/>
        </w:rPr>
      </w:pPr>
      <w:r w:rsidRPr="00634A74">
        <w:rPr>
          <w:rFonts w:ascii="Times New Roman" w:eastAsia="Times New Roman" w:hAnsi="Times New Roman" w:cs="Times New Roman"/>
          <w:sz w:val="24"/>
          <w:szCs w:val="24"/>
          <w:lang w:bidi="hi-IN"/>
        </w:rPr>
        <w:t>Termination of contract may be available where operators fail to meet fundamental contractual obligations, such as providing qualified supervision or safe equipment. In such cases, participants may be entitled to refunds or additional compensation (Grant &amp; Mason, 2018).</w:t>
      </w:r>
    </w:p>
    <w:p w:rsidR="00634A74" w:rsidRPr="00634A74" w:rsidRDefault="00634A74" w:rsidP="00634A74">
      <w:pPr>
        <w:spacing w:before="100" w:beforeAutospacing="1" w:after="100" w:afterAutospacing="1" w:line="240" w:lineRule="auto"/>
        <w:rPr>
          <w:rFonts w:ascii="Times New Roman" w:eastAsia="Times New Roman" w:hAnsi="Times New Roman" w:cs="Times New Roman"/>
          <w:sz w:val="24"/>
          <w:szCs w:val="24"/>
          <w:lang w:bidi="hi-IN"/>
        </w:rPr>
      </w:pPr>
      <w:r w:rsidRPr="00634A74">
        <w:rPr>
          <w:rFonts w:ascii="Times New Roman" w:eastAsia="Times New Roman" w:hAnsi="Times New Roman" w:cs="Times New Roman"/>
          <w:sz w:val="24"/>
          <w:szCs w:val="24"/>
          <w:lang w:bidi="hi-IN"/>
        </w:rPr>
        <w:t>The findings suggest that refund disputes are particularly common where activities are canceled due to safety concerns or operator negligence. Courts increasingly emphasize transparency and fairness when resolving such disputes, reinforcing the role of contract law in protecting adventure tourism participants (McKendrick, 2021).</w:t>
      </w:r>
    </w:p>
    <w:p w:rsidR="00634A74" w:rsidRPr="00634A74" w:rsidRDefault="00634A74" w:rsidP="00634A74">
      <w:pPr>
        <w:spacing w:after="0" w:line="240" w:lineRule="auto"/>
        <w:rPr>
          <w:rFonts w:ascii="Times New Roman" w:eastAsia="Times New Roman" w:hAnsi="Times New Roman" w:cs="Times New Roman"/>
          <w:sz w:val="24"/>
          <w:szCs w:val="24"/>
          <w:lang w:bidi="hi-IN"/>
        </w:rPr>
      </w:pPr>
      <w:r>
        <w:rPr>
          <w:rFonts w:ascii="Times New Roman" w:eastAsia="Times New Roman" w:hAnsi="Times New Roman" w:cs="Times New Roman"/>
          <w:sz w:val="24"/>
          <w:szCs w:val="24"/>
          <w:lang w:bidi="hi-IN"/>
        </w:rPr>
        <w:t xml:space="preserve"> </w:t>
      </w:r>
    </w:p>
    <w:p w:rsidR="00634A74" w:rsidRPr="00634A74" w:rsidRDefault="00634A74" w:rsidP="00634A74">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24" w:name="_Toc220974362"/>
      <w:r w:rsidRPr="00634A74">
        <w:rPr>
          <w:rFonts w:ascii="Times New Roman" w:eastAsia="Times New Roman" w:hAnsi="Times New Roman" w:cs="Times New Roman"/>
          <w:b/>
          <w:bCs/>
          <w:sz w:val="36"/>
          <w:szCs w:val="36"/>
          <w:lang w:bidi="hi-IN"/>
        </w:rPr>
        <w:t>DISCUSSION</w:t>
      </w:r>
      <w:bookmarkEnd w:id="24"/>
    </w:p>
    <w:p w:rsidR="00634A74" w:rsidRPr="00634A74" w:rsidRDefault="00634A74" w:rsidP="00634A74">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25" w:name="_Toc220974363"/>
      <w:r w:rsidRPr="00634A74">
        <w:rPr>
          <w:rFonts w:ascii="Times New Roman" w:eastAsia="Times New Roman" w:hAnsi="Times New Roman" w:cs="Times New Roman"/>
          <w:b/>
          <w:bCs/>
          <w:sz w:val="27"/>
          <w:szCs w:val="27"/>
          <w:lang w:bidi="hi-IN"/>
        </w:rPr>
        <w:t>Effectiveness of Contract Law in Adventure Tourism</w:t>
      </w:r>
      <w:bookmarkEnd w:id="25"/>
    </w:p>
    <w:p w:rsidR="00634A74" w:rsidRPr="00634A74" w:rsidRDefault="00634A74" w:rsidP="00634A74">
      <w:pPr>
        <w:spacing w:before="100" w:beforeAutospacing="1" w:after="100" w:afterAutospacing="1" w:line="240" w:lineRule="auto"/>
        <w:rPr>
          <w:rFonts w:ascii="Times New Roman" w:eastAsia="Times New Roman" w:hAnsi="Times New Roman" w:cs="Times New Roman"/>
          <w:sz w:val="24"/>
          <w:szCs w:val="24"/>
          <w:lang w:bidi="hi-IN"/>
        </w:rPr>
      </w:pPr>
      <w:r w:rsidRPr="00634A74">
        <w:rPr>
          <w:rFonts w:ascii="Times New Roman" w:eastAsia="Times New Roman" w:hAnsi="Times New Roman" w:cs="Times New Roman"/>
          <w:sz w:val="24"/>
          <w:szCs w:val="24"/>
          <w:lang w:bidi="hi-IN"/>
        </w:rPr>
        <w:t xml:space="preserve">The analysis in this assignment demonstrates that contract law plays a crucial role in regulating adventure tourism activities by defining the rights, responsibilities, and risk allocation between tour operators and participants. Given the inherently hazardous nature of adventure tourism, </w:t>
      </w:r>
      <w:r w:rsidRPr="00634A74">
        <w:rPr>
          <w:rFonts w:ascii="Times New Roman" w:eastAsia="Times New Roman" w:hAnsi="Times New Roman" w:cs="Times New Roman"/>
          <w:sz w:val="24"/>
          <w:szCs w:val="24"/>
          <w:lang w:bidi="hi-IN"/>
        </w:rPr>
        <w:lastRenderedPageBreak/>
        <w:t>contracts serve as a primary legal mechanism for managing expectations and liabilities (Dickerson, 2019). Liability waivers and assumption-of-risk clauses allow operators to manage commercial risk while enabling participants to engage in activities with an understanding of potential dangers.</w:t>
      </w:r>
    </w:p>
    <w:p w:rsidR="00634A74" w:rsidRPr="00634A74" w:rsidRDefault="00634A74" w:rsidP="00634A74">
      <w:pPr>
        <w:spacing w:before="100" w:beforeAutospacing="1" w:after="100" w:afterAutospacing="1" w:line="240" w:lineRule="auto"/>
        <w:rPr>
          <w:rFonts w:ascii="Times New Roman" w:eastAsia="Times New Roman" w:hAnsi="Times New Roman" w:cs="Times New Roman"/>
          <w:sz w:val="24"/>
          <w:szCs w:val="24"/>
          <w:lang w:bidi="hi-IN"/>
        </w:rPr>
      </w:pPr>
      <w:r w:rsidRPr="00634A74">
        <w:rPr>
          <w:rFonts w:ascii="Times New Roman" w:eastAsia="Times New Roman" w:hAnsi="Times New Roman" w:cs="Times New Roman"/>
          <w:sz w:val="24"/>
          <w:szCs w:val="24"/>
          <w:lang w:bidi="hi-IN"/>
        </w:rPr>
        <w:t>However, the discussion highlights that the effectiveness of contract law in adventure tourism is constrained by the widespread use of standard form contracts. Participants often have limited bargaining power and minimal opportunity to negotiate terms, which raises concerns regarding voluntariness and informed consent (Sharpley, 2018). While contract law supports freedom of contract, courts have increasingly emphasized fairness and transparency to prevent unjust outcomes, particularly where consumer safety is involved (Poole, 2020).</w:t>
      </w:r>
    </w:p>
    <w:p w:rsidR="00634A74" w:rsidRPr="00634A74" w:rsidRDefault="00634A74" w:rsidP="00634A74">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26" w:name="_Toc220974364"/>
      <w:r w:rsidRPr="00634A74">
        <w:rPr>
          <w:rFonts w:ascii="Times New Roman" w:eastAsia="Times New Roman" w:hAnsi="Times New Roman" w:cs="Times New Roman"/>
          <w:b/>
          <w:bCs/>
          <w:sz w:val="27"/>
          <w:szCs w:val="27"/>
          <w:lang w:bidi="hi-IN"/>
        </w:rPr>
        <w:t>Judicial Scrutiny of Liability Waivers</w:t>
      </w:r>
      <w:bookmarkEnd w:id="26"/>
    </w:p>
    <w:p w:rsidR="00634A74" w:rsidRPr="00634A74" w:rsidRDefault="00634A74" w:rsidP="00634A74">
      <w:pPr>
        <w:spacing w:before="100" w:beforeAutospacing="1" w:after="100" w:afterAutospacing="1" w:line="240" w:lineRule="auto"/>
        <w:rPr>
          <w:rFonts w:ascii="Times New Roman" w:eastAsia="Times New Roman" w:hAnsi="Times New Roman" w:cs="Times New Roman"/>
          <w:sz w:val="24"/>
          <w:szCs w:val="24"/>
          <w:lang w:bidi="hi-IN"/>
        </w:rPr>
      </w:pPr>
      <w:r w:rsidRPr="00634A74">
        <w:rPr>
          <w:rFonts w:ascii="Times New Roman" w:eastAsia="Times New Roman" w:hAnsi="Times New Roman" w:cs="Times New Roman"/>
          <w:sz w:val="24"/>
          <w:szCs w:val="24"/>
          <w:lang w:bidi="hi-IN"/>
        </w:rPr>
        <w:t>Courts play a pivotal role in shaping the legal boundaries of adventure tourism contracts. Judicial decisions demonstrate a consistent reluctance to enforce liability waivers that seek to exclude responsibility for negligence or failure to meet safety standards (McKendrick, 2021). This approach reflects the principle that contractual freedom must be balanced against public policy considerations, particularly where personal injury is concerned.</w:t>
      </w:r>
    </w:p>
    <w:p w:rsidR="00634A74" w:rsidRPr="00634A74" w:rsidRDefault="00634A74" w:rsidP="00634A74">
      <w:pPr>
        <w:spacing w:before="100" w:beforeAutospacing="1" w:after="100" w:afterAutospacing="1" w:line="240" w:lineRule="auto"/>
        <w:rPr>
          <w:rFonts w:ascii="Times New Roman" w:eastAsia="Times New Roman" w:hAnsi="Times New Roman" w:cs="Times New Roman"/>
          <w:sz w:val="24"/>
          <w:szCs w:val="24"/>
          <w:lang w:bidi="hi-IN"/>
        </w:rPr>
      </w:pPr>
      <w:r w:rsidRPr="00634A74">
        <w:rPr>
          <w:rFonts w:ascii="Times New Roman" w:eastAsia="Times New Roman" w:hAnsi="Times New Roman" w:cs="Times New Roman"/>
          <w:sz w:val="24"/>
          <w:szCs w:val="24"/>
          <w:lang w:bidi="hi-IN"/>
        </w:rPr>
        <w:t>The discussion indicates that courts assess waiver enforceability by examining clarity of language, adequacy of disclosure, and the circumstances under which consent was obtained. Waivers that are ambiguous, misleading, or presented under time pressure are less likely to be upheld (Grant &amp; Mason, 2018). This judicial oversight reinforces consumer protection while allowing reasonable risk allocation in adventure tourism contracts.</w:t>
      </w:r>
    </w:p>
    <w:p w:rsidR="00634A74" w:rsidRPr="00634A74" w:rsidRDefault="00634A74" w:rsidP="00634A74">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27" w:name="_Toc220974365"/>
      <w:r w:rsidRPr="00634A74">
        <w:rPr>
          <w:rFonts w:ascii="Times New Roman" w:eastAsia="Times New Roman" w:hAnsi="Times New Roman" w:cs="Times New Roman"/>
          <w:b/>
          <w:bCs/>
          <w:sz w:val="27"/>
          <w:szCs w:val="27"/>
          <w:lang w:bidi="hi-IN"/>
        </w:rPr>
        <w:t>Implications for Adventure Tourism Operators</w:t>
      </w:r>
      <w:bookmarkEnd w:id="27"/>
    </w:p>
    <w:p w:rsidR="00634A74" w:rsidRPr="00634A74" w:rsidRDefault="00634A74" w:rsidP="00634A74">
      <w:pPr>
        <w:spacing w:before="100" w:beforeAutospacing="1" w:after="100" w:afterAutospacing="1" w:line="240" w:lineRule="auto"/>
        <w:rPr>
          <w:rFonts w:ascii="Times New Roman" w:eastAsia="Times New Roman" w:hAnsi="Times New Roman" w:cs="Times New Roman"/>
          <w:sz w:val="24"/>
          <w:szCs w:val="24"/>
          <w:lang w:bidi="hi-IN"/>
        </w:rPr>
      </w:pPr>
      <w:r w:rsidRPr="00634A74">
        <w:rPr>
          <w:rFonts w:ascii="Times New Roman" w:eastAsia="Times New Roman" w:hAnsi="Times New Roman" w:cs="Times New Roman"/>
          <w:sz w:val="24"/>
          <w:szCs w:val="24"/>
          <w:lang w:bidi="hi-IN"/>
        </w:rPr>
        <w:t>For adventure tourism operators, the findings underscore the importance of clear contractual drafting and effective risk communication. Operators must ensure that liability waivers are written in plain language and that participants are given sufficient opportunity to understand the risks involved (Mason &amp; Bohdanowicz, 2020). Transparent contractual practices not only reduce legal disputes but also enhance consumer trust and industry credibility.</w:t>
      </w:r>
    </w:p>
    <w:p w:rsidR="00634A74" w:rsidRPr="00634A74" w:rsidRDefault="00634A74" w:rsidP="00634A74">
      <w:pPr>
        <w:spacing w:before="100" w:beforeAutospacing="1" w:after="100" w:afterAutospacing="1" w:line="240" w:lineRule="auto"/>
        <w:rPr>
          <w:rFonts w:ascii="Times New Roman" w:eastAsia="Times New Roman" w:hAnsi="Times New Roman" w:cs="Times New Roman"/>
          <w:sz w:val="24"/>
          <w:szCs w:val="24"/>
          <w:lang w:bidi="hi-IN"/>
        </w:rPr>
      </w:pPr>
      <w:r w:rsidRPr="00634A74">
        <w:rPr>
          <w:rFonts w:ascii="Times New Roman" w:eastAsia="Times New Roman" w:hAnsi="Times New Roman" w:cs="Times New Roman"/>
          <w:sz w:val="24"/>
          <w:szCs w:val="24"/>
          <w:lang w:bidi="hi-IN"/>
        </w:rPr>
        <w:t>Operators should also recognize that liability waivers do not provide absolute protection. Courts consistently hold operators accountable for maintaining safety standards, properly training staff, and providing reliable equipment (Dickerson, 2019). Compliance with these obligations is essential for minimizing legal exposure and ensuring sustainable business practices within the adventure tourism sector.</w:t>
      </w:r>
    </w:p>
    <w:p w:rsidR="00634A74" w:rsidRPr="00634A74" w:rsidRDefault="00634A74" w:rsidP="00634A74">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28" w:name="_Toc220974366"/>
      <w:r w:rsidRPr="00634A74">
        <w:rPr>
          <w:rFonts w:ascii="Times New Roman" w:eastAsia="Times New Roman" w:hAnsi="Times New Roman" w:cs="Times New Roman"/>
          <w:b/>
          <w:bCs/>
          <w:sz w:val="27"/>
          <w:szCs w:val="27"/>
          <w:lang w:bidi="hi-IN"/>
        </w:rPr>
        <w:t>Broader Implications for Tourism Law</w:t>
      </w:r>
      <w:bookmarkEnd w:id="28"/>
    </w:p>
    <w:p w:rsidR="00634A74" w:rsidRPr="00634A74" w:rsidRDefault="00634A74" w:rsidP="00634A74">
      <w:pPr>
        <w:spacing w:before="100" w:beforeAutospacing="1" w:after="100" w:afterAutospacing="1" w:line="240" w:lineRule="auto"/>
        <w:rPr>
          <w:rFonts w:ascii="Times New Roman" w:eastAsia="Times New Roman" w:hAnsi="Times New Roman" w:cs="Times New Roman"/>
          <w:sz w:val="24"/>
          <w:szCs w:val="24"/>
          <w:lang w:bidi="hi-IN"/>
        </w:rPr>
      </w:pPr>
      <w:r w:rsidRPr="00634A74">
        <w:rPr>
          <w:rFonts w:ascii="Times New Roman" w:eastAsia="Times New Roman" w:hAnsi="Times New Roman" w:cs="Times New Roman"/>
          <w:sz w:val="24"/>
          <w:szCs w:val="24"/>
          <w:lang w:bidi="hi-IN"/>
        </w:rPr>
        <w:t xml:space="preserve">The role of contract law in adventure tourism has broader implications for tourism law as a whole. As experiential and risk-based tourism continues to grow, legal frameworks must adapt to address emerging challenges related to safety, consumer rights, and liability (Sharpley, 2018). </w:t>
      </w:r>
      <w:r w:rsidRPr="00634A74">
        <w:rPr>
          <w:rFonts w:ascii="Times New Roman" w:eastAsia="Times New Roman" w:hAnsi="Times New Roman" w:cs="Times New Roman"/>
          <w:sz w:val="24"/>
          <w:szCs w:val="24"/>
          <w:lang w:bidi="hi-IN"/>
        </w:rPr>
        <w:lastRenderedPageBreak/>
        <w:t>Contract law provides a flexible yet robust mechanism for addressing these challenges, provided it is applied with an emphasis on fairness and transparency.</w:t>
      </w:r>
    </w:p>
    <w:p w:rsidR="00634A74" w:rsidRPr="00634A74" w:rsidRDefault="00634A74" w:rsidP="00634A74">
      <w:pPr>
        <w:spacing w:before="100" w:beforeAutospacing="1" w:after="100" w:afterAutospacing="1" w:line="240" w:lineRule="auto"/>
        <w:rPr>
          <w:rFonts w:ascii="Times New Roman" w:eastAsia="Times New Roman" w:hAnsi="Times New Roman" w:cs="Times New Roman"/>
          <w:sz w:val="24"/>
          <w:szCs w:val="24"/>
          <w:lang w:bidi="hi-IN"/>
        </w:rPr>
      </w:pPr>
      <w:r w:rsidRPr="00634A74">
        <w:rPr>
          <w:rFonts w:ascii="Times New Roman" w:eastAsia="Times New Roman" w:hAnsi="Times New Roman" w:cs="Times New Roman"/>
          <w:sz w:val="24"/>
          <w:szCs w:val="24"/>
          <w:lang w:bidi="hi-IN"/>
        </w:rPr>
        <w:t>The discussion suggests that greater alignment between contract law principles and regulatory standards could further enhance consumer protection in adventure tourism. Clear guidelines on waiver enforceability and risk disclosure would benefit both operators and participants by reducing uncertainty and litigation (Poole, 2020).</w:t>
      </w:r>
    </w:p>
    <w:p w:rsidR="00634A74" w:rsidRPr="00634A74" w:rsidRDefault="00634A74" w:rsidP="00634A74">
      <w:pPr>
        <w:spacing w:after="0" w:line="240" w:lineRule="auto"/>
        <w:rPr>
          <w:rFonts w:ascii="Times New Roman" w:eastAsia="Times New Roman" w:hAnsi="Times New Roman" w:cs="Times New Roman"/>
          <w:sz w:val="24"/>
          <w:szCs w:val="24"/>
          <w:lang w:bidi="hi-IN"/>
        </w:rPr>
      </w:pPr>
    </w:p>
    <w:p w:rsidR="00634A74" w:rsidRPr="00634A74" w:rsidRDefault="00634A74" w:rsidP="00634A74">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29" w:name="_Toc220974367"/>
      <w:r w:rsidRPr="00634A74">
        <w:rPr>
          <w:rFonts w:ascii="Times New Roman" w:eastAsia="Times New Roman" w:hAnsi="Times New Roman" w:cs="Times New Roman"/>
          <w:b/>
          <w:bCs/>
          <w:sz w:val="36"/>
          <w:szCs w:val="36"/>
          <w:lang w:bidi="hi-IN"/>
        </w:rPr>
        <w:t>CONCLUSION</w:t>
      </w:r>
      <w:bookmarkEnd w:id="29"/>
    </w:p>
    <w:p w:rsidR="00104B14" w:rsidRPr="00104B14" w:rsidRDefault="00104B14" w:rsidP="00104B14">
      <w:pPr>
        <w:spacing w:before="100" w:beforeAutospacing="1" w:after="100" w:afterAutospacing="1" w:line="240" w:lineRule="auto"/>
        <w:rPr>
          <w:rFonts w:ascii="Times New Roman" w:eastAsia="Times New Roman" w:hAnsi="Times New Roman" w:cs="Times New Roman"/>
          <w:sz w:val="24"/>
          <w:szCs w:val="24"/>
          <w:lang w:bidi="hi-IN"/>
        </w:rPr>
      </w:pPr>
      <w:r w:rsidRPr="00104B14">
        <w:rPr>
          <w:rFonts w:ascii="Times New Roman" w:eastAsia="Times New Roman" w:hAnsi="Times New Roman" w:cs="Times New Roman"/>
          <w:sz w:val="24"/>
          <w:szCs w:val="24"/>
          <w:lang w:bidi="hi-IN"/>
        </w:rPr>
        <w:t>This assignment has examined the role of contract law in the tourism industry through a detailed analysis of adventure tourism contracts and the use of liability waivers. The study demonstrates that contract law is fundamental in regulating high-risk tourism activities by providing a legal framework within which adventure tourism operators and participants can define their respective rights and responsibilities. In an environment characterised by physical risk and uncertainty, enforceable contracts play a crucial role in managing expectations and allocating legal responsibility.</w:t>
      </w:r>
    </w:p>
    <w:p w:rsidR="00104B14" w:rsidRPr="00104B14" w:rsidRDefault="00104B14" w:rsidP="00104B14">
      <w:pPr>
        <w:spacing w:before="100" w:beforeAutospacing="1" w:after="100" w:afterAutospacing="1" w:line="240" w:lineRule="auto"/>
        <w:rPr>
          <w:rFonts w:ascii="Times New Roman" w:eastAsia="Times New Roman" w:hAnsi="Times New Roman" w:cs="Times New Roman"/>
          <w:sz w:val="24"/>
          <w:szCs w:val="24"/>
          <w:lang w:bidi="hi-IN"/>
        </w:rPr>
      </w:pPr>
      <w:r w:rsidRPr="00104B14">
        <w:rPr>
          <w:rFonts w:ascii="Times New Roman" w:eastAsia="Times New Roman" w:hAnsi="Times New Roman" w:cs="Times New Roman"/>
          <w:sz w:val="24"/>
          <w:szCs w:val="24"/>
          <w:lang w:bidi="hi-IN"/>
        </w:rPr>
        <w:t>A key focus of the analysis has been the importance of the essential elements of a valid contract, including offer, acceptance, consideration, and intention to create legal relations. These elements ensure that adventure tourism agreements are legally binding and enforceable. Clear contract formation is particularly important in adventure tourism, as participants must understand the nature of the activity and the associated risks before entering into a contractual relationship. Properly structured contracts therefore support legal certainty and reduce the likelihood of disputes.</w:t>
      </w:r>
    </w:p>
    <w:p w:rsidR="00104B14" w:rsidRPr="00104B14" w:rsidRDefault="00104B14" w:rsidP="00104B14">
      <w:pPr>
        <w:spacing w:before="100" w:beforeAutospacing="1" w:after="100" w:afterAutospacing="1" w:line="240" w:lineRule="auto"/>
        <w:rPr>
          <w:rFonts w:ascii="Times New Roman" w:eastAsia="Times New Roman" w:hAnsi="Times New Roman" w:cs="Times New Roman"/>
          <w:sz w:val="24"/>
          <w:szCs w:val="24"/>
          <w:lang w:bidi="hi-IN"/>
        </w:rPr>
      </w:pPr>
      <w:r w:rsidRPr="00104B14">
        <w:rPr>
          <w:rFonts w:ascii="Times New Roman" w:eastAsia="Times New Roman" w:hAnsi="Times New Roman" w:cs="Times New Roman"/>
          <w:sz w:val="24"/>
          <w:szCs w:val="24"/>
          <w:lang w:bidi="hi-IN"/>
        </w:rPr>
        <w:t>The study further highlights the role of liability waivers as a common risk management tool within the adventure tourism sector. Liability waivers are designed to limit the legal exposure of operators by requiring participants to acknowledge and accept certain risks. However, the analysis shows that the enforceability of such waivers is not absolute and is constrained by legal principles relating to fairness, informed consent, and public policy considerations.</w:t>
      </w:r>
    </w:p>
    <w:p w:rsidR="00104B14" w:rsidRPr="00104B14" w:rsidRDefault="00104B14" w:rsidP="00104B14">
      <w:pPr>
        <w:spacing w:before="100" w:beforeAutospacing="1" w:after="100" w:afterAutospacing="1" w:line="240" w:lineRule="auto"/>
        <w:rPr>
          <w:rFonts w:ascii="Times New Roman" w:eastAsia="Times New Roman" w:hAnsi="Times New Roman" w:cs="Times New Roman"/>
          <w:sz w:val="24"/>
          <w:szCs w:val="24"/>
          <w:lang w:bidi="hi-IN"/>
        </w:rPr>
      </w:pPr>
      <w:r w:rsidRPr="00104B14">
        <w:rPr>
          <w:rFonts w:ascii="Times New Roman" w:eastAsia="Times New Roman" w:hAnsi="Times New Roman" w:cs="Times New Roman"/>
          <w:sz w:val="24"/>
          <w:szCs w:val="24"/>
          <w:lang w:bidi="hi-IN"/>
        </w:rPr>
        <w:t>Judicial oversight plays a critical role in determining the validity and scope of liability waivers in adventure tourism. Courts have consistently emphasised that operators cannot rely on contractual exclusions to escape liability for negligence, unsafe practices, or failure to meet reasonable standards of care. This judicial approach ensures that contractual freedom is balanced with consumer protection and reinforces the responsibility of operators to prioritise participant safety.</w:t>
      </w:r>
    </w:p>
    <w:p w:rsidR="00104B14" w:rsidRPr="00104B14" w:rsidRDefault="00104B14" w:rsidP="00104B14">
      <w:pPr>
        <w:spacing w:before="100" w:beforeAutospacing="1" w:after="100" w:afterAutospacing="1" w:line="240" w:lineRule="auto"/>
        <w:rPr>
          <w:rFonts w:ascii="Times New Roman" w:eastAsia="Times New Roman" w:hAnsi="Times New Roman" w:cs="Times New Roman"/>
          <w:sz w:val="24"/>
          <w:szCs w:val="24"/>
          <w:lang w:bidi="hi-IN"/>
        </w:rPr>
      </w:pPr>
      <w:r w:rsidRPr="00104B14">
        <w:rPr>
          <w:rFonts w:ascii="Times New Roman" w:eastAsia="Times New Roman" w:hAnsi="Times New Roman" w:cs="Times New Roman"/>
          <w:sz w:val="24"/>
          <w:szCs w:val="24"/>
          <w:lang w:bidi="hi-IN"/>
        </w:rPr>
        <w:t>The findings also underscore the importance of transparency and effective communication in adventure tourism contracts. Participants must be provided with clear, accessible, and accurate information regarding the risks involved and the legal implications of liability waivers. Informed consent is a central requirement for contractual fairness, and its absence can render waivers unenforceable, thereby exposing operators to legal liability.</w:t>
      </w:r>
    </w:p>
    <w:p w:rsidR="00104B14" w:rsidRPr="00104B14" w:rsidRDefault="00104B14" w:rsidP="00104B14">
      <w:pPr>
        <w:spacing w:before="100" w:beforeAutospacing="1" w:after="100" w:afterAutospacing="1" w:line="240" w:lineRule="auto"/>
        <w:rPr>
          <w:rFonts w:ascii="Times New Roman" w:eastAsia="Times New Roman" w:hAnsi="Times New Roman" w:cs="Times New Roman"/>
          <w:sz w:val="24"/>
          <w:szCs w:val="24"/>
          <w:lang w:bidi="hi-IN"/>
        </w:rPr>
      </w:pPr>
      <w:r w:rsidRPr="00104B14">
        <w:rPr>
          <w:rFonts w:ascii="Times New Roman" w:eastAsia="Times New Roman" w:hAnsi="Times New Roman" w:cs="Times New Roman"/>
          <w:sz w:val="24"/>
          <w:szCs w:val="24"/>
          <w:lang w:bidi="hi-IN"/>
        </w:rPr>
        <w:lastRenderedPageBreak/>
        <w:t xml:space="preserve">In </w:t>
      </w:r>
      <w:r>
        <w:rPr>
          <w:rFonts w:ascii="Times New Roman" w:eastAsia="Times New Roman" w:hAnsi="Times New Roman" w:cs="Times New Roman"/>
          <w:sz w:val="24"/>
          <w:szCs w:val="24"/>
          <w:lang w:bidi="hi-IN"/>
        </w:rPr>
        <w:t>end</w:t>
      </w:r>
      <w:r w:rsidRPr="00104B14">
        <w:rPr>
          <w:rFonts w:ascii="Times New Roman" w:eastAsia="Times New Roman" w:hAnsi="Times New Roman" w:cs="Times New Roman"/>
          <w:sz w:val="24"/>
          <w:szCs w:val="24"/>
          <w:lang w:bidi="hi-IN"/>
        </w:rPr>
        <w:t>, contract law remains an essential regulatory mechanism in adventure tourism by balancing commercial interests with safety and fairness. Its effectiveness depends on transparent contractual practices, genuine informed consent, and continued judicial willingness to scrutinise exclusion clauses. Strengthening these elements will contribute to a more equitable, responsible, and sustainable adventure tourism sector that protects participants while supporting the legitimate interests of tourism operators.</w:t>
      </w:r>
    </w:p>
    <w:p w:rsidR="00104B14" w:rsidRDefault="00104B14" w:rsidP="00634A74">
      <w:pPr>
        <w:spacing w:before="100" w:beforeAutospacing="1" w:after="100" w:afterAutospacing="1" w:line="240" w:lineRule="auto"/>
        <w:outlineLvl w:val="1"/>
        <w:rPr>
          <w:rFonts w:ascii="Times New Roman" w:eastAsia="Times New Roman" w:hAnsi="Times New Roman" w:cs="Times New Roman"/>
          <w:b/>
          <w:bCs/>
          <w:sz w:val="36"/>
          <w:szCs w:val="36"/>
          <w:lang w:bidi="hi-IN"/>
        </w:rPr>
      </w:pPr>
    </w:p>
    <w:p w:rsidR="00634A74" w:rsidRPr="00634A74" w:rsidRDefault="00634A74" w:rsidP="00634A74">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30" w:name="_Toc220974368"/>
      <w:r w:rsidRPr="00634A74">
        <w:rPr>
          <w:rFonts w:ascii="Times New Roman" w:eastAsia="Times New Roman" w:hAnsi="Times New Roman" w:cs="Times New Roman"/>
          <w:b/>
          <w:bCs/>
          <w:sz w:val="36"/>
          <w:szCs w:val="36"/>
          <w:lang w:bidi="hi-IN"/>
        </w:rPr>
        <w:t>REFERENCES</w:t>
      </w:r>
      <w:bookmarkEnd w:id="30"/>
    </w:p>
    <w:p w:rsidR="00634A74" w:rsidRPr="00634A74" w:rsidRDefault="00634A74" w:rsidP="00634A74">
      <w:pPr>
        <w:spacing w:before="100" w:beforeAutospacing="1" w:after="100" w:afterAutospacing="1" w:line="240" w:lineRule="auto"/>
        <w:rPr>
          <w:rFonts w:ascii="Times New Roman" w:eastAsia="Times New Roman" w:hAnsi="Times New Roman" w:cs="Times New Roman"/>
          <w:sz w:val="24"/>
          <w:szCs w:val="24"/>
          <w:lang w:bidi="hi-IN"/>
        </w:rPr>
      </w:pPr>
      <w:r w:rsidRPr="00634A74">
        <w:rPr>
          <w:rFonts w:ascii="Times New Roman" w:eastAsia="Times New Roman" w:hAnsi="Times New Roman" w:cs="Times New Roman"/>
          <w:sz w:val="24"/>
          <w:szCs w:val="24"/>
          <w:lang w:bidi="hi-IN"/>
        </w:rPr>
        <w:t xml:space="preserve">Dickerson, T. A. (2019). </w:t>
      </w:r>
      <w:r w:rsidRPr="00634A74">
        <w:rPr>
          <w:rFonts w:ascii="Times New Roman" w:eastAsia="Times New Roman" w:hAnsi="Times New Roman" w:cs="Times New Roman"/>
          <w:i/>
          <w:iCs/>
          <w:sz w:val="24"/>
          <w:szCs w:val="24"/>
          <w:lang w:bidi="hi-IN"/>
        </w:rPr>
        <w:t>Travel law</w:t>
      </w:r>
      <w:r w:rsidRPr="00634A74">
        <w:rPr>
          <w:rFonts w:ascii="Times New Roman" w:eastAsia="Times New Roman" w:hAnsi="Times New Roman" w:cs="Times New Roman"/>
          <w:sz w:val="24"/>
          <w:szCs w:val="24"/>
          <w:lang w:bidi="hi-IN"/>
        </w:rPr>
        <w:t xml:space="preserve"> (5th ed.). Law Journal Press.</w:t>
      </w:r>
    </w:p>
    <w:p w:rsidR="00634A74" w:rsidRPr="00634A74" w:rsidRDefault="00634A74" w:rsidP="00634A74">
      <w:pPr>
        <w:spacing w:before="100" w:beforeAutospacing="1" w:after="100" w:afterAutospacing="1" w:line="240" w:lineRule="auto"/>
        <w:rPr>
          <w:rFonts w:ascii="Times New Roman" w:eastAsia="Times New Roman" w:hAnsi="Times New Roman" w:cs="Times New Roman"/>
          <w:sz w:val="24"/>
          <w:szCs w:val="24"/>
          <w:lang w:bidi="hi-IN"/>
        </w:rPr>
      </w:pPr>
      <w:r w:rsidRPr="00634A74">
        <w:rPr>
          <w:rFonts w:ascii="Times New Roman" w:eastAsia="Times New Roman" w:hAnsi="Times New Roman" w:cs="Times New Roman"/>
          <w:sz w:val="24"/>
          <w:szCs w:val="24"/>
          <w:lang w:bidi="hi-IN"/>
        </w:rPr>
        <w:t xml:space="preserve">Grant, D., &amp; Mason, P. (2018). </w:t>
      </w:r>
      <w:r w:rsidRPr="00634A74">
        <w:rPr>
          <w:rFonts w:ascii="Times New Roman" w:eastAsia="Times New Roman" w:hAnsi="Times New Roman" w:cs="Times New Roman"/>
          <w:i/>
          <w:iCs/>
          <w:sz w:val="24"/>
          <w:szCs w:val="24"/>
          <w:lang w:bidi="hi-IN"/>
        </w:rPr>
        <w:t>Holiday law: The legal implications of travel and tourism</w:t>
      </w:r>
      <w:r w:rsidRPr="00634A74">
        <w:rPr>
          <w:rFonts w:ascii="Times New Roman" w:eastAsia="Times New Roman" w:hAnsi="Times New Roman" w:cs="Times New Roman"/>
          <w:sz w:val="24"/>
          <w:szCs w:val="24"/>
          <w:lang w:bidi="hi-IN"/>
        </w:rPr>
        <w:t>. Routledge.</w:t>
      </w:r>
    </w:p>
    <w:p w:rsidR="00634A74" w:rsidRPr="00634A74" w:rsidRDefault="00634A74" w:rsidP="00634A74">
      <w:pPr>
        <w:spacing w:before="100" w:beforeAutospacing="1" w:after="100" w:afterAutospacing="1" w:line="240" w:lineRule="auto"/>
        <w:rPr>
          <w:rFonts w:ascii="Times New Roman" w:eastAsia="Times New Roman" w:hAnsi="Times New Roman" w:cs="Times New Roman"/>
          <w:sz w:val="24"/>
          <w:szCs w:val="24"/>
          <w:lang w:bidi="hi-IN"/>
        </w:rPr>
      </w:pPr>
      <w:r w:rsidRPr="00634A74">
        <w:rPr>
          <w:rFonts w:ascii="Times New Roman" w:eastAsia="Times New Roman" w:hAnsi="Times New Roman" w:cs="Times New Roman"/>
          <w:sz w:val="24"/>
          <w:szCs w:val="24"/>
          <w:lang w:bidi="hi-IN"/>
        </w:rPr>
        <w:t xml:space="preserve">Mason, P., &amp; Bohdanowicz, P. (2020). </w:t>
      </w:r>
      <w:r w:rsidRPr="00634A74">
        <w:rPr>
          <w:rFonts w:ascii="Times New Roman" w:eastAsia="Times New Roman" w:hAnsi="Times New Roman" w:cs="Times New Roman"/>
          <w:i/>
          <w:iCs/>
          <w:sz w:val="24"/>
          <w:szCs w:val="24"/>
          <w:lang w:bidi="hi-IN"/>
        </w:rPr>
        <w:t>Tourism impacts, planning and management</w:t>
      </w:r>
      <w:r w:rsidRPr="00634A74">
        <w:rPr>
          <w:rFonts w:ascii="Times New Roman" w:eastAsia="Times New Roman" w:hAnsi="Times New Roman" w:cs="Times New Roman"/>
          <w:sz w:val="24"/>
          <w:szCs w:val="24"/>
          <w:lang w:bidi="hi-IN"/>
        </w:rPr>
        <w:t>. Butterworth-Heinemann.</w:t>
      </w:r>
    </w:p>
    <w:p w:rsidR="00634A74" w:rsidRPr="00634A74" w:rsidRDefault="00634A74" w:rsidP="00634A74">
      <w:pPr>
        <w:spacing w:before="100" w:beforeAutospacing="1" w:after="100" w:afterAutospacing="1" w:line="240" w:lineRule="auto"/>
        <w:rPr>
          <w:rFonts w:ascii="Times New Roman" w:eastAsia="Times New Roman" w:hAnsi="Times New Roman" w:cs="Times New Roman"/>
          <w:sz w:val="24"/>
          <w:szCs w:val="24"/>
          <w:lang w:bidi="hi-IN"/>
        </w:rPr>
      </w:pPr>
      <w:r w:rsidRPr="00634A74">
        <w:rPr>
          <w:rFonts w:ascii="Times New Roman" w:eastAsia="Times New Roman" w:hAnsi="Times New Roman" w:cs="Times New Roman"/>
          <w:sz w:val="24"/>
          <w:szCs w:val="24"/>
          <w:lang w:bidi="hi-IN"/>
        </w:rPr>
        <w:t xml:space="preserve">McKendrick, E. (2021). </w:t>
      </w:r>
      <w:r w:rsidRPr="00634A74">
        <w:rPr>
          <w:rFonts w:ascii="Times New Roman" w:eastAsia="Times New Roman" w:hAnsi="Times New Roman" w:cs="Times New Roman"/>
          <w:i/>
          <w:iCs/>
          <w:sz w:val="24"/>
          <w:szCs w:val="24"/>
          <w:lang w:bidi="hi-IN"/>
        </w:rPr>
        <w:t>Contract law: Text, cases, and materials</w:t>
      </w:r>
      <w:r w:rsidRPr="00634A74">
        <w:rPr>
          <w:rFonts w:ascii="Times New Roman" w:eastAsia="Times New Roman" w:hAnsi="Times New Roman" w:cs="Times New Roman"/>
          <w:sz w:val="24"/>
          <w:szCs w:val="24"/>
          <w:lang w:bidi="hi-IN"/>
        </w:rPr>
        <w:t xml:space="preserve"> (8th ed.). Oxford University Press.</w:t>
      </w:r>
    </w:p>
    <w:p w:rsidR="00634A74" w:rsidRPr="00634A74" w:rsidRDefault="00634A74" w:rsidP="00634A74">
      <w:pPr>
        <w:spacing w:before="100" w:beforeAutospacing="1" w:after="100" w:afterAutospacing="1" w:line="240" w:lineRule="auto"/>
        <w:rPr>
          <w:rFonts w:ascii="Times New Roman" w:eastAsia="Times New Roman" w:hAnsi="Times New Roman" w:cs="Times New Roman"/>
          <w:sz w:val="24"/>
          <w:szCs w:val="24"/>
          <w:lang w:bidi="hi-IN"/>
        </w:rPr>
      </w:pPr>
      <w:r w:rsidRPr="00634A74">
        <w:rPr>
          <w:rFonts w:ascii="Times New Roman" w:eastAsia="Times New Roman" w:hAnsi="Times New Roman" w:cs="Times New Roman"/>
          <w:sz w:val="24"/>
          <w:szCs w:val="24"/>
          <w:lang w:bidi="hi-IN"/>
        </w:rPr>
        <w:t xml:space="preserve">Poole, J. (2020). </w:t>
      </w:r>
      <w:r w:rsidRPr="00634A74">
        <w:rPr>
          <w:rFonts w:ascii="Times New Roman" w:eastAsia="Times New Roman" w:hAnsi="Times New Roman" w:cs="Times New Roman"/>
          <w:i/>
          <w:iCs/>
          <w:sz w:val="24"/>
          <w:szCs w:val="24"/>
          <w:lang w:bidi="hi-IN"/>
        </w:rPr>
        <w:t>Textbook on contract law</w:t>
      </w:r>
      <w:r w:rsidRPr="00634A74">
        <w:rPr>
          <w:rFonts w:ascii="Times New Roman" w:eastAsia="Times New Roman" w:hAnsi="Times New Roman" w:cs="Times New Roman"/>
          <w:sz w:val="24"/>
          <w:szCs w:val="24"/>
          <w:lang w:bidi="hi-IN"/>
        </w:rPr>
        <w:t xml:space="preserve"> (15th ed.). Oxford University Press.</w:t>
      </w:r>
    </w:p>
    <w:p w:rsidR="00634A74" w:rsidRPr="00634A74" w:rsidRDefault="00634A74" w:rsidP="00634A74">
      <w:pPr>
        <w:spacing w:before="100" w:beforeAutospacing="1" w:after="100" w:afterAutospacing="1" w:line="240" w:lineRule="auto"/>
        <w:rPr>
          <w:rFonts w:ascii="Times New Roman" w:eastAsia="Times New Roman" w:hAnsi="Times New Roman" w:cs="Times New Roman"/>
          <w:sz w:val="24"/>
          <w:szCs w:val="24"/>
          <w:lang w:bidi="hi-IN"/>
        </w:rPr>
      </w:pPr>
      <w:r w:rsidRPr="00634A74">
        <w:rPr>
          <w:rFonts w:ascii="Times New Roman" w:eastAsia="Times New Roman" w:hAnsi="Times New Roman" w:cs="Times New Roman"/>
          <w:sz w:val="24"/>
          <w:szCs w:val="24"/>
          <w:lang w:bidi="hi-IN"/>
        </w:rPr>
        <w:t xml:space="preserve">Sharpley, R. (2018). </w:t>
      </w:r>
      <w:r w:rsidRPr="00634A74">
        <w:rPr>
          <w:rFonts w:ascii="Times New Roman" w:eastAsia="Times New Roman" w:hAnsi="Times New Roman" w:cs="Times New Roman"/>
          <w:i/>
          <w:iCs/>
          <w:sz w:val="24"/>
          <w:szCs w:val="24"/>
          <w:lang w:bidi="hi-IN"/>
        </w:rPr>
        <w:t>Tourism, tourists and society</w:t>
      </w:r>
      <w:r w:rsidRPr="00634A74">
        <w:rPr>
          <w:rFonts w:ascii="Times New Roman" w:eastAsia="Times New Roman" w:hAnsi="Times New Roman" w:cs="Times New Roman"/>
          <w:sz w:val="24"/>
          <w:szCs w:val="24"/>
          <w:lang w:bidi="hi-IN"/>
        </w:rPr>
        <w:t xml:space="preserve"> (5th ed.). Routledge.</w:t>
      </w:r>
    </w:p>
    <w:p w:rsidR="0073559F" w:rsidRPr="0073559F" w:rsidRDefault="0073559F" w:rsidP="00634A74">
      <w:pPr>
        <w:spacing w:after="0" w:line="240" w:lineRule="auto"/>
        <w:rPr>
          <w:rFonts w:ascii="Times New Roman" w:eastAsia="Times New Roman" w:hAnsi="Times New Roman" w:cs="Times New Roman"/>
          <w:sz w:val="24"/>
          <w:szCs w:val="24"/>
          <w:lang w:bidi="hi-IN"/>
        </w:rPr>
      </w:pPr>
    </w:p>
    <w:sectPr w:rsidR="0073559F" w:rsidRPr="0073559F" w:rsidSect="00AA6995">
      <w:pgSz w:w="12240" w:h="15840"/>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0538A5" w:rsidRDefault="000538A5" w:rsidP="00AA6995">
      <w:pPr>
        <w:spacing w:after="0" w:line="240" w:lineRule="auto"/>
      </w:pPr>
      <w:r>
        <w:separator/>
      </w:r>
    </w:p>
  </w:endnote>
  <w:endnote w:type="continuationSeparator" w:id="1">
    <w:p w:rsidR="000538A5" w:rsidRDefault="000538A5" w:rsidP="00AA6995">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Mangal">
    <w:panose1 w:val="02040503050203030202"/>
    <w:charset w:val="00"/>
    <w:family w:val="roman"/>
    <w:pitch w:val="variable"/>
    <w:sig w:usb0="00008003" w:usb1="00000000" w:usb2="00000000" w:usb3="00000000" w:csb0="00000001"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0538A5" w:rsidRDefault="000538A5" w:rsidP="00AA6995">
      <w:pPr>
        <w:spacing w:after="0" w:line="240" w:lineRule="auto"/>
      </w:pPr>
      <w:r>
        <w:separator/>
      </w:r>
    </w:p>
  </w:footnote>
  <w:footnote w:type="continuationSeparator" w:id="1">
    <w:p w:rsidR="000538A5" w:rsidRDefault="000538A5" w:rsidP="00AA6995">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AB4617"/>
    <w:multiLevelType w:val="multilevel"/>
    <w:tmpl w:val="3BC8DC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6064CBA"/>
    <w:multiLevelType w:val="multilevel"/>
    <w:tmpl w:val="71FC59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0FFD7D2F"/>
    <w:multiLevelType w:val="multilevel"/>
    <w:tmpl w:val="7742C4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110356B5"/>
    <w:multiLevelType w:val="multilevel"/>
    <w:tmpl w:val="3EA80B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151D3459"/>
    <w:multiLevelType w:val="multilevel"/>
    <w:tmpl w:val="E87802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157846B9"/>
    <w:multiLevelType w:val="multilevel"/>
    <w:tmpl w:val="F3E082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15BC1500"/>
    <w:multiLevelType w:val="multilevel"/>
    <w:tmpl w:val="CB0663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1B0D7814"/>
    <w:multiLevelType w:val="multilevel"/>
    <w:tmpl w:val="F88802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211E3E19"/>
    <w:multiLevelType w:val="multilevel"/>
    <w:tmpl w:val="2EAE3E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256A0C3B"/>
    <w:multiLevelType w:val="multilevel"/>
    <w:tmpl w:val="BE8486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2F7E2074"/>
    <w:multiLevelType w:val="multilevel"/>
    <w:tmpl w:val="7A6C02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30172F5B"/>
    <w:multiLevelType w:val="multilevel"/>
    <w:tmpl w:val="CF2085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43165302"/>
    <w:multiLevelType w:val="multilevel"/>
    <w:tmpl w:val="9120EF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43DF798E"/>
    <w:multiLevelType w:val="multilevel"/>
    <w:tmpl w:val="18561B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454536C9"/>
    <w:multiLevelType w:val="multilevel"/>
    <w:tmpl w:val="FF669C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45F76913"/>
    <w:multiLevelType w:val="multilevel"/>
    <w:tmpl w:val="8670E3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47135762"/>
    <w:multiLevelType w:val="multilevel"/>
    <w:tmpl w:val="275A1A9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nsid w:val="4740345B"/>
    <w:multiLevelType w:val="multilevel"/>
    <w:tmpl w:val="A9A820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4BE72F12"/>
    <w:multiLevelType w:val="multilevel"/>
    <w:tmpl w:val="ECA645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nsid w:val="4E1A7D8F"/>
    <w:multiLevelType w:val="multilevel"/>
    <w:tmpl w:val="31B412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nsid w:val="4E6842BF"/>
    <w:multiLevelType w:val="multilevel"/>
    <w:tmpl w:val="BDA846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nsid w:val="51156C0C"/>
    <w:multiLevelType w:val="multilevel"/>
    <w:tmpl w:val="9B70C8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nsid w:val="59973E6B"/>
    <w:multiLevelType w:val="multilevel"/>
    <w:tmpl w:val="B090FA2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nsid w:val="5CDE0B88"/>
    <w:multiLevelType w:val="multilevel"/>
    <w:tmpl w:val="14D4880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nsid w:val="639A507A"/>
    <w:multiLevelType w:val="multilevel"/>
    <w:tmpl w:val="28F0E9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nsid w:val="65926A1F"/>
    <w:multiLevelType w:val="multilevel"/>
    <w:tmpl w:val="EDDEF7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nsid w:val="69D5511E"/>
    <w:multiLevelType w:val="multilevel"/>
    <w:tmpl w:val="8A067B1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nsid w:val="6A4C3F7F"/>
    <w:multiLevelType w:val="multilevel"/>
    <w:tmpl w:val="783868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nsid w:val="6D4D65C9"/>
    <w:multiLevelType w:val="multilevel"/>
    <w:tmpl w:val="2528D0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nsid w:val="6E57536C"/>
    <w:multiLevelType w:val="multilevel"/>
    <w:tmpl w:val="14F8CF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nsid w:val="72882790"/>
    <w:multiLevelType w:val="multilevel"/>
    <w:tmpl w:val="FBF6D0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nsid w:val="74DE30AE"/>
    <w:multiLevelType w:val="multilevel"/>
    <w:tmpl w:val="9DF8CF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0"/>
  </w:num>
  <w:num w:numId="2">
    <w:abstractNumId w:val="22"/>
  </w:num>
  <w:num w:numId="3">
    <w:abstractNumId w:val="12"/>
  </w:num>
  <w:num w:numId="4">
    <w:abstractNumId w:val="23"/>
  </w:num>
  <w:num w:numId="5">
    <w:abstractNumId w:val="30"/>
  </w:num>
  <w:num w:numId="6">
    <w:abstractNumId w:val="8"/>
  </w:num>
  <w:num w:numId="7">
    <w:abstractNumId w:val="21"/>
  </w:num>
  <w:num w:numId="8">
    <w:abstractNumId w:val="2"/>
  </w:num>
  <w:num w:numId="9">
    <w:abstractNumId w:val="24"/>
  </w:num>
  <w:num w:numId="10">
    <w:abstractNumId w:val="25"/>
  </w:num>
  <w:num w:numId="11">
    <w:abstractNumId w:val="11"/>
  </w:num>
  <w:num w:numId="12">
    <w:abstractNumId w:val="29"/>
  </w:num>
  <w:num w:numId="13">
    <w:abstractNumId w:val="16"/>
  </w:num>
  <w:num w:numId="14">
    <w:abstractNumId w:val="13"/>
  </w:num>
  <w:num w:numId="15">
    <w:abstractNumId w:val="7"/>
  </w:num>
  <w:num w:numId="16">
    <w:abstractNumId w:val="15"/>
  </w:num>
  <w:num w:numId="17">
    <w:abstractNumId w:val="1"/>
  </w:num>
  <w:num w:numId="18">
    <w:abstractNumId w:val="14"/>
  </w:num>
  <w:num w:numId="19">
    <w:abstractNumId w:val="19"/>
  </w:num>
  <w:num w:numId="20">
    <w:abstractNumId w:val="18"/>
  </w:num>
  <w:num w:numId="21">
    <w:abstractNumId w:val="4"/>
  </w:num>
  <w:num w:numId="22">
    <w:abstractNumId w:val="0"/>
  </w:num>
  <w:num w:numId="23">
    <w:abstractNumId w:val="5"/>
  </w:num>
  <w:num w:numId="24">
    <w:abstractNumId w:val="17"/>
  </w:num>
  <w:num w:numId="25">
    <w:abstractNumId w:val="9"/>
  </w:num>
  <w:num w:numId="26">
    <w:abstractNumId w:val="6"/>
  </w:num>
  <w:num w:numId="27">
    <w:abstractNumId w:val="26"/>
  </w:num>
  <w:num w:numId="28">
    <w:abstractNumId w:val="27"/>
  </w:num>
  <w:num w:numId="29">
    <w:abstractNumId w:val="31"/>
  </w:num>
  <w:num w:numId="30">
    <w:abstractNumId w:val="28"/>
  </w:num>
  <w:num w:numId="31">
    <w:abstractNumId w:val="10"/>
  </w:num>
  <w:num w:numId="32">
    <w:abstractNumId w:val="3"/>
  </w:num>
  <w:numIdMacAtCleanup w:val="2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74"/>
  <w:defaultTabStop w:val="720"/>
  <w:characterSpacingControl w:val="doNotCompress"/>
  <w:footnotePr>
    <w:footnote w:id="0"/>
    <w:footnote w:id="1"/>
  </w:footnotePr>
  <w:endnotePr>
    <w:endnote w:id="0"/>
    <w:endnote w:id="1"/>
  </w:endnotePr>
  <w:compat/>
  <w:rsids>
    <w:rsidRoot w:val="00F53663"/>
    <w:rsid w:val="000538A5"/>
    <w:rsid w:val="00076552"/>
    <w:rsid w:val="00104B14"/>
    <w:rsid w:val="001B5192"/>
    <w:rsid w:val="001E523B"/>
    <w:rsid w:val="001F217A"/>
    <w:rsid w:val="001F5E0B"/>
    <w:rsid w:val="00245AE3"/>
    <w:rsid w:val="002B6A05"/>
    <w:rsid w:val="002D1590"/>
    <w:rsid w:val="002E4629"/>
    <w:rsid w:val="00300ADF"/>
    <w:rsid w:val="00393359"/>
    <w:rsid w:val="00397AD5"/>
    <w:rsid w:val="00403100"/>
    <w:rsid w:val="00452C4D"/>
    <w:rsid w:val="004F6515"/>
    <w:rsid w:val="00547B24"/>
    <w:rsid w:val="00577D04"/>
    <w:rsid w:val="00581003"/>
    <w:rsid w:val="005B6A20"/>
    <w:rsid w:val="005C26B9"/>
    <w:rsid w:val="00634A74"/>
    <w:rsid w:val="00681AD1"/>
    <w:rsid w:val="00692C07"/>
    <w:rsid w:val="006B49E5"/>
    <w:rsid w:val="006D2A54"/>
    <w:rsid w:val="006E3B97"/>
    <w:rsid w:val="00703FBE"/>
    <w:rsid w:val="0071766B"/>
    <w:rsid w:val="0073559F"/>
    <w:rsid w:val="00757005"/>
    <w:rsid w:val="00761860"/>
    <w:rsid w:val="00861B9A"/>
    <w:rsid w:val="008A0876"/>
    <w:rsid w:val="00991E71"/>
    <w:rsid w:val="009D12C1"/>
    <w:rsid w:val="00A20A6F"/>
    <w:rsid w:val="00A4503E"/>
    <w:rsid w:val="00A56AD8"/>
    <w:rsid w:val="00AA6995"/>
    <w:rsid w:val="00AF2EBA"/>
    <w:rsid w:val="00AF37D0"/>
    <w:rsid w:val="00B132B9"/>
    <w:rsid w:val="00B40157"/>
    <w:rsid w:val="00B70C77"/>
    <w:rsid w:val="00BB41F6"/>
    <w:rsid w:val="00C13AA5"/>
    <w:rsid w:val="00C52EFA"/>
    <w:rsid w:val="00CC7B52"/>
    <w:rsid w:val="00D23B0E"/>
    <w:rsid w:val="00D35EF5"/>
    <w:rsid w:val="00D5063F"/>
    <w:rsid w:val="00D52DAC"/>
    <w:rsid w:val="00D74867"/>
    <w:rsid w:val="00DE60D9"/>
    <w:rsid w:val="00E36E15"/>
    <w:rsid w:val="00E82AC2"/>
    <w:rsid w:val="00E93EDC"/>
    <w:rsid w:val="00EA23C3"/>
    <w:rsid w:val="00F10AE2"/>
    <w:rsid w:val="00F2098A"/>
    <w:rsid w:val="00F26449"/>
    <w:rsid w:val="00F41090"/>
    <w:rsid w:val="00F53663"/>
    <w:rsid w:val="00F80DC4"/>
  </w:rsids>
  <m:mathPr>
    <m:mathFont m:val="Cambria Math"/>
    <m:brkBin m:val="before"/>
    <m:brkBinSub m:val="--"/>
    <m:smallFrac m:val="off"/>
    <m:dispDef/>
    <m:lMargin m:val="0"/>
    <m:rMargin m:val="0"/>
    <m:defJc m:val="centerGroup"/>
    <m:wrapIndent m:val="1440"/>
    <m:intLim m:val="subSup"/>
    <m:naryLim m:val="undOvr"/>
  </m:mathPr>
  <w:themeFontLang w:val="en-US" w:bidi="hi-IN"/>
  <w:clrSchemeMapping w:bg1="light1" w:t1="dark1" w:bg2="light2" w:t2="dark2" w:accent1="accent1" w:accent2="accent2" w:accent3="accent3" w:accent4="accent4" w:accent5="accent5" w:accent6="accent6" w:hyperlink="hyperlink" w:followedHyperlink="followedHyperlink"/>
  <w:shapeDefaults>
    <o:shapedefaults v:ext="edit" spidmax="1945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41090"/>
  </w:style>
  <w:style w:type="paragraph" w:styleId="Heading1">
    <w:name w:val="heading 1"/>
    <w:basedOn w:val="Normal"/>
    <w:link w:val="Heading1Char"/>
    <w:uiPriority w:val="9"/>
    <w:qFormat/>
    <w:rsid w:val="00681AD1"/>
    <w:pPr>
      <w:spacing w:before="100" w:beforeAutospacing="1" w:after="100" w:afterAutospacing="1" w:line="240" w:lineRule="auto"/>
      <w:outlineLvl w:val="0"/>
    </w:pPr>
    <w:rPr>
      <w:rFonts w:ascii="Times New Roman" w:eastAsia="Times New Roman" w:hAnsi="Times New Roman" w:cs="Times New Roman"/>
      <w:b/>
      <w:bCs/>
      <w:kern w:val="36"/>
      <w:sz w:val="48"/>
      <w:szCs w:val="48"/>
      <w:lang w:bidi="hi-IN"/>
    </w:rPr>
  </w:style>
  <w:style w:type="paragraph" w:styleId="Heading2">
    <w:name w:val="heading 2"/>
    <w:basedOn w:val="Normal"/>
    <w:link w:val="Heading2Char"/>
    <w:uiPriority w:val="9"/>
    <w:qFormat/>
    <w:rsid w:val="00681AD1"/>
    <w:pPr>
      <w:spacing w:before="100" w:beforeAutospacing="1" w:after="100" w:afterAutospacing="1" w:line="240" w:lineRule="auto"/>
      <w:outlineLvl w:val="1"/>
    </w:pPr>
    <w:rPr>
      <w:rFonts w:ascii="Times New Roman" w:eastAsia="Times New Roman" w:hAnsi="Times New Roman" w:cs="Times New Roman"/>
      <w:b/>
      <w:bCs/>
      <w:sz w:val="36"/>
      <w:szCs w:val="36"/>
      <w:lang w:bidi="hi-IN"/>
    </w:rPr>
  </w:style>
  <w:style w:type="paragraph" w:styleId="Heading3">
    <w:name w:val="heading 3"/>
    <w:basedOn w:val="Normal"/>
    <w:link w:val="Heading3Char"/>
    <w:uiPriority w:val="9"/>
    <w:qFormat/>
    <w:rsid w:val="00681AD1"/>
    <w:pPr>
      <w:spacing w:before="100" w:beforeAutospacing="1" w:after="100" w:afterAutospacing="1" w:line="240" w:lineRule="auto"/>
      <w:outlineLvl w:val="2"/>
    </w:pPr>
    <w:rPr>
      <w:rFonts w:ascii="Times New Roman" w:eastAsia="Times New Roman" w:hAnsi="Times New Roman" w:cs="Times New Roman"/>
      <w:b/>
      <w:bCs/>
      <w:sz w:val="27"/>
      <w:szCs w:val="27"/>
      <w:lang w:bidi="hi-I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81AD1"/>
    <w:rPr>
      <w:rFonts w:ascii="Times New Roman" w:eastAsia="Times New Roman" w:hAnsi="Times New Roman" w:cs="Times New Roman"/>
      <w:b/>
      <w:bCs/>
      <w:kern w:val="36"/>
      <w:sz w:val="48"/>
      <w:szCs w:val="48"/>
      <w:lang w:bidi="hi-IN"/>
    </w:rPr>
  </w:style>
  <w:style w:type="character" w:customStyle="1" w:styleId="Heading2Char">
    <w:name w:val="Heading 2 Char"/>
    <w:basedOn w:val="DefaultParagraphFont"/>
    <w:link w:val="Heading2"/>
    <w:uiPriority w:val="9"/>
    <w:rsid w:val="00681AD1"/>
    <w:rPr>
      <w:rFonts w:ascii="Times New Roman" w:eastAsia="Times New Roman" w:hAnsi="Times New Roman" w:cs="Times New Roman"/>
      <w:b/>
      <w:bCs/>
      <w:sz w:val="36"/>
      <w:szCs w:val="36"/>
      <w:lang w:bidi="hi-IN"/>
    </w:rPr>
  </w:style>
  <w:style w:type="character" w:customStyle="1" w:styleId="Heading3Char">
    <w:name w:val="Heading 3 Char"/>
    <w:basedOn w:val="DefaultParagraphFont"/>
    <w:link w:val="Heading3"/>
    <w:uiPriority w:val="9"/>
    <w:rsid w:val="00681AD1"/>
    <w:rPr>
      <w:rFonts w:ascii="Times New Roman" w:eastAsia="Times New Roman" w:hAnsi="Times New Roman" w:cs="Times New Roman"/>
      <w:b/>
      <w:bCs/>
      <w:sz w:val="27"/>
      <w:szCs w:val="27"/>
      <w:lang w:bidi="hi-IN"/>
    </w:rPr>
  </w:style>
  <w:style w:type="paragraph" w:styleId="NormalWeb">
    <w:name w:val="Normal (Web)"/>
    <w:basedOn w:val="Normal"/>
    <w:uiPriority w:val="99"/>
    <w:semiHidden/>
    <w:unhideWhenUsed/>
    <w:rsid w:val="00681AD1"/>
    <w:pPr>
      <w:spacing w:before="100" w:beforeAutospacing="1" w:after="100" w:afterAutospacing="1" w:line="240" w:lineRule="auto"/>
    </w:pPr>
    <w:rPr>
      <w:rFonts w:ascii="Times New Roman" w:eastAsia="Times New Roman" w:hAnsi="Times New Roman" w:cs="Times New Roman"/>
      <w:sz w:val="24"/>
      <w:szCs w:val="24"/>
      <w:lang w:bidi="hi-IN"/>
    </w:rPr>
  </w:style>
  <w:style w:type="character" w:styleId="Strong">
    <w:name w:val="Strong"/>
    <w:basedOn w:val="DefaultParagraphFont"/>
    <w:uiPriority w:val="22"/>
    <w:qFormat/>
    <w:rsid w:val="00681AD1"/>
    <w:rPr>
      <w:b/>
      <w:bCs/>
    </w:rPr>
  </w:style>
  <w:style w:type="character" w:styleId="Emphasis">
    <w:name w:val="Emphasis"/>
    <w:basedOn w:val="DefaultParagraphFont"/>
    <w:uiPriority w:val="20"/>
    <w:qFormat/>
    <w:rsid w:val="00681AD1"/>
    <w:rPr>
      <w:i/>
      <w:iCs/>
    </w:rPr>
  </w:style>
  <w:style w:type="paragraph" w:styleId="BalloonText">
    <w:name w:val="Balloon Text"/>
    <w:basedOn w:val="Normal"/>
    <w:link w:val="BalloonTextChar"/>
    <w:uiPriority w:val="99"/>
    <w:semiHidden/>
    <w:unhideWhenUsed/>
    <w:rsid w:val="00D7486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74867"/>
    <w:rPr>
      <w:rFonts w:ascii="Tahoma" w:hAnsi="Tahoma" w:cs="Tahoma"/>
      <w:sz w:val="16"/>
      <w:szCs w:val="16"/>
    </w:rPr>
  </w:style>
  <w:style w:type="paragraph" w:styleId="Header">
    <w:name w:val="header"/>
    <w:basedOn w:val="Normal"/>
    <w:link w:val="HeaderChar"/>
    <w:uiPriority w:val="99"/>
    <w:semiHidden/>
    <w:unhideWhenUsed/>
    <w:rsid w:val="00AA6995"/>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AA6995"/>
  </w:style>
  <w:style w:type="paragraph" w:styleId="Footer">
    <w:name w:val="footer"/>
    <w:basedOn w:val="Normal"/>
    <w:link w:val="FooterChar"/>
    <w:uiPriority w:val="99"/>
    <w:unhideWhenUsed/>
    <w:rsid w:val="00AA6995"/>
    <w:pPr>
      <w:tabs>
        <w:tab w:val="center" w:pos="4680"/>
        <w:tab w:val="right" w:pos="9360"/>
      </w:tabs>
      <w:spacing w:after="0" w:line="240" w:lineRule="auto"/>
    </w:pPr>
  </w:style>
  <w:style w:type="character" w:customStyle="1" w:styleId="FooterChar">
    <w:name w:val="Footer Char"/>
    <w:basedOn w:val="DefaultParagraphFont"/>
    <w:link w:val="Footer"/>
    <w:uiPriority w:val="99"/>
    <w:rsid w:val="00AA6995"/>
  </w:style>
  <w:style w:type="paragraph" w:styleId="TOCHeading">
    <w:name w:val="TOC Heading"/>
    <w:basedOn w:val="Heading1"/>
    <w:next w:val="Normal"/>
    <w:uiPriority w:val="39"/>
    <w:unhideWhenUsed/>
    <w:qFormat/>
    <w:rsid w:val="00E93EDC"/>
    <w:pPr>
      <w:keepNext/>
      <w:keepLines/>
      <w:spacing w:before="480" w:beforeAutospacing="0" w:after="0" w:afterAutospacing="0" w:line="276" w:lineRule="auto"/>
      <w:outlineLvl w:val="9"/>
    </w:pPr>
    <w:rPr>
      <w:rFonts w:asciiTheme="majorHAnsi" w:eastAsiaTheme="majorEastAsia" w:hAnsiTheme="majorHAnsi" w:cstheme="majorBidi"/>
      <w:color w:val="365F91" w:themeColor="accent1" w:themeShade="BF"/>
      <w:kern w:val="0"/>
      <w:sz w:val="28"/>
      <w:szCs w:val="28"/>
      <w:lang w:bidi="ar-SA"/>
    </w:rPr>
  </w:style>
  <w:style w:type="paragraph" w:styleId="TOC1">
    <w:name w:val="toc 1"/>
    <w:basedOn w:val="Normal"/>
    <w:next w:val="Normal"/>
    <w:autoRedefine/>
    <w:uiPriority w:val="39"/>
    <w:unhideWhenUsed/>
    <w:rsid w:val="00E93EDC"/>
    <w:pPr>
      <w:spacing w:after="100"/>
    </w:pPr>
  </w:style>
  <w:style w:type="paragraph" w:styleId="TOC2">
    <w:name w:val="toc 2"/>
    <w:basedOn w:val="Normal"/>
    <w:next w:val="Normal"/>
    <w:autoRedefine/>
    <w:uiPriority w:val="39"/>
    <w:unhideWhenUsed/>
    <w:rsid w:val="00E93EDC"/>
    <w:pPr>
      <w:spacing w:after="100"/>
      <w:ind w:left="220"/>
    </w:pPr>
  </w:style>
  <w:style w:type="paragraph" w:styleId="TOC3">
    <w:name w:val="toc 3"/>
    <w:basedOn w:val="Normal"/>
    <w:next w:val="Normal"/>
    <w:autoRedefine/>
    <w:uiPriority w:val="39"/>
    <w:unhideWhenUsed/>
    <w:rsid w:val="00E93EDC"/>
    <w:pPr>
      <w:spacing w:after="100"/>
      <w:ind w:left="440"/>
    </w:pPr>
  </w:style>
  <w:style w:type="character" w:styleId="Hyperlink">
    <w:name w:val="Hyperlink"/>
    <w:basedOn w:val="DefaultParagraphFont"/>
    <w:uiPriority w:val="99"/>
    <w:unhideWhenUsed/>
    <w:rsid w:val="00E93EDC"/>
    <w:rPr>
      <w:color w:val="0000FF" w:themeColor="hyperlink"/>
      <w:u w:val="single"/>
    </w:rPr>
  </w:style>
</w:styles>
</file>

<file path=word/webSettings.xml><?xml version="1.0" encoding="utf-8"?>
<w:webSettings xmlns:r="http://schemas.openxmlformats.org/officeDocument/2006/relationships" xmlns:w="http://schemas.openxmlformats.org/wordprocessingml/2006/main">
  <w:divs>
    <w:div w:id="9770423">
      <w:bodyDiv w:val="1"/>
      <w:marLeft w:val="0"/>
      <w:marRight w:val="0"/>
      <w:marTop w:val="0"/>
      <w:marBottom w:val="0"/>
      <w:divBdr>
        <w:top w:val="none" w:sz="0" w:space="0" w:color="auto"/>
        <w:left w:val="none" w:sz="0" w:space="0" w:color="auto"/>
        <w:bottom w:val="none" w:sz="0" w:space="0" w:color="auto"/>
        <w:right w:val="none" w:sz="0" w:space="0" w:color="auto"/>
      </w:divBdr>
    </w:div>
    <w:div w:id="51469237">
      <w:bodyDiv w:val="1"/>
      <w:marLeft w:val="0"/>
      <w:marRight w:val="0"/>
      <w:marTop w:val="0"/>
      <w:marBottom w:val="0"/>
      <w:divBdr>
        <w:top w:val="none" w:sz="0" w:space="0" w:color="auto"/>
        <w:left w:val="none" w:sz="0" w:space="0" w:color="auto"/>
        <w:bottom w:val="none" w:sz="0" w:space="0" w:color="auto"/>
        <w:right w:val="none" w:sz="0" w:space="0" w:color="auto"/>
      </w:divBdr>
    </w:div>
    <w:div w:id="67844292">
      <w:bodyDiv w:val="1"/>
      <w:marLeft w:val="0"/>
      <w:marRight w:val="0"/>
      <w:marTop w:val="0"/>
      <w:marBottom w:val="0"/>
      <w:divBdr>
        <w:top w:val="none" w:sz="0" w:space="0" w:color="auto"/>
        <w:left w:val="none" w:sz="0" w:space="0" w:color="auto"/>
        <w:bottom w:val="none" w:sz="0" w:space="0" w:color="auto"/>
        <w:right w:val="none" w:sz="0" w:space="0" w:color="auto"/>
      </w:divBdr>
    </w:div>
    <w:div w:id="193999515">
      <w:bodyDiv w:val="1"/>
      <w:marLeft w:val="0"/>
      <w:marRight w:val="0"/>
      <w:marTop w:val="0"/>
      <w:marBottom w:val="0"/>
      <w:divBdr>
        <w:top w:val="none" w:sz="0" w:space="0" w:color="auto"/>
        <w:left w:val="none" w:sz="0" w:space="0" w:color="auto"/>
        <w:bottom w:val="none" w:sz="0" w:space="0" w:color="auto"/>
        <w:right w:val="none" w:sz="0" w:space="0" w:color="auto"/>
      </w:divBdr>
    </w:div>
    <w:div w:id="242304726">
      <w:bodyDiv w:val="1"/>
      <w:marLeft w:val="0"/>
      <w:marRight w:val="0"/>
      <w:marTop w:val="0"/>
      <w:marBottom w:val="0"/>
      <w:divBdr>
        <w:top w:val="none" w:sz="0" w:space="0" w:color="auto"/>
        <w:left w:val="none" w:sz="0" w:space="0" w:color="auto"/>
        <w:bottom w:val="none" w:sz="0" w:space="0" w:color="auto"/>
        <w:right w:val="none" w:sz="0" w:space="0" w:color="auto"/>
      </w:divBdr>
    </w:div>
    <w:div w:id="412774039">
      <w:bodyDiv w:val="1"/>
      <w:marLeft w:val="0"/>
      <w:marRight w:val="0"/>
      <w:marTop w:val="0"/>
      <w:marBottom w:val="0"/>
      <w:divBdr>
        <w:top w:val="none" w:sz="0" w:space="0" w:color="auto"/>
        <w:left w:val="none" w:sz="0" w:space="0" w:color="auto"/>
        <w:bottom w:val="none" w:sz="0" w:space="0" w:color="auto"/>
        <w:right w:val="none" w:sz="0" w:space="0" w:color="auto"/>
      </w:divBdr>
    </w:div>
    <w:div w:id="456947922">
      <w:bodyDiv w:val="1"/>
      <w:marLeft w:val="0"/>
      <w:marRight w:val="0"/>
      <w:marTop w:val="0"/>
      <w:marBottom w:val="0"/>
      <w:divBdr>
        <w:top w:val="none" w:sz="0" w:space="0" w:color="auto"/>
        <w:left w:val="none" w:sz="0" w:space="0" w:color="auto"/>
        <w:bottom w:val="none" w:sz="0" w:space="0" w:color="auto"/>
        <w:right w:val="none" w:sz="0" w:space="0" w:color="auto"/>
      </w:divBdr>
    </w:div>
    <w:div w:id="635836590">
      <w:bodyDiv w:val="1"/>
      <w:marLeft w:val="0"/>
      <w:marRight w:val="0"/>
      <w:marTop w:val="0"/>
      <w:marBottom w:val="0"/>
      <w:divBdr>
        <w:top w:val="none" w:sz="0" w:space="0" w:color="auto"/>
        <w:left w:val="none" w:sz="0" w:space="0" w:color="auto"/>
        <w:bottom w:val="none" w:sz="0" w:space="0" w:color="auto"/>
        <w:right w:val="none" w:sz="0" w:space="0" w:color="auto"/>
      </w:divBdr>
    </w:div>
    <w:div w:id="1100879264">
      <w:bodyDiv w:val="1"/>
      <w:marLeft w:val="0"/>
      <w:marRight w:val="0"/>
      <w:marTop w:val="0"/>
      <w:marBottom w:val="0"/>
      <w:divBdr>
        <w:top w:val="none" w:sz="0" w:space="0" w:color="auto"/>
        <w:left w:val="none" w:sz="0" w:space="0" w:color="auto"/>
        <w:bottom w:val="none" w:sz="0" w:space="0" w:color="auto"/>
        <w:right w:val="none" w:sz="0" w:space="0" w:color="auto"/>
      </w:divBdr>
    </w:div>
    <w:div w:id="1581872086">
      <w:bodyDiv w:val="1"/>
      <w:marLeft w:val="0"/>
      <w:marRight w:val="0"/>
      <w:marTop w:val="0"/>
      <w:marBottom w:val="0"/>
      <w:divBdr>
        <w:top w:val="none" w:sz="0" w:space="0" w:color="auto"/>
        <w:left w:val="none" w:sz="0" w:space="0" w:color="auto"/>
        <w:bottom w:val="none" w:sz="0" w:space="0" w:color="auto"/>
        <w:right w:val="none" w:sz="0" w:space="0" w:color="auto"/>
      </w:divBdr>
    </w:div>
    <w:div w:id="1602909398">
      <w:bodyDiv w:val="1"/>
      <w:marLeft w:val="0"/>
      <w:marRight w:val="0"/>
      <w:marTop w:val="0"/>
      <w:marBottom w:val="0"/>
      <w:divBdr>
        <w:top w:val="none" w:sz="0" w:space="0" w:color="auto"/>
        <w:left w:val="none" w:sz="0" w:space="0" w:color="auto"/>
        <w:bottom w:val="none" w:sz="0" w:space="0" w:color="auto"/>
        <w:right w:val="none" w:sz="0" w:space="0" w:color="auto"/>
      </w:divBdr>
    </w:div>
    <w:div w:id="1630090648">
      <w:bodyDiv w:val="1"/>
      <w:marLeft w:val="0"/>
      <w:marRight w:val="0"/>
      <w:marTop w:val="0"/>
      <w:marBottom w:val="0"/>
      <w:divBdr>
        <w:top w:val="none" w:sz="0" w:space="0" w:color="auto"/>
        <w:left w:val="none" w:sz="0" w:space="0" w:color="auto"/>
        <w:bottom w:val="none" w:sz="0" w:space="0" w:color="auto"/>
        <w:right w:val="none" w:sz="0" w:space="0" w:color="auto"/>
      </w:divBdr>
    </w:div>
    <w:div w:id="1650593019">
      <w:bodyDiv w:val="1"/>
      <w:marLeft w:val="0"/>
      <w:marRight w:val="0"/>
      <w:marTop w:val="0"/>
      <w:marBottom w:val="0"/>
      <w:divBdr>
        <w:top w:val="none" w:sz="0" w:space="0" w:color="auto"/>
        <w:left w:val="none" w:sz="0" w:space="0" w:color="auto"/>
        <w:bottom w:val="none" w:sz="0" w:space="0" w:color="auto"/>
        <w:right w:val="none" w:sz="0" w:space="0" w:color="auto"/>
      </w:divBdr>
    </w:div>
    <w:div w:id="1715423319">
      <w:bodyDiv w:val="1"/>
      <w:marLeft w:val="0"/>
      <w:marRight w:val="0"/>
      <w:marTop w:val="0"/>
      <w:marBottom w:val="0"/>
      <w:divBdr>
        <w:top w:val="none" w:sz="0" w:space="0" w:color="auto"/>
        <w:left w:val="none" w:sz="0" w:space="0" w:color="auto"/>
        <w:bottom w:val="none" w:sz="0" w:space="0" w:color="auto"/>
        <w:right w:val="none" w:sz="0" w:space="0" w:color="auto"/>
      </w:divBdr>
    </w:div>
    <w:div w:id="1861091965">
      <w:bodyDiv w:val="1"/>
      <w:marLeft w:val="0"/>
      <w:marRight w:val="0"/>
      <w:marTop w:val="0"/>
      <w:marBottom w:val="0"/>
      <w:divBdr>
        <w:top w:val="none" w:sz="0" w:space="0" w:color="auto"/>
        <w:left w:val="none" w:sz="0" w:space="0" w:color="auto"/>
        <w:bottom w:val="none" w:sz="0" w:space="0" w:color="auto"/>
        <w:right w:val="none" w:sz="0" w:space="0" w:color="auto"/>
      </w:divBdr>
    </w:div>
    <w:div w:id="1864398269">
      <w:bodyDiv w:val="1"/>
      <w:marLeft w:val="0"/>
      <w:marRight w:val="0"/>
      <w:marTop w:val="0"/>
      <w:marBottom w:val="0"/>
      <w:divBdr>
        <w:top w:val="none" w:sz="0" w:space="0" w:color="auto"/>
        <w:left w:val="none" w:sz="0" w:space="0" w:color="auto"/>
        <w:bottom w:val="none" w:sz="0" w:space="0" w:color="auto"/>
        <w:right w:val="none" w:sz="0" w:space="0" w:color="auto"/>
      </w:divBdr>
    </w:div>
    <w:div w:id="1979676964">
      <w:bodyDiv w:val="1"/>
      <w:marLeft w:val="0"/>
      <w:marRight w:val="0"/>
      <w:marTop w:val="0"/>
      <w:marBottom w:val="0"/>
      <w:divBdr>
        <w:top w:val="none" w:sz="0" w:space="0" w:color="auto"/>
        <w:left w:val="none" w:sz="0" w:space="0" w:color="auto"/>
        <w:bottom w:val="none" w:sz="0" w:space="0" w:color="auto"/>
        <w:right w:val="none" w:sz="0" w:space="0" w:color="auto"/>
      </w:divBdr>
    </w:div>
    <w:div w:id="2112847089">
      <w:bodyDiv w:val="1"/>
      <w:marLeft w:val="0"/>
      <w:marRight w:val="0"/>
      <w:marTop w:val="0"/>
      <w:marBottom w:val="0"/>
      <w:divBdr>
        <w:top w:val="none" w:sz="0" w:space="0" w:color="auto"/>
        <w:left w:val="none" w:sz="0" w:space="0" w:color="auto"/>
        <w:bottom w:val="none" w:sz="0" w:space="0" w:color="auto"/>
        <w:right w:val="none" w:sz="0" w:space="0" w:color="auto"/>
      </w:divBdr>
    </w:div>
    <w:div w:id="2118332971">
      <w:bodyDiv w:val="1"/>
      <w:marLeft w:val="0"/>
      <w:marRight w:val="0"/>
      <w:marTop w:val="0"/>
      <w:marBottom w:val="0"/>
      <w:divBdr>
        <w:top w:val="none" w:sz="0" w:space="0" w:color="auto"/>
        <w:left w:val="none" w:sz="0" w:space="0" w:color="auto"/>
        <w:bottom w:val="none" w:sz="0" w:space="0" w:color="auto"/>
        <w:right w:val="none" w:sz="0" w:space="0" w:color="auto"/>
      </w:divBdr>
    </w:div>
    <w:div w:id="21286158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E41A291-10A8-4411-8D4C-2A7F011442A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96</TotalTime>
  <Pages>13</Pages>
  <Words>4809</Words>
  <Characters>27417</Characters>
  <Application>Microsoft Office Word</Application>
  <DocSecurity>0</DocSecurity>
  <Lines>228</Lines>
  <Paragraphs>64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32162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ANCHALIKA</dc:creator>
  <cp:keywords/>
  <dc:description/>
  <cp:lastModifiedBy>ANCHALIKA</cp:lastModifiedBy>
  <cp:revision>22</cp:revision>
  <dcterms:created xsi:type="dcterms:W3CDTF">2025-11-18T15:41:00Z</dcterms:created>
  <dcterms:modified xsi:type="dcterms:W3CDTF">2026-02-03T10:26:00Z</dcterms:modified>
</cp:coreProperties>
</file>