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00000" w14:textId="00100001" w:rsidR="000E68B1" w:rsidRDefault="000E68B1" w:rsidP="00135C9E">
      <w:pPr>
        <w:jc w:val="both"/>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0100002" w14:textId="00100003" w:rsidR="000E68B1" w:rsidRDefault="000E68B1" w:rsidP="00135C9E">
      <w:pPr>
        <w:jc w:val="both"/>
        <w:rPr>
          <w:b/>
          <w:bCs/>
          <w:lang w:val="en-US"/>
        </w:rPr>
      </w:pPr>
    </w:p>
    <w:p w14:paraId="00100004" w14:textId="00100005" w:rsidR="000E68B1" w:rsidRDefault="000E68B1" w:rsidP="00135C9E">
      <w:pPr>
        <w:jc w:val="both"/>
        <w:rPr>
          <w:b/>
          <w:bCs/>
          <w:lang w:val="en-US"/>
        </w:rPr>
      </w:pPr>
      <w:r w:rsidRPr="000E68B1">
        <w:rPr>
          <w:b/>
          <w:bCs/>
          <w:lang w:val="en-US"/>
        </w:rPr>
        <w:t>Introduction to the Hospitality Industry</w:t>
      </w:r>
    </w:p>
    <w:p w14:paraId="00100006" w14:textId="00100007" w:rsidR="000E68B1" w:rsidRDefault="000E68B1" w:rsidP="00135C9E">
      <w:pPr>
        <w:jc w:val="both"/>
        <w:rPr>
          <w:lang w:val="en-US"/>
        </w:rPr>
      </w:pPr>
      <w:r w:rsidRPr="0019504D">
        <w:rPr>
          <w:lang w:val="en-US"/>
        </w:rPr>
        <w:t>Ass</w:t>
      </w:r>
      <w:r>
        <w:rPr>
          <w:lang w:val="en-US"/>
        </w:rPr>
        <w:t xml:space="preserve">ignment </w:t>
      </w:r>
      <w:r w:rsidR="001674E1">
        <w:rPr>
          <w:lang w:val="en-US"/>
        </w:rPr>
        <w:t>8</w:t>
      </w:r>
    </w:p>
    <w:p w14:paraId="00100008" w14:textId="00100009" w:rsidR="000E68B1" w:rsidRPr="0019504D" w:rsidRDefault="001674E1" w:rsidP="00135C9E">
      <w:pPr>
        <w:jc w:val="both"/>
        <w:rPr>
          <w:lang w:val="en-US"/>
        </w:rPr>
      </w:pPr>
      <w:r>
        <w:rPr>
          <w:lang w:val="en-US"/>
        </w:rPr>
        <w:t>03</w:t>
      </w:r>
      <w:r w:rsidR="000E68B1">
        <w:rPr>
          <w:lang w:val="en-US"/>
        </w:rPr>
        <w:t>.0</w:t>
      </w:r>
      <w:r>
        <w:rPr>
          <w:lang w:val="en-US"/>
        </w:rPr>
        <w:t>6</w:t>
      </w:r>
      <w:r w:rsidR="000E68B1">
        <w:rPr>
          <w:lang w:val="en-US"/>
        </w:rPr>
        <w:t>.2026</w:t>
      </w:r>
    </w:p>
    <w:p w14:paraId="0010000A" w14:textId="0010000B" w:rsidR="00426865" w:rsidRDefault="00426865" w:rsidP="00135C9E">
      <w:pPr>
        <w:jc w:val="both"/>
      </w:pPr>
    </w:p>
    <w:p w14:paraId="0010000C" w14:textId="0010000D" w:rsidR="000E68B1" w:rsidRDefault="000E68B1" w:rsidP="00135C9E">
      <w:pPr>
        <w:jc w:val="both"/>
      </w:pPr>
    </w:p>
    <w:p w14:paraId="0010000E" w14:textId="0010000F" w:rsidR="000E68B1" w:rsidRDefault="000E68B1" w:rsidP="00135C9E">
      <w:pPr>
        <w:jc w:val="both"/>
      </w:pPr>
    </w:p>
    <w:p w14:paraId="00100010" w14:textId="00100011" w:rsidR="000E68B1" w:rsidRDefault="000E68B1" w:rsidP="00135C9E">
      <w:pPr>
        <w:jc w:val="both"/>
      </w:pPr>
    </w:p>
    <w:p w14:paraId="00100012" w14:textId="00100013" w:rsidR="000E68B1" w:rsidRDefault="000E68B1" w:rsidP="00135C9E">
      <w:pPr>
        <w:jc w:val="both"/>
      </w:pPr>
    </w:p>
    <w:p w14:paraId="00100014" w14:textId="00100015" w:rsidR="000E68B1" w:rsidRDefault="000E68B1" w:rsidP="00135C9E">
      <w:pPr>
        <w:jc w:val="both"/>
      </w:pPr>
    </w:p>
    <w:p w14:paraId="00100016" w14:textId="00100017" w:rsidR="000E68B1" w:rsidRDefault="000E68B1" w:rsidP="00135C9E">
      <w:pPr>
        <w:jc w:val="both"/>
      </w:pPr>
    </w:p>
    <w:p w14:paraId="00100018" w14:textId="00100019" w:rsidR="000E68B1" w:rsidRDefault="000E68B1" w:rsidP="00135C9E">
      <w:pPr>
        <w:jc w:val="both"/>
      </w:pPr>
    </w:p>
    <w:p w14:paraId="0010001A" w14:textId="0010001B" w:rsidR="000E68B1" w:rsidRDefault="000E68B1" w:rsidP="00135C9E">
      <w:pPr>
        <w:jc w:val="both"/>
      </w:pPr>
    </w:p>
    <w:p w14:paraId="0010001C" w14:textId="0010001D" w:rsidR="000E68B1" w:rsidRDefault="000E68B1" w:rsidP="00135C9E">
      <w:pPr>
        <w:jc w:val="both"/>
      </w:pPr>
    </w:p>
    <w:p w14:paraId="0010001E" w14:textId="0010001F" w:rsidR="000E68B1" w:rsidRDefault="000E68B1" w:rsidP="00135C9E">
      <w:pPr>
        <w:jc w:val="both"/>
      </w:pPr>
    </w:p>
    <w:p w14:paraId="00100020" w14:textId="00100021" w:rsidR="000E68B1" w:rsidRDefault="000E68B1" w:rsidP="00135C9E">
      <w:pPr>
        <w:spacing w:line="276" w:lineRule="auto"/>
        <w:jc w:val="both"/>
        <w:rPr>
          <w:b/>
          <w:bCs/>
          <w:lang w:val="en-US"/>
        </w:rPr>
      </w:pPr>
      <w:r w:rsidRPr="00EA737F">
        <w:rPr>
          <w:b/>
          <w:bCs/>
          <w:lang w:val="en-US"/>
        </w:rPr>
        <w:t>In no more than 500 words</w:t>
      </w:r>
      <w:r w:rsidR="00794642">
        <w:rPr>
          <w:b/>
          <w:bCs/>
          <w:lang w:val="en-US"/>
        </w:rPr>
        <w:t xml:space="preserve"> </w:t>
      </w:r>
      <w:r>
        <w:rPr>
          <w:b/>
          <w:bCs/>
          <w:lang w:val="en-US"/>
        </w:rPr>
        <w:t>each and 2-4 references</w:t>
      </w:r>
      <w:r w:rsidR="001674E1">
        <w:rPr>
          <w:b/>
          <w:bCs/>
          <w:lang w:val="en-US"/>
        </w:rPr>
        <w:t>, explain</w:t>
      </w:r>
      <w:r>
        <w:rPr>
          <w:b/>
          <w:bCs/>
          <w:lang w:val="en-US"/>
        </w:rPr>
        <w:t>:</w:t>
      </w:r>
    </w:p>
    <w:p w14:paraId="00100022" w14:textId="00100023" w:rsidR="001674E1" w:rsidRDefault="001674E1" w:rsidP="00135C9E">
      <w:pPr>
        <w:jc w:val="both"/>
        <w:rPr>
          <w:lang w:val="en-US"/>
        </w:rPr>
      </w:pPr>
    </w:p>
    <w:p w14:paraId="00100024" w14:textId="00100025" w:rsidR="001674E1" w:rsidRDefault="001674E1" w:rsidP="00135C9E">
      <w:pPr>
        <w:pStyle w:val="ListParagraph"/>
        <w:numPr>
          <w:ilvl w:val="0"/>
          <w:numId w:val="9"/>
        </w:numPr>
        <w:jc w:val="both"/>
        <w:rPr>
          <w:b/>
          <w:bCs/>
          <w:lang w:val="en-US"/>
        </w:rPr>
      </w:pPr>
      <w:r w:rsidRPr="001674E1">
        <w:rPr>
          <w:b/>
          <w:bCs/>
          <w:lang w:val="en-US"/>
        </w:rPr>
        <w:t>1- What are the main responsibilities of the Director of Food and Beverage?</w:t>
      </w:r>
    </w:p>
    <w:p w14:paraId="00100026" w14:textId="00100027" w:rsidR="001674E1" w:rsidRPr="001674E1" w:rsidRDefault="001674E1" w:rsidP="00135C9E">
      <w:pPr>
        <w:pStyle w:val="ListParagraph"/>
        <w:jc w:val="both"/>
        <w:rPr>
          <w:b/>
          <w:bCs/>
          <w:lang w:val="en-US"/>
        </w:rPr>
      </w:pPr>
    </w:p>
    <w:p w14:paraId="00100028" w14:textId="00100029" w:rsidR="001674E1" w:rsidRDefault="001674E1" w:rsidP="00135C9E">
      <w:pPr>
        <w:pStyle w:val="ListParagraph"/>
        <w:numPr>
          <w:ilvl w:val="0"/>
          <w:numId w:val="9"/>
        </w:numPr>
        <w:jc w:val="both"/>
        <w:rPr>
          <w:b/>
          <w:bCs/>
          <w:lang w:val="en-US"/>
        </w:rPr>
      </w:pPr>
      <w:r w:rsidRPr="001674E1">
        <w:rPr>
          <w:b/>
          <w:bCs/>
          <w:lang w:val="en-US"/>
        </w:rPr>
        <w:t>2- Explain the concept of "right-sizing" in hotel food and beverage operations.</w:t>
      </w:r>
    </w:p>
    <w:p w14:paraId="0010002A" w14:textId="0010002B" w:rsidR="001674E1" w:rsidRPr="001674E1" w:rsidRDefault="001674E1" w:rsidP="00135C9E">
      <w:pPr>
        <w:jc w:val="both"/>
        <w:rPr>
          <w:b/>
          <w:bCs/>
          <w:lang w:val="en-US"/>
        </w:rPr>
      </w:pPr>
    </w:p>
    <w:p w14:paraId="0010002C" w14:textId="0010002D" w:rsidR="001674E1" w:rsidRPr="001674E1" w:rsidRDefault="001674E1" w:rsidP="00135C9E">
      <w:pPr>
        <w:pStyle w:val="ListParagraph"/>
        <w:numPr>
          <w:ilvl w:val="0"/>
          <w:numId w:val="9"/>
        </w:numPr>
        <w:jc w:val="both"/>
        <w:rPr>
          <w:b/>
          <w:bCs/>
          <w:lang w:val="en-US"/>
        </w:rPr>
      </w:pPr>
      <w:r w:rsidRPr="001674E1">
        <w:rPr>
          <w:b/>
          <w:bCs/>
          <w:lang w:val="en-US"/>
        </w:rPr>
        <w:t>3- Compare the following meeting room setups:</w:t>
      </w:r>
    </w:p>
    <w:p w14:paraId="0010002E" w14:textId="0010002F" w:rsidR="001674E1" w:rsidRPr="001674E1" w:rsidRDefault="001674E1" w:rsidP="00135C9E">
      <w:pPr>
        <w:pStyle w:val="ListParagraph"/>
        <w:numPr>
          <w:ilvl w:val="0"/>
          <w:numId w:val="11"/>
        </w:numPr>
        <w:jc w:val="both"/>
        <w:rPr>
          <w:lang w:val="en-US"/>
        </w:rPr>
      </w:pPr>
      <w:r w:rsidRPr="001674E1">
        <w:rPr>
          <w:lang w:val="en-US"/>
        </w:rPr>
        <w:t>Theater Style</w:t>
      </w:r>
    </w:p>
    <w:p w14:paraId="00100030" w14:textId="00100031" w:rsidR="001674E1" w:rsidRPr="001674E1" w:rsidRDefault="001674E1" w:rsidP="00135C9E">
      <w:pPr>
        <w:pStyle w:val="ListParagraph"/>
        <w:numPr>
          <w:ilvl w:val="0"/>
          <w:numId w:val="11"/>
        </w:numPr>
        <w:jc w:val="both"/>
        <w:rPr>
          <w:lang w:val="en-US"/>
        </w:rPr>
      </w:pPr>
      <w:r w:rsidRPr="001674E1">
        <w:rPr>
          <w:lang w:val="en-US"/>
        </w:rPr>
        <w:t>Classroom Style</w:t>
      </w:r>
    </w:p>
    <w:p w14:paraId="00100032" w14:textId="00100033" w:rsidR="001674E1" w:rsidRPr="001674E1" w:rsidRDefault="001674E1" w:rsidP="00135C9E">
      <w:pPr>
        <w:pStyle w:val="ListParagraph"/>
        <w:numPr>
          <w:ilvl w:val="0"/>
          <w:numId w:val="11"/>
        </w:numPr>
        <w:jc w:val="both"/>
        <w:rPr>
          <w:lang w:val="en-US"/>
        </w:rPr>
      </w:pPr>
      <w:r w:rsidRPr="001674E1">
        <w:rPr>
          <w:lang w:val="en-US"/>
        </w:rPr>
        <w:t>Horseshoe Style</w:t>
      </w:r>
    </w:p>
    <w:p w14:paraId="00100034" w14:textId="00100035" w:rsidR="001674E1" w:rsidRPr="001674E1" w:rsidRDefault="001674E1" w:rsidP="00135C9E">
      <w:pPr>
        <w:pStyle w:val="ListParagraph"/>
        <w:numPr>
          <w:ilvl w:val="0"/>
          <w:numId w:val="10"/>
        </w:numPr>
        <w:jc w:val="both"/>
        <w:rPr>
          <w:b/>
          <w:bCs/>
          <w:lang w:val="en-US"/>
        </w:rPr>
      </w:pPr>
      <w:r w:rsidRPr="001674E1">
        <w:rPr>
          <w:b/>
          <w:bCs/>
          <w:lang w:val="en-US"/>
        </w:rPr>
        <w:t>Consider:</w:t>
      </w:r>
    </w:p>
    <w:p w14:paraId="00100036" w14:textId="00100037" w:rsidR="001674E1" w:rsidRPr="001674E1" w:rsidRDefault="001674E1" w:rsidP="00135C9E">
      <w:pPr>
        <w:pStyle w:val="ListParagraph"/>
        <w:numPr>
          <w:ilvl w:val="0"/>
          <w:numId w:val="12"/>
        </w:numPr>
        <w:jc w:val="both"/>
        <w:rPr>
          <w:lang w:val="en-US"/>
        </w:rPr>
      </w:pPr>
      <w:r w:rsidRPr="001674E1">
        <w:rPr>
          <w:lang w:val="en-US"/>
        </w:rPr>
        <w:t>Seating arrangement</w:t>
      </w:r>
    </w:p>
    <w:p w14:paraId="00100038" w14:textId="00100039" w:rsidR="001674E1" w:rsidRPr="001674E1" w:rsidRDefault="001674E1" w:rsidP="00135C9E">
      <w:pPr>
        <w:pStyle w:val="ListParagraph"/>
        <w:numPr>
          <w:ilvl w:val="0"/>
          <w:numId w:val="12"/>
        </w:numPr>
        <w:jc w:val="both"/>
        <w:rPr>
          <w:lang w:val="en-US"/>
        </w:rPr>
      </w:pPr>
      <w:r w:rsidRPr="001674E1">
        <w:rPr>
          <w:lang w:val="en-US"/>
        </w:rPr>
        <w:t>Advantages</w:t>
      </w:r>
    </w:p>
    <w:p w14:paraId="0010003A" w14:textId="0010003B" w:rsidR="001674E1" w:rsidRPr="001674E1" w:rsidRDefault="001674E1" w:rsidP="00135C9E">
      <w:pPr>
        <w:pStyle w:val="ListParagraph"/>
        <w:numPr>
          <w:ilvl w:val="0"/>
          <w:numId w:val="12"/>
        </w:numPr>
        <w:jc w:val="both"/>
        <w:rPr>
          <w:lang w:val="en-US"/>
        </w:rPr>
      </w:pPr>
      <w:r w:rsidRPr="001674E1">
        <w:rPr>
          <w:lang w:val="en-US"/>
        </w:rPr>
        <w:t>Typical uses</w:t>
      </w:r>
    </w:p>
    <w:p w14:paraId="0010003C" w14:textId="0010003D" w:rsidR="001674E1" w:rsidRPr="001674E1" w:rsidRDefault="001674E1" w:rsidP="00135C9E">
      <w:pPr>
        <w:pStyle w:val="ListParagraph"/>
        <w:numPr>
          <w:ilvl w:val="0"/>
          <w:numId w:val="12"/>
        </w:numPr>
        <w:jc w:val="both"/>
        <w:rPr>
          <w:lang w:val="en-US"/>
        </w:rPr>
      </w:pPr>
      <w:r w:rsidRPr="001674E1">
        <w:rPr>
          <w:lang w:val="en-US"/>
        </w:rPr>
        <w:t>Space requirements</w:t>
      </w:r>
    </w:p>
    <w:p w14:paraId="0010003E" w14:textId="0010003F" w:rsidR="00A63591" w:rsidRDefault="00A63591" w:rsidP="00135C9E">
      <w:pPr>
        <w:jc w:val="both"/>
      </w:pPr>
    </w:p>
    <w:p w14:paraId="00100040" w14:textId="00100042" w:rsidR="00A63591" w:rsidRDefault="00135C9E" w:rsidP="00135C9E">
      <w:pPr>
        <w:pStyle w:val="Heading1"/>
        <w:jc w:val="both"/>
      </w:pPr>
      <w:r>
        <w:rPr>
          <w:b/>
        </w:rPr>
        <w:t>Main Responsibilities of the Director of Food and Beverage</w:t>
      </w:r>
    </w:p>
    <w:p w14:paraId="00100043" w14:textId="00100045" w:rsidR="00A63591" w:rsidRDefault="00135C9E" w:rsidP="00135C9E">
      <w:pPr>
        <w:spacing w:after="120" w:line="276" w:lineRule="auto"/>
        <w:jc w:val="both"/>
      </w:pPr>
      <w:r>
        <w:t>The Director of Food and Beverage (F&amp;B) in a hotel is responsible for the strategic planning, operational execution, and financial performance of all food and beverage outlets. These outlets includ</w:t>
      </w:r>
      <w:r>
        <w:t>e restaurants, bars, banquets, room service, and kitchens. The role combines administrative oversight with operational leadership to ensure that the F&amp;B division supports the hotel's overall profitability and brand standards (Hayes &amp; Ninemeier, 2009).</w:t>
      </w:r>
    </w:p>
    <w:p w14:paraId="00100046" w14:textId="00100048" w:rsidR="00A63591" w:rsidRDefault="00135C9E" w:rsidP="00135C9E">
      <w:pPr>
        <w:spacing w:after="120" w:line="276" w:lineRule="auto"/>
        <w:jc w:val="both"/>
      </w:pPr>
      <w:r>
        <w:t>Firs</w:t>
      </w:r>
      <w:r>
        <w:t>t, financial management is a primary responsibility. The director establishes budgets, forecasts revenues, and monitors key cost metrics, particularly food and labor costs. Dopson and Hayes (2015) state that controlling these expenses is necessary for main</w:t>
      </w:r>
      <w:r>
        <w:t xml:space="preserve">taining profitability in hotel operations. The director analyzes cost-of-goods-sold (COGS) reports, </w:t>
      </w:r>
      <w:r>
        <w:lastRenderedPageBreak/>
        <w:t>implements pricing strategies for menus, and establishes inventory controls to minimize waste and theft.</w:t>
      </w:r>
    </w:p>
    <w:p w14:paraId="00100049" w14:textId="0010004B" w:rsidR="00A63591" w:rsidRDefault="00135C9E" w:rsidP="00135C9E">
      <w:pPr>
        <w:spacing w:after="120" w:line="276" w:lineRule="auto"/>
        <w:jc w:val="both"/>
      </w:pPr>
      <w:r>
        <w:t>Second, the director oversees operational leadershi</w:t>
      </w:r>
      <w:r>
        <w:t xml:space="preserve">p and quality assurance. This involves setting and maintaining standard operating procedures (SOPs) for both front-of-house service and back-of-house food production. The director ensures compliance with local health regulations and food safety standards, </w:t>
      </w:r>
      <w:r>
        <w:t>such as Hazard Analysis Critical Control Point (HACCP) systems (Ninemeier, 2015). Regular audits of food quality, service speed, and hygiene are conducted under their supervision to maintain guest satisfaction.</w:t>
      </w:r>
    </w:p>
    <w:p w14:paraId="0010004C" w14:textId="0010004E" w:rsidR="00A63591" w:rsidRDefault="00135C9E" w:rsidP="00135C9E">
      <w:pPr>
        <w:spacing w:after="120" w:line="276" w:lineRule="auto"/>
        <w:jc w:val="both"/>
      </w:pPr>
      <w:r>
        <w:t>Third, human resource management occupies a s</w:t>
      </w:r>
      <w:r>
        <w:t>ignificant portion of the director's time. The director coordinates the hiring, training, and scheduling of staff across multiple departments. Given the high turnover rates in the hospitality industry, developing effective training programs and encouraging</w:t>
      </w:r>
      <w:r>
        <w:t xml:space="preserve"> employee retention are key management tasks.</w:t>
      </w:r>
    </w:p>
    <w:p w14:paraId="0010004F" w14:textId="00100051" w:rsidR="00A63591" w:rsidRDefault="00135C9E" w:rsidP="00135C9E">
      <w:pPr>
        <w:spacing w:after="120" w:line="276" w:lineRule="auto"/>
        <w:jc w:val="both"/>
      </w:pPr>
      <w:r>
        <w:t>Lastly, the director drives strategic marketing and vendor relations. This includes collaborating with executive chefs on menu engineering, planning promotional events, and negotiating contracts with food and b</w:t>
      </w:r>
      <w:r>
        <w:t>everage suppliers to secure favorable pricing and quality. By balancing these financial, operational, and managerial duties, the director ensures the F&amp;B department contributes to the hotel's net operating income.</w:t>
      </w:r>
    </w:p>
    <w:p w14:paraId="00100052" w14:textId="00100053" w:rsidR="00A63591" w:rsidRDefault="00A63591" w:rsidP="00135C9E">
      <w:pPr>
        <w:jc w:val="both"/>
      </w:pPr>
    </w:p>
    <w:p w14:paraId="00100054" w14:textId="00100056" w:rsidR="00A63591" w:rsidRDefault="00135C9E" w:rsidP="00135C9E">
      <w:pPr>
        <w:pStyle w:val="Heading1"/>
        <w:jc w:val="both"/>
      </w:pPr>
      <w:r>
        <w:rPr>
          <w:b/>
        </w:rPr>
        <w:t>Right-Sizing in Hotel Food and Beverage O</w:t>
      </w:r>
      <w:r>
        <w:rPr>
          <w:b/>
        </w:rPr>
        <w:t>perations</w:t>
      </w:r>
    </w:p>
    <w:p w14:paraId="00100057" w14:textId="00100059" w:rsidR="00A63591" w:rsidRDefault="00135C9E" w:rsidP="00135C9E">
      <w:pPr>
        <w:spacing w:after="120" w:line="276" w:lineRule="auto"/>
        <w:jc w:val="both"/>
      </w:pPr>
      <w:r>
        <w:t>Right-sizing in hotel food and beverage operations refers to the strategic adjustment of resources, including labor, menu offerings, physical space, and operating hours, to align precisely with actual guest demand. Unlike traditional cost-cutting</w:t>
      </w:r>
      <w:r>
        <w:t>, which often diminishes service quality, right-sizing focuses on optimizing operational efficiency to maximize profitability while maintaining brand standards (Reynolds &amp; Basso, 2019).</w:t>
      </w:r>
    </w:p>
    <w:p w14:paraId="0010005A" w14:textId="0010005C" w:rsidR="00A63591" w:rsidRDefault="00135C9E" w:rsidP="00135C9E">
      <w:pPr>
        <w:spacing w:after="120" w:line="276" w:lineRule="auto"/>
        <w:jc w:val="both"/>
      </w:pPr>
      <w:r>
        <w:t>Labor optimization is a central element of right-sizing. F&amp;B labor cos</w:t>
      </w:r>
      <w:r>
        <w:t>ts are highly volatile and difficult to manage. To align labor with occupancy, directors use demand-based scheduling, which utilizes hotel room occupancy forecasts to determine staffing levels in restaurants and banquet halls. Dittmer and Keefe (2008) emph</w:t>
      </w:r>
      <w:r>
        <w:t>asize that cross-training employees is an effective right-sizing tactic. When staff are trained to work in multiple roles, such as a bartender who can also serve tables or a banquet host who can assist in room service, the hotel can reduce overall headcoun</w:t>
      </w:r>
      <w:r>
        <w:t>t while maintaining service coverage during peak hours.</w:t>
      </w:r>
    </w:p>
    <w:p w14:paraId="0010005D" w14:textId="0010005F" w:rsidR="00A63591" w:rsidRDefault="00135C9E" w:rsidP="00135C9E">
      <w:pPr>
        <w:spacing w:after="120" w:line="276" w:lineRule="auto"/>
        <w:jc w:val="both"/>
      </w:pPr>
      <w:r>
        <w:t>Another key component is menu engineering and inventory rationalization. Long, complex menus require extensive inventory, which increases holding costs and leads to high food waste. Right-sizing the m</w:t>
      </w:r>
      <w:r>
        <w:t>enu involves streamlining selections to focus on high-margin, high-demand items while eliminating unpopular dishes (Kotschevar &amp; Escoffier, 2007). This reduction in menu size simplifies kitchen operations, speeds up preparation times, and lowers raw ingred</w:t>
      </w:r>
      <w:r>
        <w:t>ient costs.</w:t>
      </w:r>
    </w:p>
    <w:p w14:paraId="00100060" w14:textId="00100062" w:rsidR="00A63591" w:rsidRDefault="00135C9E" w:rsidP="00135C9E">
      <w:pPr>
        <w:spacing w:after="120" w:line="276" w:lineRule="auto"/>
        <w:jc w:val="both"/>
      </w:pPr>
      <w:r>
        <w:lastRenderedPageBreak/>
        <w:t>Finally, space allocation is part of right-sizing. Underperforming sit-down restaurants are often converted into grab-and-go markets, self-service pantries, or co-working spaces that require fewer staff and generate higher revenue per square fo</w:t>
      </w:r>
      <w:r>
        <w:t>ot (Miller &amp; Hayes, 2008). Additionally, consolidating multiple kitchen spaces into a single preparation kitchen during low-occupancy periods helps reduce utility and maintenance expenses. Through these adjustments in labor, menus, and facilities, right-si</w:t>
      </w:r>
      <w:r>
        <w:t>zing helps hotels eliminate waste and maintain a flexible cost structure.</w:t>
      </w:r>
    </w:p>
    <w:p w14:paraId="00100063" w14:textId="00100064" w:rsidR="00A63591" w:rsidRDefault="00A63591" w:rsidP="00135C9E">
      <w:pPr>
        <w:jc w:val="both"/>
      </w:pPr>
    </w:p>
    <w:p w14:paraId="00100065" w14:textId="00100067" w:rsidR="00A63591" w:rsidRDefault="00135C9E" w:rsidP="00135C9E">
      <w:pPr>
        <w:pStyle w:val="Heading1"/>
        <w:jc w:val="both"/>
      </w:pPr>
      <w:r>
        <w:rPr>
          <w:b/>
        </w:rPr>
        <w:t>Comparison of Meeting Room Setups</w:t>
      </w:r>
    </w:p>
    <w:p w14:paraId="00100068" w14:textId="0010006A" w:rsidR="00A63591" w:rsidRDefault="00135C9E" w:rsidP="00135C9E">
      <w:pPr>
        <w:spacing w:after="120" w:line="276" w:lineRule="auto"/>
        <w:jc w:val="both"/>
      </w:pPr>
      <w:r>
        <w:t>Meeting room setups in hotels are selected based on the event's objectives, the level of participant interaction required, and the physical constra</w:t>
      </w:r>
      <w:r>
        <w:t>ints of the venue. The three most common setups, theater style, classroom style, and horseshoe style, differ significantly in design, functionality, and space efficiency (Shock &amp; Stefanelli, 2001).</w:t>
      </w:r>
    </w:p>
    <w:p w14:paraId="0010006B" w14:textId="0010006D" w:rsidR="00A63591" w:rsidRDefault="00135C9E" w:rsidP="00135C9E">
      <w:pPr>
        <w:spacing w:after="120" w:line="276" w:lineRule="auto"/>
        <w:jc w:val="both"/>
      </w:pPr>
      <w:r>
        <w:t>Theater style features rows of chairs facing a stage, scre</w:t>
      </w:r>
      <w:r>
        <w:t>en, or presenter, with no tables. The primary advantage of this setup is its capacity efficiency. It maximizes the number of seats in a given area and provides clear lines of sight to the speaker. However, it lacks writing surfaces and discourages interact</w:t>
      </w:r>
      <w:r>
        <w:t>ion among participants. Typical uses include large lectures, keynotes, product launches, and annual general meetings. Space requirements are minimal, generally requiring 10 to 12 square feet per person (Fenich, 2015).</w:t>
      </w:r>
    </w:p>
    <w:p w14:paraId="0010006E" w14:textId="00100070" w:rsidR="00A63591" w:rsidRDefault="00135C9E" w:rsidP="00135C9E">
      <w:pPr>
        <w:spacing w:after="120" w:line="276" w:lineRule="auto"/>
        <w:jc w:val="both"/>
      </w:pPr>
      <w:r>
        <w:t>Classroom style consists of rows of ta</w:t>
      </w:r>
      <w:r>
        <w:t xml:space="preserve">bles, often six feet by 18 inches, with chairs facing the front of the room. This arrangement provides each attendee with a writing surface, making it comfortable for long sessions where participants use laptops, take notes, or refer to handouts. The main </w:t>
      </w:r>
      <w:r>
        <w:t>disadvantage is that it occupies more space than theater style and limits face-to-face interaction between attendees. Typical uses include training workshops, academic testing, and technical seminars. Classroom style requires a medium amount of space, typi</w:t>
      </w:r>
      <w:r>
        <w:t>cally 15 to 20 square feet per person, to accommodate the tables and aisles (Ramsborg, 2015).</w:t>
      </w:r>
    </w:p>
    <w:p w14:paraId="00100071" w14:textId="00100073" w:rsidR="00A63591" w:rsidRDefault="00135C9E" w:rsidP="00135C9E">
      <w:pPr>
        <w:spacing w:after="120" w:line="276" w:lineRule="auto"/>
        <w:jc w:val="both"/>
      </w:pPr>
      <w:r>
        <w:t>Horseshoe style, also called U-shape, arranges tables in a U-shape facing the front of the room, with chairs placed around the outer perimeter. The center remains empty. This setup encourages active discussion and face-to-face interaction among participant</w:t>
      </w:r>
      <w:r>
        <w:t>s while allowing the presenter to walk down the middle and display materials at the front. The disadvantage is its poor space efficiency, as the open center cannot be used for seating. Typical uses include board meetings, interactive workshops, executive c</w:t>
      </w:r>
      <w:r>
        <w:t>ommittee sessions, and small-group discussions. Horseshoe style has the highest space requirement, typically requiring 25 to 35 square feet per person (Montgomery &amp; Strick, 1995).</w:t>
      </w:r>
    </w:p>
    <w:p w14:paraId="00100074" w14:textId="00100076" w:rsidR="00A63591" w:rsidRDefault="00135C9E" w:rsidP="00135C9E">
      <w:pPr>
        <w:spacing w:after="120" w:line="276" w:lineRule="auto"/>
        <w:jc w:val="both"/>
      </w:pPr>
      <w:r>
        <w:t>In summary, theater style maximizes capacity, classroom style balances comfo</w:t>
      </w:r>
      <w:r>
        <w:t>rt with note-taking capacity, and horseshoe style prioritizes collaboration at the cost of space.</w:t>
      </w:r>
    </w:p>
    <w:p w14:paraId="00100077" w14:textId="00100078" w:rsidR="00A63591" w:rsidRDefault="00A63591" w:rsidP="00135C9E">
      <w:pPr>
        <w:jc w:val="both"/>
      </w:pPr>
    </w:p>
    <w:p w14:paraId="00100079" w14:textId="0010007B" w:rsidR="00A63591" w:rsidRDefault="00135C9E" w:rsidP="00135C9E">
      <w:pPr>
        <w:pStyle w:val="Heading1"/>
        <w:jc w:val="both"/>
      </w:pPr>
      <w:r>
        <w:rPr>
          <w:b/>
        </w:rPr>
        <w:lastRenderedPageBreak/>
        <w:t>References</w:t>
      </w:r>
    </w:p>
    <w:p w14:paraId="0010007C" w14:textId="00100080" w:rsidR="00A63591" w:rsidRDefault="00135C9E" w:rsidP="00135C9E">
      <w:pPr>
        <w:spacing w:after="120" w:line="276" w:lineRule="auto"/>
        <w:ind w:left="720" w:hanging="720"/>
        <w:jc w:val="both"/>
      </w:pPr>
      <w:r>
        <w:t xml:space="preserve">Dittmer, P. R., &amp; Keefe, G. R. (2008). </w:t>
      </w:r>
      <w:r>
        <w:rPr>
          <w:i/>
        </w:rPr>
        <w:t>Principles of Food, Beverage, and Labor Cost Controls</w:t>
      </w:r>
      <w:r>
        <w:t>. John Wiley &amp; Sons.</w:t>
      </w:r>
    </w:p>
    <w:p w14:paraId="00100081" w14:textId="00100085" w:rsidR="00A63591" w:rsidRDefault="00135C9E" w:rsidP="00135C9E">
      <w:pPr>
        <w:spacing w:after="120" w:line="276" w:lineRule="auto"/>
        <w:ind w:left="720" w:hanging="720"/>
        <w:jc w:val="both"/>
      </w:pPr>
      <w:r>
        <w:t>Dopson, L. R., &amp; Hayes, D. K. (20</w:t>
      </w:r>
      <w:r>
        <w:t xml:space="preserve">15). </w:t>
      </w:r>
      <w:r>
        <w:rPr>
          <w:i/>
        </w:rPr>
        <w:t>Food and Beverage Cost Control</w:t>
      </w:r>
      <w:r>
        <w:t>. John Wiley &amp; Sons.</w:t>
      </w:r>
    </w:p>
    <w:p w14:paraId="00100086" w14:textId="0010008A" w:rsidR="00A63591" w:rsidRDefault="00135C9E" w:rsidP="00135C9E">
      <w:pPr>
        <w:spacing w:after="120" w:line="276" w:lineRule="auto"/>
        <w:ind w:left="720" w:hanging="720"/>
        <w:jc w:val="both"/>
      </w:pPr>
      <w:r>
        <w:t xml:space="preserve">Fenich, G. G. (2015). </w:t>
      </w:r>
      <w:r>
        <w:rPr>
          <w:i/>
        </w:rPr>
        <w:t>Meetings, Expositions, Events, and Conventions: An Introduction to the Industry</w:t>
      </w:r>
      <w:r>
        <w:t>. Pearson.</w:t>
      </w:r>
    </w:p>
    <w:p w14:paraId="0010008B" w14:textId="0010008F" w:rsidR="00A63591" w:rsidRDefault="00135C9E" w:rsidP="00135C9E">
      <w:pPr>
        <w:spacing w:after="120" w:line="276" w:lineRule="auto"/>
        <w:ind w:left="720" w:hanging="720"/>
        <w:jc w:val="both"/>
      </w:pPr>
      <w:r>
        <w:t xml:space="preserve">Hayes, D. K., &amp; Ninemeier, J. D. (2009). </w:t>
      </w:r>
      <w:r>
        <w:rPr>
          <w:i/>
        </w:rPr>
        <w:t>Hotel Operations Management</w:t>
      </w:r>
      <w:r>
        <w:t>. Pearson Prentice H</w:t>
      </w:r>
      <w:r>
        <w:t>all.</w:t>
      </w:r>
    </w:p>
    <w:p w14:paraId="00100090" w14:textId="00100094" w:rsidR="00A63591" w:rsidRDefault="00135C9E" w:rsidP="00135C9E">
      <w:pPr>
        <w:spacing w:after="120" w:line="276" w:lineRule="auto"/>
        <w:ind w:left="720" w:hanging="720"/>
        <w:jc w:val="both"/>
      </w:pPr>
      <w:r>
        <w:t xml:space="preserve">Kotschevar, L. H., &amp; Escoffier, M. C. (2007). </w:t>
      </w:r>
      <w:r>
        <w:rPr>
          <w:i/>
        </w:rPr>
        <w:t>Management by Menu</w:t>
      </w:r>
      <w:r>
        <w:t>. John Wiley &amp; Sons.</w:t>
      </w:r>
    </w:p>
    <w:p w14:paraId="00100095" w14:textId="00100099" w:rsidR="00A63591" w:rsidRDefault="00135C9E" w:rsidP="00135C9E">
      <w:pPr>
        <w:spacing w:after="120" w:line="276" w:lineRule="auto"/>
        <w:ind w:left="720" w:hanging="720"/>
        <w:jc w:val="both"/>
      </w:pPr>
      <w:r>
        <w:t xml:space="preserve">Miller, J. E., &amp; Hayes, D. K. (2008). </w:t>
      </w:r>
      <w:r>
        <w:rPr>
          <w:i/>
        </w:rPr>
        <w:t>Food and Beverage Cost Control</w:t>
      </w:r>
      <w:r>
        <w:t>. John Wiley &amp; Sons.</w:t>
      </w:r>
    </w:p>
    <w:p w14:paraId="0010009A" w14:textId="0010009E" w:rsidR="00A63591" w:rsidRDefault="00135C9E" w:rsidP="00135C9E">
      <w:pPr>
        <w:spacing w:after="120" w:line="276" w:lineRule="auto"/>
        <w:ind w:left="720" w:hanging="720"/>
        <w:jc w:val="both"/>
      </w:pPr>
      <w:r>
        <w:t xml:space="preserve">Montgomery, R. J., &amp; Strick, S. K. (1995). </w:t>
      </w:r>
      <w:r>
        <w:rPr>
          <w:i/>
        </w:rPr>
        <w:t>Meetings, Expositions, Events, and</w:t>
      </w:r>
      <w:r>
        <w:rPr>
          <w:i/>
        </w:rPr>
        <w:t xml:space="preserve"> Conventions: An Introduction to the Industry</w:t>
      </w:r>
      <w:r>
        <w:t>. Prentice Hall.</w:t>
      </w:r>
    </w:p>
    <w:p w14:paraId="0010009F" w14:textId="001000A3" w:rsidR="00A63591" w:rsidRDefault="00135C9E" w:rsidP="00135C9E">
      <w:pPr>
        <w:spacing w:after="120" w:line="276" w:lineRule="auto"/>
        <w:ind w:left="720" w:hanging="720"/>
        <w:jc w:val="both"/>
      </w:pPr>
      <w:r>
        <w:t xml:space="preserve">Ninemeier, J. D. (2015). </w:t>
      </w:r>
      <w:r>
        <w:rPr>
          <w:i/>
        </w:rPr>
        <w:t>Management of Food and Beverage Operations</w:t>
      </w:r>
      <w:r>
        <w:t>. American Hotel &amp; Lodging Educational Institute.</w:t>
      </w:r>
    </w:p>
    <w:p w14:paraId="001000A4" w14:textId="001000A8" w:rsidR="00A63591" w:rsidRDefault="00135C9E" w:rsidP="00135C9E">
      <w:pPr>
        <w:spacing w:after="120" w:line="276" w:lineRule="auto"/>
        <w:ind w:left="720" w:hanging="720"/>
        <w:jc w:val="both"/>
      </w:pPr>
      <w:r>
        <w:t xml:space="preserve">Ramsborg, G. C. (2015). </w:t>
      </w:r>
      <w:r>
        <w:rPr>
          <w:i/>
        </w:rPr>
        <w:t>Professional Meeting Management</w:t>
      </w:r>
      <w:r>
        <w:t>. Professional Convention Management Association.</w:t>
      </w:r>
    </w:p>
    <w:p w14:paraId="001000A9" w14:textId="001000AD" w:rsidR="00A63591" w:rsidRDefault="00135C9E" w:rsidP="00135C9E">
      <w:pPr>
        <w:spacing w:after="120" w:line="276" w:lineRule="auto"/>
        <w:ind w:left="720" w:hanging="720"/>
        <w:jc w:val="both"/>
      </w:pPr>
      <w:r>
        <w:t xml:space="preserve">Reynolds, D., &amp; Basso, M. (2019). </w:t>
      </w:r>
      <w:r>
        <w:rPr>
          <w:i/>
        </w:rPr>
        <w:t>Food and Beverage Management</w:t>
      </w:r>
      <w:r>
        <w:t>. Routledge.</w:t>
      </w:r>
    </w:p>
    <w:p w14:paraId="001000AE" w14:textId="001000B2" w:rsidR="00A63591" w:rsidRDefault="00135C9E" w:rsidP="00135C9E">
      <w:pPr>
        <w:spacing w:after="120" w:line="276" w:lineRule="auto"/>
        <w:ind w:left="720" w:hanging="720"/>
        <w:jc w:val="both"/>
      </w:pPr>
      <w:r>
        <w:t xml:space="preserve">Shock, P. J., &amp; Stefanelli, J. M. (2001). </w:t>
      </w:r>
      <w:r>
        <w:rPr>
          <w:i/>
        </w:rPr>
        <w:t>Meeting and Convention Layout: A Guide for Planning</w:t>
      </w:r>
      <w:r>
        <w:t xml:space="preserve">. John </w:t>
      </w:r>
      <w:r>
        <w:t>Wiley &amp; Sons.</w:t>
      </w:r>
    </w:p>
    <w:sectPr w:rsidR="00A635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42C978D5-8EF6-4425-940A-1FEF17DEB97E}"/>
    <w:embedBold r:id="rId2" w:fontKey="{0C495FF3-32EA-43BC-A199-F5211E073D43}"/>
    <w:embedItalic r:id="rId3" w:fontKey="{B1F9EBE3-3D47-4451-BAEB-7A40EA7D13E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1A5A75B-773F-4A72-AA86-B97FDE3C3521}"/>
    <w:embedBold r:id="rId5" w:fontKey="{38CB8184-3647-4057-A95F-732D7FD7924A}"/>
  </w:font>
  <w:font w:name="Calibri Light">
    <w:panose1 w:val="020F0302020204030204"/>
    <w:charset w:val="00"/>
    <w:family w:val="swiss"/>
    <w:pitch w:val="variable"/>
    <w:sig w:usb0="E4002EFF" w:usb1="C200247B" w:usb2="00000009" w:usb3="00000000" w:csb0="000001FF" w:csb1="00000000"/>
    <w:embedRegular r:id="rId6" w:fontKey="{E2218671-88AE-4AE7-B782-59512E71F5D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0"/>
  </w:num>
  <w:num w:numId="5">
    <w:abstractNumId w:val="4"/>
  </w:num>
  <w:num w:numId="6">
    <w:abstractNumId w:val="5"/>
  </w:num>
  <w:num w:numId="7">
    <w:abstractNumId w:val="3"/>
  </w:num>
  <w:num w:numId="8">
    <w:abstractNumId w:val="11"/>
  </w:num>
  <w:num w:numId="9">
    <w:abstractNumId w:val="8"/>
  </w:num>
  <w:num w:numId="10">
    <w:abstractNumId w:val="9"/>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35C9E"/>
    <w:rsid w:val="001674E1"/>
    <w:rsid w:val="001700EC"/>
    <w:rsid w:val="00174BB1"/>
    <w:rsid w:val="00224FD9"/>
    <w:rsid w:val="002F4AE0"/>
    <w:rsid w:val="00384E8A"/>
    <w:rsid w:val="003D1074"/>
    <w:rsid w:val="00426865"/>
    <w:rsid w:val="00477CAA"/>
    <w:rsid w:val="004C5A76"/>
    <w:rsid w:val="00502E29"/>
    <w:rsid w:val="005949FB"/>
    <w:rsid w:val="005E458B"/>
    <w:rsid w:val="00794642"/>
    <w:rsid w:val="007C4F78"/>
    <w:rsid w:val="00844EC2"/>
    <w:rsid w:val="008516FE"/>
    <w:rsid w:val="009C1D0A"/>
    <w:rsid w:val="00A044F7"/>
    <w:rsid w:val="00A16DE0"/>
    <w:rsid w:val="00A63591"/>
    <w:rsid w:val="00A8150E"/>
    <w:rsid w:val="00AA0062"/>
    <w:rsid w:val="00B20343"/>
    <w:rsid w:val="00B72487"/>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95EE9"/>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1261</Words>
  <Characters>7194</Characters>
  <Application>Microsoft Office Word</Application>
  <DocSecurity>0</DocSecurity>
  <Lines>59</Lines>
  <Paragraphs>16</Paragraphs>
  <ScaleCrop>false</ScaleCrop>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Pardeep Beniwal</cp:lastModifiedBy>
  <cp:revision>10</cp:revision>
  <dcterms:created xsi:type="dcterms:W3CDTF">2026-04-08T12:12:00Z</dcterms:created>
  <dcterms:modified xsi:type="dcterms:W3CDTF">2026-07-06T17:50:00Z</dcterms:modified>
</cp:coreProperties>
</file>