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1F050" w14:textId="77777777" w:rsidR="00EB3E61" w:rsidRPr="00EB3E61" w:rsidRDefault="00EB3E61" w:rsidP="00EB3E61">
      <w:pPr>
        <w:spacing w:line="480" w:lineRule="auto"/>
        <w:jc w:val="center"/>
        <w:rPr>
          <w:rFonts w:ascii="Times New Roman" w:hAnsi="Times New Roman" w:cs="Times New Roman"/>
          <w:b/>
          <w:bCs/>
        </w:rPr>
      </w:pPr>
      <w:r w:rsidRPr="00EB3E61">
        <w:rPr>
          <w:rFonts w:ascii="Times New Roman" w:hAnsi="Times New Roman" w:cs="Times New Roman"/>
          <w:b/>
          <w:bCs/>
        </w:rPr>
        <w:t>M10 – Strategic Sales Management</w:t>
      </w:r>
    </w:p>
    <w:p w14:paraId="13DCDE38" w14:textId="77777777" w:rsidR="00EB3E61" w:rsidRPr="00EB3E61" w:rsidRDefault="00EB3E61" w:rsidP="00EB3E61">
      <w:pPr>
        <w:spacing w:line="480" w:lineRule="auto"/>
        <w:jc w:val="center"/>
        <w:rPr>
          <w:rFonts w:ascii="Times New Roman" w:hAnsi="Times New Roman" w:cs="Times New Roman"/>
          <w:b/>
          <w:bCs/>
        </w:rPr>
      </w:pPr>
      <w:r w:rsidRPr="00EB3E61">
        <w:rPr>
          <w:rFonts w:ascii="Times New Roman" w:hAnsi="Times New Roman" w:cs="Times New Roman"/>
          <w:b/>
          <w:bCs/>
        </w:rPr>
        <w:t>Strategic Sales Planning and Competitive Advantage: A Critical Analysis of Microsoft Corporation</w:t>
      </w:r>
    </w:p>
    <w:p w14:paraId="1B45C3D1" w14:textId="51025531" w:rsidR="00EB3E61" w:rsidRDefault="00EB3E61" w:rsidP="00EB3E61">
      <w:pPr>
        <w:spacing w:line="480" w:lineRule="auto"/>
        <w:jc w:val="center"/>
        <w:rPr>
          <w:rFonts w:ascii="Times New Roman" w:hAnsi="Times New Roman" w:cs="Times New Roman"/>
          <w:b/>
          <w:bCs/>
        </w:rPr>
      </w:pPr>
      <w:r w:rsidRPr="00EB3E61">
        <w:rPr>
          <w:rFonts w:ascii="Times New Roman" w:hAnsi="Times New Roman" w:cs="Times New Roman"/>
          <w:b/>
          <w:bCs/>
        </w:rPr>
        <w:t>Module:</w:t>
      </w:r>
      <w:r w:rsidRPr="00EB3E61">
        <w:rPr>
          <w:rFonts w:ascii="Times New Roman" w:hAnsi="Times New Roman" w:cs="Times New Roman"/>
        </w:rPr>
        <w:t xml:space="preserve"> M10 – Strategic Sales Management</w:t>
      </w:r>
      <w:r w:rsidRPr="00EB3E61">
        <w:rPr>
          <w:rFonts w:ascii="Times New Roman" w:hAnsi="Times New Roman" w:cs="Times New Roman"/>
        </w:rPr>
        <w:br/>
      </w:r>
      <w:r w:rsidRPr="00EB3E61">
        <w:rPr>
          <w:rFonts w:ascii="Times New Roman" w:hAnsi="Times New Roman" w:cs="Times New Roman"/>
          <w:b/>
          <w:bCs/>
        </w:rPr>
        <w:t>Assignment Option:</w:t>
      </w:r>
      <w:r w:rsidRPr="00EB3E61">
        <w:rPr>
          <w:rFonts w:ascii="Times New Roman" w:hAnsi="Times New Roman" w:cs="Times New Roman"/>
        </w:rPr>
        <w:t xml:space="preserve"> Option 1 – Strategic Sales Planning and Competitive Advantage</w:t>
      </w:r>
      <w:r w:rsidRPr="00EB3E61">
        <w:rPr>
          <w:rFonts w:ascii="Times New Roman" w:hAnsi="Times New Roman" w:cs="Times New Roman"/>
        </w:rPr>
        <w:br/>
      </w:r>
      <w:r w:rsidRPr="00EB3E61">
        <w:rPr>
          <w:rFonts w:ascii="Times New Roman" w:hAnsi="Times New Roman" w:cs="Times New Roman"/>
          <w:b/>
          <w:bCs/>
        </w:rPr>
        <w:t>Organisation:</w:t>
      </w:r>
      <w:r w:rsidRPr="00EB3E61">
        <w:rPr>
          <w:rFonts w:ascii="Times New Roman" w:hAnsi="Times New Roman" w:cs="Times New Roman"/>
        </w:rPr>
        <w:t xml:space="preserve"> Microsoft Corporation</w:t>
      </w:r>
      <w:r w:rsidRPr="00EB3E61">
        <w:rPr>
          <w:rFonts w:ascii="Times New Roman" w:hAnsi="Times New Roman" w:cs="Times New Roman"/>
        </w:rPr>
        <w:br/>
      </w:r>
    </w:p>
    <w:p w14:paraId="329E497D" w14:textId="77777777" w:rsidR="00EB3E61" w:rsidRDefault="00EB3E61" w:rsidP="00EB3E61">
      <w:pPr>
        <w:rPr>
          <w:rFonts w:ascii="Times New Roman" w:hAnsi="Times New Roman" w:cs="Times New Roman"/>
          <w:b/>
          <w:bCs/>
        </w:rPr>
      </w:pPr>
    </w:p>
    <w:p w14:paraId="34AC3403" w14:textId="77777777" w:rsidR="00EB3E61" w:rsidRDefault="00EB3E61" w:rsidP="00EB3E61">
      <w:pPr>
        <w:rPr>
          <w:rFonts w:ascii="Times New Roman" w:hAnsi="Times New Roman" w:cs="Times New Roman"/>
          <w:b/>
          <w:bCs/>
        </w:rPr>
      </w:pPr>
    </w:p>
    <w:p w14:paraId="30E8F784" w14:textId="77777777" w:rsidR="00EB3E61" w:rsidRDefault="00EB3E61" w:rsidP="00EB3E61">
      <w:pPr>
        <w:rPr>
          <w:rFonts w:ascii="Times New Roman" w:hAnsi="Times New Roman" w:cs="Times New Roman"/>
          <w:b/>
          <w:bCs/>
        </w:rPr>
      </w:pPr>
    </w:p>
    <w:p w14:paraId="78FA8E67" w14:textId="77777777" w:rsidR="00EB3E61" w:rsidRDefault="00EB3E61" w:rsidP="00EB3E61">
      <w:pPr>
        <w:rPr>
          <w:rFonts w:ascii="Times New Roman" w:hAnsi="Times New Roman" w:cs="Times New Roman"/>
          <w:b/>
          <w:bCs/>
        </w:rPr>
      </w:pPr>
    </w:p>
    <w:p w14:paraId="14D909A7" w14:textId="77777777" w:rsidR="00EB3E61" w:rsidRDefault="00EB3E61" w:rsidP="00EB3E61">
      <w:pPr>
        <w:rPr>
          <w:rFonts w:ascii="Times New Roman" w:hAnsi="Times New Roman" w:cs="Times New Roman"/>
          <w:b/>
          <w:bCs/>
        </w:rPr>
      </w:pPr>
    </w:p>
    <w:p w14:paraId="62D49B96" w14:textId="77777777" w:rsidR="00EB3E61" w:rsidRDefault="00EB3E61" w:rsidP="00EB3E61">
      <w:pPr>
        <w:rPr>
          <w:rFonts w:ascii="Times New Roman" w:hAnsi="Times New Roman" w:cs="Times New Roman"/>
          <w:b/>
          <w:bCs/>
        </w:rPr>
      </w:pPr>
    </w:p>
    <w:p w14:paraId="6B14166B" w14:textId="77777777" w:rsidR="00EB3E61" w:rsidRDefault="00EB3E61" w:rsidP="00EB3E61">
      <w:pPr>
        <w:rPr>
          <w:rFonts w:ascii="Times New Roman" w:hAnsi="Times New Roman" w:cs="Times New Roman"/>
          <w:b/>
          <w:bCs/>
        </w:rPr>
      </w:pPr>
    </w:p>
    <w:p w14:paraId="119F7C23" w14:textId="77777777" w:rsidR="00EB3E61" w:rsidRDefault="00EB3E61" w:rsidP="00EB3E61">
      <w:pPr>
        <w:rPr>
          <w:rFonts w:ascii="Times New Roman" w:hAnsi="Times New Roman" w:cs="Times New Roman"/>
          <w:b/>
          <w:bCs/>
        </w:rPr>
      </w:pPr>
    </w:p>
    <w:p w14:paraId="34C4DE67" w14:textId="77777777" w:rsidR="00EB3E61" w:rsidRDefault="00EB3E61" w:rsidP="00EB3E61">
      <w:pPr>
        <w:rPr>
          <w:rFonts w:ascii="Times New Roman" w:hAnsi="Times New Roman" w:cs="Times New Roman"/>
          <w:b/>
          <w:bCs/>
        </w:rPr>
      </w:pPr>
    </w:p>
    <w:p w14:paraId="0E91D553" w14:textId="77777777" w:rsidR="00EB3E61" w:rsidRDefault="00EB3E61" w:rsidP="00EB3E61">
      <w:pPr>
        <w:rPr>
          <w:rFonts w:ascii="Times New Roman" w:hAnsi="Times New Roman" w:cs="Times New Roman"/>
          <w:b/>
          <w:bCs/>
        </w:rPr>
      </w:pPr>
    </w:p>
    <w:p w14:paraId="3730C405" w14:textId="77777777" w:rsidR="00EB3E61" w:rsidRDefault="00EB3E61" w:rsidP="00EB3E61">
      <w:pPr>
        <w:rPr>
          <w:rFonts w:ascii="Times New Roman" w:hAnsi="Times New Roman" w:cs="Times New Roman"/>
          <w:b/>
          <w:bCs/>
        </w:rPr>
      </w:pPr>
    </w:p>
    <w:p w14:paraId="03A85047" w14:textId="77777777" w:rsidR="00EB3E61" w:rsidRDefault="00EB3E61" w:rsidP="00EB3E61">
      <w:pPr>
        <w:rPr>
          <w:rFonts w:ascii="Times New Roman" w:hAnsi="Times New Roman" w:cs="Times New Roman"/>
          <w:b/>
          <w:bCs/>
        </w:rPr>
      </w:pPr>
    </w:p>
    <w:p w14:paraId="3DFCF95B" w14:textId="77777777" w:rsidR="00EB3E61" w:rsidRDefault="00EB3E61" w:rsidP="00EB3E61">
      <w:pPr>
        <w:rPr>
          <w:rFonts w:ascii="Times New Roman" w:hAnsi="Times New Roman" w:cs="Times New Roman"/>
          <w:b/>
          <w:bCs/>
        </w:rPr>
      </w:pPr>
    </w:p>
    <w:p w14:paraId="191DD10E" w14:textId="77777777" w:rsidR="00EB3E61" w:rsidRDefault="00EB3E61" w:rsidP="00EB3E61">
      <w:pPr>
        <w:rPr>
          <w:rFonts w:ascii="Times New Roman" w:hAnsi="Times New Roman" w:cs="Times New Roman"/>
          <w:b/>
          <w:bCs/>
        </w:rPr>
      </w:pPr>
    </w:p>
    <w:p w14:paraId="507A2D34" w14:textId="77777777" w:rsidR="00EB3E61" w:rsidRDefault="00EB3E61" w:rsidP="00EB3E61">
      <w:pPr>
        <w:rPr>
          <w:rFonts w:ascii="Times New Roman" w:hAnsi="Times New Roman" w:cs="Times New Roman"/>
          <w:b/>
          <w:bCs/>
        </w:rPr>
      </w:pPr>
    </w:p>
    <w:p w14:paraId="25E424FC" w14:textId="77777777" w:rsidR="00EB3E61" w:rsidRDefault="00EB3E61" w:rsidP="00EB3E61">
      <w:pPr>
        <w:rPr>
          <w:rFonts w:ascii="Times New Roman" w:hAnsi="Times New Roman" w:cs="Times New Roman"/>
          <w:b/>
          <w:bCs/>
        </w:rPr>
      </w:pPr>
    </w:p>
    <w:p w14:paraId="1017053B" w14:textId="77777777" w:rsidR="00EB3E61" w:rsidRPr="00EB3E61" w:rsidRDefault="00EB3E61" w:rsidP="00EB3E61">
      <w:pPr>
        <w:rPr>
          <w:rFonts w:ascii="Times New Roman" w:hAnsi="Times New Roman" w:cs="Times New Roman"/>
        </w:rPr>
      </w:pPr>
    </w:p>
    <w:p w14:paraId="5E75E89D" w14:textId="3C382579" w:rsidR="00EB3E61" w:rsidRPr="00EB3E61" w:rsidRDefault="00EB3E61" w:rsidP="00EB3E61">
      <w:pPr>
        <w:rPr>
          <w:rFonts w:ascii="Times New Roman" w:hAnsi="Times New Roman" w:cs="Times New Roman"/>
        </w:rPr>
      </w:pPr>
    </w:p>
    <w:p w14:paraId="6C69B802"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Table of Contents</w:t>
      </w:r>
    </w:p>
    <w:p w14:paraId="2EC510ED"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Abstract </w:t>
      </w:r>
    </w:p>
    <w:p w14:paraId="592712A9"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Introduction </w:t>
      </w:r>
    </w:p>
    <w:p w14:paraId="4B03D0EF"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Literature Review</w:t>
      </w:r>
      <w:r w:rsidRPr="00EB3E61">
        <w:rPr>
          <w:rFonts w:ascii="Times New Roman" w:hAnsi="Times New Roman" w:cs="Times New Roman"/>
        </w:rPr>
        <w:br/>
        <w:t>3.1 Strategic Sales Management and Organisational Goals</w:t>
      </w:r>
      <w:r w:rsidRPr="00EB3E61">
        <w:rPr>
          <w:rFonts w:ascii="Times New Roman" w:hAnsi="Times New Roman" w:cs="Times New Roman"/>
        </w:rPr>
        <w:br/>
        <w:t>3.2 Sales and Marketing Strategy Integration</w:t>
      </w:r>
      <w:r w:rsidRPr="00EB3E61">
        <w:rPr>
          <w:rFonts w:ascii="Times New Roman" w:hAnsi="Times New Roman" w:cs="Times New Roman"/>
        </w:rPr>
        <w:br/>
        <w:t>3.3 Customer Value and Value-Based Selling</w:t>
      </w:r>
      <w:r w:rsidRPr="00EB3E61">
        <w:rPr>
          <w:rFonts w:ascii="Times New Roman" w:hAnsi="Times New Roman" w:cs="Times New Roman"/>
        </w:rPr>
        <w:br/>
        <w:t>3.4 Sales Planning and Resource Allocation</w:t>
      </w:r>
      <w:r w:rsidRPr="00EB3E61">
        <w:rPr>
          <w:rFonts w:ascii="Times New Roman" w:hAnsi="Times New Roman" w:cs="Times New Roman"/>
        </w:rPr>
        <w:br/>
        <w:t>3.5 Sales Forecasting and Decision-Making</w:t>
      </w:r>
      <w:r w:rsidRPr="00EB3E61">
        <w:rPr>
          <w:rFonts w:ascii="Times New Roman" w:hAnsi="Times New Roman" w:cs="Times New Roman"/>
        </w:rPr>
        <w:br/>
        <w:t>3.6 Customer Relationship and Key Account Management</w:t>
      </w:r>
      <w:r w:rsidRPr="00EB3E61">
        <w:rPr>
          <w:rFonts w:ascii="Times New Roman" w:hAnsi="Times New Roman" w:cs="Times New Roman"/>
        </w:rPr>
        <w:br/>
        <w:t xml:space="preserve">3.7 Digital Transformation of Sales </w:t>
      </w:r>
    </w:p>
    <w:p w14:paraId="6C733E1C"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Strategic Analysis and Methodology</w:t>
      </w:r>
      <w:r w:rsidRPr="00EB3E61">
        <w:rPr>
          <w:rFonts w:ascii="Times New Roman" w:hAnsi="Times New Roman" w:cs="Times New Roman"/>
        </w:rPr>
        <w:br/>
        <w:t>4.1 Research Approach</w:t>
      </w:r>
      <w:r w:rsidRPr="00EB3E61">
        <w:rPr>
          <w:rFonts w:ascii="Times New Roman" w:hAnsi="Times New Roman" w:cs="Times New Roman"/>
        </w:rPr>
        <w:br/>
        <w:t>4.2 Microsoft Business and Sales Context</w:t>
      </w:r>
      <w:r w:rsidRPr="00EB3E61">
        <w:rPr>
          <w:rFonts w:ascii="Times New Roman" w:hAnsi="Times New Roman" w:cs="Times New Roman"/>
        </w:rPr>
        <w:br/>
        <w:t xml:space="preserve">4.3 Analytical Framework </w:t>
      </w:r>
    </w:p>
    <w:p w14:paraId="1C22977C"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Findings and Analysis</w:t>
      </w:r>
      <w:r w:rsidRPr="00EB3E61">
        <w:rPr>
          <w:rFonts w:ascii="Times New Roman" w:hAnsi="Times New Roman" w:cs="Times New Roman"/>
        </w:rPr>
        <w:br/>
        <w:t>5.1 Microsoft's Strategic Sales Model</w:t>
      </w:r>
      <w:r w:rsidRPr="00EB3E61">
        <w:rPr>
          <w:rFonts w:ascii="Times New Roman" w:hAnsi="Times New Roman" w:cs="Times New Roman"/>
        </w:rPr>
        <w:br/>
        <w:t>5.2 Market Analysis and Customer Segmentation</w:t>
      </w:r>
      <w:r w:rsidRPr="00EB3E61">
        <w:rPr>
          <w:rFonts w:ascii="Times New Roman" w:hAnsi="Times New Roman" w:cs="Times New Roman"/>
        </w:rPr>
        <w:br/>
        <w:t>5.3 Sales Targets and Performance Management</w:t>
      </w:r>
      <w:r w:rsidRPr="00EB3E61">
        <w:rPr>
          <w:rFonts w:ascii="Times New Roman" w:hAnsi="Times New Roman" w:cs="Times New Roman"/>
        </w:rPr>
        <w:br/>
        <w:t>5.4 Territory and Resource Planning</w:t>
      </w:r>
      <w:r w:rsidRPr="00EB3E61">
        <w:rPr>
          <w:rFonts w:ascii="Times New Roman" w:hAnsi="Times New Roman" w:cs="Times New Roman"/>
        </w:rPr>
        <w:br/>
        <w:t>5.5 Sales Forecasting</w:t>
      </w:r>
      <w:r w:rsidRPr="00EB3E61">
        <w:rPr>
          <w:rFonts w:ascii="Times New Roman" w:hAnsi="Times New Roman" w:cs="Times New Roman"/>
        </w:rPr>
        <w:br/>
        <w:t>5.6 Customer Value Creation</w:t>
      </w:r>
      <w:r w:rsidRPr="00EB3E61">
        <w:rPr>
          <w:rFonts w:ascii="Times New Roman" w:hAnsi="Times New Roman" w:cs="Times New Roman"/>
        </w:rPr>
        <w:br/>
        <w:t>5.7 Key Account and Relationship Management</w:t>
      </w:r>
      <w:r w:rsidRPr="00EB3E61">
        <w:rPr>
          <w:rFonts w:ascii="Times New Roman" w:hAnsi="Times New Roman" w:cs="Times New Roman"/>
        </w:rPr>
        <w:br/>
        <w:t>5.8 Digital and AI-Enabled Selling</w:t>
      </w:r>
      <w:r w:rsidRPr="00EB3E61">
        <w:rPr>
          <w:rFonts w:ascii="Times New Roman" w:hAnsi="Times New Roman" w:cs="Times New Roman"/>
        </w:rPr>
        <w:br/>
        <w:t xml:space="preserve">5.9 Competitive Pressures and Changing Customer Expectations </w:t>
      </w:r>
    </w:p>
    <w:p w14:paraId="761A2551"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Discussion</w:t>
      </w:r>
      <w:r w:rsidRPr="00EB3E61">
        <w:rPr>
          <w:rFonts w:ascii="Times New Roman" w:hAnsi="Times New Roman" w:cs="Times New Roman"/>
        </w:rPr>
        <w:br/>
        <w:t>6.1 Contribution of Sales Strategy to Competitive Advantage</w:t>
      </w:r>
      <w:r w:rsidRPr="00EB3E61">
        <w:rPr>
          <w:rFonts w:ascii="Times New Roman" w:hAnsi="Times New Roman" w:cs="Times New Roman"/>
        </w:rPr>
        <w:br/>
        <w:t>6.2 Sales and Marketing Alignment</w:t>
      </w:r>
      <w:r w:rsidRPr="00EB3E61">
        <w:rPr>
          <w:rFonts w:ascii="Times New Roman" w:hAnsi="Times New Roman" w:cs="Times New Roman"/>
        </w:rPr>
        <w:br/>
        <w:t>6.3 Customer Lifetime Value and Recurring Revenue</w:t>
      </w:r>
      <w:r w:rsidRPr="00EB3E61">
        <w:rPr>
          <w:rFonts w:ascii="Times New Roman" w:hAnsi="Times New Roman" w:cs="Times New Roman"/>
        </w:rPr>
        <w:br/>
        <w:t xml:space="preserve">6.4 Critical Challenges and Limitations </w:t>
      </w:r>
    </w:p>
    <w:p w14:paraId="64169A3F"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Recommendations </w:t>
      </w:r>
    </w:p>
    <w:p w14:paraId="52284C9C"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Conclusion </w:t>
      </w:r>
    </w:p>
    <w:p w14:paraId="6F0FE1D3"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References </w:t>
      </w:r>
    </w:p>
    <w:p w14:paraId="4F573DBC" w14:textId="77777777" w:rsidR="00EB3E61" w:rsidRPr="00EB3E61" w:rsidRDefault="00EB3E61" w:rsidP="00EB3E61">
      <w:pPr>
        <w:numPr>
          <w:ilvl w:val="0"/>
          <w:numId w:val="4"/>
        </w:numPr>
        <w:rPr>
          <w:rFonts w:ascii="Times New Roman" w:hAnsi="Times New Roman" w:cs="Times New Roman"/>
        </w:rPr>
      </w:pPr>
      <w:r w:rsidRPr="00EB3E61">
        <w:rPr>
          <w:rFonts w:ascii="Times New Roman" w:hAnsi="Times New Roman" w:cs="Times New Roman"/>
        </w:rPr>
        <w:t xml:space="preserve">Appendices </w:t>
      </w:r>
    </w:p>
    <w:p w14:paraId="60E8264B" w14:textId="3C6BAE64" w:rsidR="00EB3E61" w:rsidRPr="00EB3E61" w:rsidRDefault="00EB3E61" w:rsidP="00EB3E61">
      <w:pPr>
        <w:rPr>
          <w:rFonts w:ascii="Times New Roman" w:hAnsi="Times New Roman" w:cs="Times New Roman"/>
        </w:rPr>
      </w:pPr>
    </w:p>
    <w:p w14:paraId="4511F2A6"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1. Abstract</w:t>
      </w:r>
    </w:p>
    <w:p w14:paraId="5C96974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Strategic sales management has evolved beyond supervising salespeople and achieving short-term revenue targets. In technology markets, sales management increasingly integrates customer segmentation, relationship development, value creation, forecasting, digital technologies and cross-functional coordination to generate sustainable competitive advantage. This report critically examines these issues through the case of Microsoft Corporation. A qualitative case-study methodology based on secondary academic and corporate evidence is adopted. The analysis considers the relationship between sales strategy and organisational goals, sales-marketing integration, customer value, sales planning, forecasting, key-account management and digital transformation. Microsoft provides an important case because its transition toward cloud, subscription and artificial-intelligence services has increased the strategic importance of recurring customer relationships and solution-based selling. Microsoft's FY2026 Cloud revenue reached $214.4 billion, while commercial remaining performance obligations reached $678 billion. The findings suggest that Microsoft's ecosystem, enterprise relationships, integrated product portfolio, subscription model and data capabilities reinforce its sales strategy. However, increasing technological complexity, competition, customer concerns regarding AI adoption and sales-marketing coordination create continuing challenges. The report recommends stronger AI-assisted forecasting, customer-outcome-based sales metrics, account-level value measurement, improved sales-marketing integration, enhanced salesperson AI capabilities and differentiated territory planning. Overall, the analysis demonstrates that sustainable sales performance depends on combining technology with customer-oriented human judgement rather than treating sales technology as a substitute for strategic relationship management.</w:t>
      </w:r>
    </w:p>
    <w:p w14:paraId="1835875C" w14:textId="0A0DF9D0" w:rsidR="00EB3E61" w:rsidRDefault="00EB3E61" w:rsidP="00EB3E61">
      <w:pPr>
        <w:rPr>
          <w:rFonts w:ascii="Times New Roman" w:hAnsi="Times New Roman" w:cs="Times New Roman"/>
        </w:rPr>
      </w:pPr>
    </w:p>
    <w:p w14:paraId="7B89826B" w14:textId="77777777" w:rsidR="00EB3E61" w:rsidRDefault="00EB3E61" w:rsidP="00EB3E61">
      <w:pPr>
        <w:rPr>
          <w:rFonts w:ascii="Times New Roman" w:hAnsi="Times New Roman" w:cs="Times New Roman"/>
        </w:rPr>
      </w:pPr>
    </w:p>
    <w:p w14:paraId="47A36D79" w14:textId="77777777" w:rsidR="00EB3E61" w:rsidRDefault="00EB3E61" w:rsidP="00EB3E61">
      <w:pPr>
        <w:rPr>
          <w:rFonts w:ascii="Times New Roman" w:hAnsi="Times New Roman" w:cs="Times New Roman"/>
        </w:rPr>
      </w:pPr>
    </w:p>
    <w:p w14:paraId="4AD6AC7E" w14:textId="77777777" w:rsidR="00EB3E61" w:rsidRDefault="00EB3E61" w:rsidP="00EB3E61">
      <w:pPr>
        <w:rPr>
          <w:rFonts w:ascii="Times New Roman" w:hAnsi="Times New Roman" w:cs="Times New Roman"/>
        </w:rPr>
      </w:pPr>
    </w:p>
    <w:p w14:paraId="40D09E5E" w14:textId="77777777" w:rsidR="00EB3E61" w:rsidRDefault="00EB3E61" w:rsidP="00EB3E61">
      <w:pPr>
        <w:rPr>
          <w:rFonts w:ascii="Times New Roman" w:hAnsi="Times New Roman" w:cs="Times New Roman"/>
        </w:rPr>
      </w:pPr>
    </w:p>
    <w:p w14:paraId="3F6BAB20" w14:textId="77777777" w:rsidR="00EB3E61" w:rsidRDefault="00EB3E61" w:rsidP="00EB3E61">
      <w:pPr>
        <w:rPr>
          <w:rFonts w:ascii="Times New Roman" w:hAnsi="Times New Roman" w:cs="Times New Roman"/>
        </w:rPr>
      </w:pPr>
    </w:p>
    <w:p w14:paraId="69D9DCEA" w14:textId="77777777" w:rsidR="00EB3E61" w:rsidRDefault="00EB3E61" w:rsidP="00EB3E61">
      <w:pPr>
        <w:rPr>
          <w:rFonts w:ascii="Times New Roman" w:hAnsi="Times New Roman" w:cs="Times New Roman"/>
        </w:rPr>
      </w:pPr>
    </w:p>
    <w:p w14:paraId="312CA499" w14:textId="77777777" w:rsidR="00EB3E61" w:rsidRDefault="00EB3E61" w:rsidP="00EB3E61">
      <w:pPr>
        <w:rPr>
          <w:rFonts w:ascii="Times New Roman" w:hAnsi="Times New Roman" w:cs="Times New Roman"/>
        </w:rPr>
      </w:pPr>
    </w:p>
    <w:p w14:paraId="327C7EC8" w14:textId="77777777" w:rsidR="00EB3E61" w:rsidRDefault="00EB3E61" w:rsidP="00EB3E61">
      <w:pPr>
        <w:rPr>
          <w:rFonts w:ascii="Times New Roman" w:hAnsi="Times New Roman" w:cs="Times New Roman"/>
        </w:rPr>
      </w:pPr>
    </w:p>
    <w:p w14:paraId="5FD65D64" w14:textId="77777777" w:rsidR="00EB3E61" w:rsidRDefault="00EB3E61" w:rsidP="00EB3E61">
      <w:pPr>
        <w:rPr>
          <w:rFonts w:ascii="Times New Roman" w:hAnsi="Times New Roman" w:cs="Times New Roman"/>
        </w:rPr>
      </w:pPr>
    </w:p>
    <w:p w14:paraId="7C05B99E" w14:textId="77777777" w:rsidR="00EB3E61" w:rsidRDefault="00EB3E61" w:rsidP="00EB3E61">
      <w:pPr>
        <w:rPr>
          <w:rFonts w:ascii="Times New Roman" w:hAnsi="Times New Roman" w:cs="Times New Roman"/>
        </w:rPr>
      </w:pPr>
    </w:p>
    <w:p w14:paraId="071EA364" w14:textId="77777777" w:rsidR="00EB3E61" w:rsidRPr="00EB3E61" w:rsidRDefault="00EB3E61" w:rsidP="00EB3E61">
      <w:pPr>
        <w:rPr>
          <w:rFonts w:ascii="Times New Roman" w:hAnsi="Times New Roman" w:cs="Times New Roman"/>
        </w:rPr>
      </w:pPr>
    </w:p>
    <w:p w14:paraId="589699BB"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2. Introduction</w:t>
      </w:r>
    </w:p>
    <w:p w14:paraId="2494757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Strategic sales management refers to the systematic formulation, implementation and control of selling activities to support broader organisational objectives. Traditional approaches frequently focused on sales volume, salesperson productivity and short-term transactions. Contemporary sales management is considerably broader. Sales organisations must understand customer problems, coordinate with marketing, identify attractive market segments, manage strategic accounts, allocate resources, forecast demand and use digital technologies while developing long-term customer value.</w:t>
      </w:r>
    </w:p>
    <w:p w14:paraId="6E6A806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change is particularly visible in business-to-business (B2B) technology markets. Customers can obtain extensive information independently before interacting with sales representatives. Products have simultaneously become more complex, requiring salespeople to communicate business outcomes rather than merely technical features. Digital transformation has therefore changed both customer behaviour and the responsibilities of sales organisations.</w:t>
      </w:r>
    </w:p>
    <w:p w14:paraId="06CE235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Research demonstrates that sales strategy can influence market and salesperson performance. Terho et al. (2015) found that dimensions of sales strategy influence performance through mechanisms including customer orientation and value-based selling. Consequently, sales strategy should not be viewed merely as the operational execution of marketing decisions; it can contribute directly to organisational competitiveness.</w:t>
      </w:r>
    </w:p>
    <w:p w14:paraId="2D2F057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provides an appropriate case for investigating these relationships. Its portfolio includes Azure, Microsoft 365, Dynamics 365, LinkedIn, security solutions and AI-enabled offerings. These products frequently involve long-term organisational relationships, subscriptions and cross-selling opportunities rather than one-time transactions.</w:t>
      </w:r>
    </w:p>
    <w:p w14:paraId="7FF0A06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Microsoft's recent results demonstrate the scale of this model. In FY2026, Microsoft Cloud revenue reached </w:t>
      </w:r>
      <w:r w:rsidRPr="00EB3E61">
        <w:rPr>
          <w:rFonts w:ascii="Times New Roman" w:hAnsi="Times New Roman" w:cs="Times New Roman"/>
          <w:b/>
          <w:bCs/>
        </w:rPr>
        <w:t>$214.4 billion</w:t>
      </w:r>
      <w:r w:rsidRPr="00EB3E61">
        <w:rPr>
          <w:rFonts w:ascii="Times New Roman" w:hAnsi="Times New Roman" w:cs="Times New Roman"/>
        </w:rPr>
        <w:t xml:space="preserve">, representing 27% reported growth. Commercial remaining performance obligations reached </w:t>
      </w:r>
      <w:r w:rsidRPr="00EB3E61">
        <w:rPr>
          <w:rFonts w:ascii="Times New Roman" w:hAnsi="Times New Roman" w:cs="Times New Roman"/>
          <w:b/>
          <w:bCs/>
        </w:rPr>
        <w:t>$678 billion</w:t>
      </w:r>
      <w:r w:rsidRPr="00EB3E61">
        <w:rPr>
          <w:rFonts w:ascii="Times New Roman" w:hAnsi="Times New Roman" w:cs="Times New Roman"/>
        </w:rPr>
        <w:t>. These figures indicate the importance of recurring commercial commitments and provide a useful basis for examining sales planning and forecasting.</w:t>
      </w:r>
    </w:p>
    <w:p w14:paraId="4D46A64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purpose of this report is therefore to critically analyse how Microsoft develops and implements sales strategies to create competitive advantage. It specifically examines strategic sales management, sales-marketing relationships, customer value, market analysis, sales targets, territory and resource planning, forecasting, customer relationships, digital transformation and responses to competitive pressure.</w:t>
      </w:r>
    </w:p>
    <w:p w14:paraId="2A64B174" w14:textId="3D6EDFD7" w:rsidR="00EB3E61" w:rsidRDefault="00EB3E61" w:rsidP="00EB3E61">
      <w:pPr>
        <w:rPr>
          <w:rFonts w:ascii="Times New Roman" w:hAnsi="Times New Roman" w:cs="Times New Roman"/>
        </w:rPr>
      </w:pPr>
    </w:p>
    <w:p w14:paraId="1FDD7F12" w14:textId="77777777" w:rsidR="00EB3E61" w:rsidRDefault="00EB3E61" w:rsidP="00EB3E61">
      <w:pPr>
        <w:rPr>
          <w:rFonts w:ascii="Times New Roman" w:hAnsi="Times New Roman" w:cs="Times New Roman"/>
        </w:rPr>
      </w:pPr>
    </w:p>
    <w:p w14:paraId="09CD9E14" w14:textId="77777777" w:rsidR="00EB3E61" w:rsidRPr="00EB3E61" w:rsidRDefault="00EB3E61" w:rsidP="00EB3E61">
      <w:pPr>
        <w:rPr>
          <w:rFonts w:ascii="Times New Roman" w:hAnsi="Times New Roman" w:cs="Times New Roman"/>
        </w:rPr>
      </w:pPr>
    </w:p>
    <w:p w14:paraId="73F87E90"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3. Literature Review</w:t>
      </w:r>
    </w:p>
    <w:p w14:paraId="1F1C48D6"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3.1 Strategic Sales Management and Organisational Goals</w:t>
      </w:r>
    </w:p>
    <w:p w14:paraId="1B22EA3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 strategy establishes how organisational resources will be deployed across customers, markets and selling activities to achieve business objectives. It therefore creates a connection between corporate strategy and customer-facing execution.</w:t>
      </w:r>
    </w:p>
    <w:p w14:paraId="2580543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Terho et al. (2015) conceptualise sales strategy through dimensions including customer segmentation, prioritisation and selling models. Their findings demonstrate that sales strategy relates to market performance, while different dimensions influence salesperson performance through different mechanisms. Segmentation can directly influence salesperson performance, whereas prioritisation and selling models may operate through customer orientation and value-based selling. </w:t>
      </w:r>
    </w:p>
    <w:p w14:paraId="472A9A3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has important managerial implications. Sales managers cannot assume that increasing sales activity automatically creates strategic value. Resources need to be directed toward customers and opportunities offering appropriate strategic and economic potential.</w:t>
      </w:r>
    </w:p>
    <w:p w14:paraId="486B159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Adaptive selling provides another important perspective. Franke and Park's (2006) meta-analysis, incorporating 155 samples and more than 31,000 salespeople, found that adaptive selling positively influences multiple measures of salesperson performance. This supports the argument that sales strategies require sufficient flexibility for salespeople to adjust their approach according to customer requirements.</w:t>
      </w:r>
    </w:p>
    <w:p w14:paraId="4F27DAA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However, excessive flexibility can create inconsistency. Strategic sales management therefore involves balancing organisational priorities with salesperson autonomy.</w:t>
      </w:r>
    </w:p>
    <w:p w14:paraId="46FC3D97"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3.2 Sales and Marketing Strategy Integration</w:t>
      </w:r>
    </w:p>
    <w:p w14:paraId="55D3AC8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Sales and marketing share responsibility for creating demand and delivering customer value, but organisational separation can generate conflict. Marketing may focus on brand development, segmentation and lead generation, whereas sales </w:t>
      </w:r>
      <w:proofErr w:type="gramStart"/>
      <w:r w:rsidRPr="00EB3E61">
        <w:rPr>
          <w:rFonts w:ascii="Times New Roman" w:hAnsi="Times New Roman" w:cs="Times New Roman"/>
        </w:rPr>
        <w:t>focuses</w:t>
      </w:r>
      <w:proofErr w:type="gramEnd"/>
      <w:r w:rsidRPr="00EB3E61">
        <w:rPr>
          <w:rFonts w:ascii="Times New Roman" w:hAnsi="Times New Roman" w:cs="Times New Roman"/>
        </w:rPr>
        <w:t xml:space="preserve"> on converting opportunities and managing customer relationships.</w:t>
      </w:r>
    </w:p>
    <w:p w14:paraId="348EE61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Homburg and Jensen (2007) argue that the relationship between sales and marketing involves distinct orientations and competencies that can complement each other. Effective integration allows customer intelligence obtained by salespeople to inform marketing strategy while marketing provides sales teams with positioning, market insights and lead-generation support.</w:t>
      </w:r>
    </w:p>
    <w:p w14:paraId="691D4CB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Malshe and Sohi (2009) further demonstrate the importance of sales and marketing collaboration during product development and commercialisation. Misalignment can result in inappropriate leads, inconsistent communication and lost opportunities.</w:t>
      </w:r>
    </w:p>
    <w:p w14:paraId="2415760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Recent literature reinforces this concern. Wiersema and colleagues' systematic examination of the sales-marketing interface identifies structural linkages, roles, interactions and perceptions as </w:t>
      </w:r>
      <w:r w:rsidRPr="00EB3E61">
        <w:rPr>
          <w:rFonts w:ascii="Times New Roman" w:hAnsi="Times New Roman" w:cs="Times New Roman"/>
        </w:rPr>
        <w:lastRenderedPageBreak/>
        <w:t xml:space="preserve">central components of integration. Digitalisation has made these relationships even more significant because marketing and sales increasingly share customer data and technology platforms. </w:t>
      </w:r>
    </w:p>
    <w:p w14:paraId="665CD68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The relationship is not automatically improved by technology. Research published in 2026 indicates that B2B digitalisation can generate information- and power-related tensions between marketing and sales, while cross-functional integration can alleviate them. </w:t>
      </w:r>
    </w:p>
    <w:p w14:paraId="12A00FC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Therefore, CRM systems and analytics cannot substitute for organisational cooperation. Successful sales strategy requires shared objectives and definitions of customer value.</w:t>
      </w:r>
    </w:p>
    <w:p w14:paraId="218936DB"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3.3 Customer Value and Value-Based Selling</w:t>
      </w:r>
    </w:p>
    <w:p w14:paraId="280A3DE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Modern B2B selling increasingly emphasises value rather than product features. Value-based selling involves understanding the customer's business model and demonstrating how an offering improves outcomes such as revenue, productivity, risk, cost or efficiency.</w:t>
      </w:r>
    </w:p>
    <w:p w14:paraId="2BF6D38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Kienzler (2019) conceptualises value-based selling as a multi-component approach and investigates its relationship with salesperson performance. Terho et al. (2015) similarly demonstrate that value-based selling can act as an important mechanism through which sales strategy translates into salesperson performance. </w:t>
      </w:r>
    </w:p>
    <w:p w14:paraId="371D32B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concept is highly relevant to technology selling. An enterprise purchasing a cloud service may not primarily value the technical infrastructure itself. It may value faster innovation, scalability, lower infrastructure-management costs, security or improved employee productivity.</w:t>
      </w:r>
    </w:p>
    <w:p w14:paraId="762E6B9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Recent research distinguishes value-based selling from related approaches. Value-based selling develops and communicates expected customer value; customer success management supports value realisation after purchase; and key account management develops strategically important long-term relationships. These activities are distinct but complementary. </w:t>
      </w:r>
    </w:p>
    <w:p w14:paraId="6DE18D8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distinction is strategically important for Microsoft. Winning an enterprise contract is only the beginning of value creation under subscription and consumption-based business models. Customers must continue to use and derive value from services if lifetime revenue is to be maximised.</w:t>
      </w:r>
    </w:p>
    <w:p w14:paraId="00FED3E7"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3.4 Sales Planning and Resource Allocation</w:t>
      </w:r>
    </w:p>
    <w:p w14:paraId="4B13FB6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 planning translates strategic objectives into operational decisions concerning markets, accounts, territories, targets and resources. Effective planning begins with market analysis and segmentation.</w:t>
      </w:r>
    </w:p>
    <w:p w14:paraId="58A0073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Customer prioritisation is particularly important because not all customers provide equal strategic value. Sales resources are costly; consequently, assigning highly skilled salespeople to low-value opportunities creates opportunity costs.</w:t>
      </w:r>
    </w:p>
    <w:p w14:paraId="0E40BC4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lastRenderedPageBreak/>
        <w:t>Territory design attempts to balance market potential, customer requirements, salesperson workload and geographical considerations. In digital B2B markets, however, a territory is not necessarily geographical. It may be based on industry, account size, technology requirements or customer lifecycle.</w:t>
      </w:r>
    </w:p>
    <w:p w14:paraId="648351E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Resource allocation therefore needs to consider both current revenue and future potential. A new customer may currently generate little revenue but possess substantial expansion potential. Conversely, a large account may require extensive resources without generating sufficient margin.</w:t>
      </w:r>
    </w:p>
    <w:p w14:paraId="1CE9AC3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makes customer lifetime value and account potential increasingly important for sales planning.</w:t>
      </w:r>
    </w:p>
    <w:p w14:paraId="4B7F79CA"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3.5 Sales Forecasting and Strategic Decision-Making</w:t>
      </w:r>
    </w:p>
    <w:p w14:paraId="747017B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 forecasting estimates future demand and revenue and supports budgeting, workforce planning, inventory decisions, investment and performance targets.</w:t>
      </w:r>
    </w:p>
    <w:p w14:paraId="0B4BBA4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Traditional methods include salesperson estimates, executive judgement, moving averages, exponential smoothing and regression analysis. Contemporary organisations increasingly combine these with CRM data, predictive analytics and machine-learning models.</w:t>
      </w:r>
    </w:p>
    <w:p w14:paraId="7336F39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Forecasting nevertheless contains inherent uncertainty. Historical data may become less useful when markets undergo structural changes, new products are introduced or customer behaviour changes rapidly. Salesperson judgement provides contextual information but may be affected by optimism or strategic bias.</w:t>
      </w:r>
    </w:p>
    <w:p w14:paraId="1E2AC21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Consequently, organisations should combine quantitative and qualitative forecasting. Statistical models can identify patterns at scale, while salespeople can provide information concerning account-specific negotiations, competitor actions and customer decision processes.</w:t>
      </w:r>
    </w:p>
    <w:p w14:paraId="6965B47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For Microsoft, forecasting has additional strategic importance because cloud contracts generate future contractual revenue. Commercial remaining performance obligations represent revenue allocated to contracts that will be recognised in future periods. Microsoft reported this measure at </w:t>
      </w:r>
      <w:r w:rsidRPr="00EB3E61">
        <w:rPr>
          <w:rFonts w:ascii="Times New Roman" w:hAnsi="Times New Roman" w:cs="Times New Roman"/>
          <w:b/>
          <w:bCs/>
        </w:rPr>
        <w:t>$678 billion at FY2026 year-end</w:t>
      </w:r>
      <w:r w:rsidRPr="00EB3E61">
        <w:rPr>
          <w:rFonts w:ascii="Times New Roman" w:hAnsi="Times New Roman" w:cs="Times New Roman"/>
        </w:rPr>
        <w:t>. This provides management and investors with substantial visibility into contracted future business, although it should not be confused with a conventional sales forecast.</w:t>
      </w:r>
    </w:p>
    <w:p w14:paraId="7DC92294"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3.6 Customer Relationship and Key Account Management</w:t>
      </w:r>
    </w:p>
    <w:p w14:paraId="2840707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Key account management (KAM) recognises that strategically important customers require differentiated organisational attention.</w:t>
      </w:r>
    </w:p>
    <w:p w14:paraId="4B266F73"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t>Tzempelikos</w:t>
      </w:r>
      <w:proofErr w:type="spellEnd"/>
      <w:r w:rsidRPr="00EB3E61">
        <w:rPr>
          <w:rFonts w:ascii="Times New Roman" w:hAnsi="Times New Roman" w:cs="Times New Roman"/>
        </w:rPr>
        <w:t xml:space="preserve"> and Gounaris (2015) found that KAM practices at strategic, organisational, tactical and control levels influence performance, with relational capabilities and outcomes acting as important mechanisms. </w:t>
      </w:r>
    </w:p>
    <w:p w14:paraId="1C8E64CC"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lastRenderedPageBreak/>
        <w:t>Guesalaga</w:t>
      </w:r>
      <w:proofErr w:type="spellEnd"/>
      <w:r w:rsidRPr="00EB3E61">
        <w:rPr>
          <w:rFonts w:ascii="Times New Roman" w:hAnsi="Times New Roman" w:cs="Times New Roman"/>
        </w:rPr>
        <w:t xml:space="preserve"> and Johnston (2010) emphasise the importance of organisation-wide involvement in strategic accounts. This is important because complex B2B customers often require salespeople to coordinate technical, financial, operational and executive expertise.</w:t>
      </w:r>
    </w:p>
    <w:p w14:paraId="1DBDADA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Hengstebeck et al. (2022), using data from 1,205 key account managers and 5,818 regular salespeople, found that project-management skills, use of internal experts, value creation and communication are significant drivers of KAM performance. </w:t>
      </w:r>
    </w:p>
    <w:p w14:paraId="10BC3E8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KAM also contains an important temporal trade-off. Short-term revenue maximisation may conflict with long-term relationship value. Research integrating revenue management with KAM emphasises that account decisions should consider both immediate revenue and relationship value. </w:t>
      </w:r>
    </w:p>
    <w:p w14:paraId="20B6BC5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is relevant to Microsoft because enterprise customers may purchase multiple products over many years. Sacrificing trust to maximise one contract can therefore destroy considerable lifetime value.</w:t>
      </w:r>
    </w:p>
    <w:p w14:paraId="1D6461E0"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3.7 Digital Transformation of Sales</w:t>
      </w:r>
    </w:p>
    <w:p w14:paraId="2F0B830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Digital transformation has changed how salespeople identify, communicate with and support customers. CRM systems, analytics, video communication, automation and artificial intelligence can reduce administrative tasks and improve access to customer information.</w:t>
      </w:r>
    </w:p>
    <w:p w14:paraId="67AF57C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Wengler et al. (2021) describe digital transformation in sales as an evolving organisational process rather than simply technology implementation. Their research indicates that technology investments do not automatically produce expected productivity improvements. </w:t>
      </w:r>
    </w:p>
    <w:p w14:paraId="4CC8114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More recent research by Mukhopadhyay et al. (2025) identifies three broad ways digital technologies enable B2B sales: improving customer-facing interactions, increasing internal efficiency and strengthening salesperson capabilities. </w:t>
      </w:r>
    </w:p>
    <w:p w14:paraId="324C181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Nevertheless, digital selling contains limitations. Hengstebeck et al. (2022) found that digital-tool usage alone did not guarantee stronger KAM performance, while human abilities including value communication and internal coordination remained important. </w:t>
      </w:r>
    </w:p>
    <w:p w14:paraId="2C457D9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Therefore, the strategic objective should not be maximum digitalisation. It should be the appropriate combination of technology, customer knowledge and human judgement.</w:t>
      </w:r>
    </w:p>
    <w:p w14:paraId="00EF7255" w14:textId="303628B4" w:rsidR="00EB3E61" w:rsidRDefault="00EB3E61" w:rsidP="00EB3E61">
      <w:pPr>
        <w:rPr>
          <w:rFonts w:ascii="Times New Roman" w:hAnsi="Times New Roman" w:cs="Times New Roman"/>
        </w:rPr>
      </w:pPr>
    </w:p>
    <w:p w14:paraId="0CEA5AC5" w14:textId="77777777" w:rsidR="00EB3E61" w:rsidRDefault="00EB3E61" w:rsidP="00EB3E61">
      <w:pPr>
        <w:rPr>
          <w:rFonts w:ascii="Times New Roman" w:hAnsi="Times New Roman" w:cs="Times New Roman"/>
        </w:rPr>
      </w:pPr>
    </w:p>
    <w:p w14:paraId="0B06256A" w14:textId="77777777" w:rsidR="00EB3E61" w:rsidRDefault="00EB3E61" w:rsidP="00EB3E61">
      <w:pPr>
        <w:rPr>
          <w:rFonts w:ascii="Times New Roman" w:hAnsi="Times New Roman" w:cs="Times New Roman"/>
        </w:rPr>
      </w:pPr>
    </w:p>
    <w:p w14:paraId="002FB3B4" w14:textId="77777777" w:rsidR="00EB3E61" w:rsidRDefault="00EB3E61" w:rsidP="00EB3E61">
      <w:pPr>
        <w:rPr>
          <w:rFonts w:ascii="Times New Roman" w:hAnsi="Times New Roman" w:cs="Times New Roman"/>
        </w:rPr>
      </w:pPr>
    </w:p>
    <w:p w14:paraId="4649D6DB" w14:textId="77777777" w:rsidR="00EB3E61" w:rsidRPr="00EB3E61" w:rsidRDefault="00EB3E61" w:rsidP="00EB3E61">
      <w:pPr>
        <w:rPr>
          <w:rFonts w:ascii="Times New Roman" w:hAnsi="Times New Roman" w:cs="Times New Roman"/>
        </w:rPr>
      </w:pPr>
    </w:p>
    <w:p w14:paraId="7D01D901"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4. Strategic Analysis and Methodology</w:t>
      </w:r>
    </w:p>
    <w:p w14:paraId="4AEEE90F"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4.1 Research Approach</w:t>
      </w:r>
    </w:p>
    <w:p w14:paraId="4A6FC6D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This report adopts a </w:t>
      </w:r>
      <w:r w:rsidRPr="00EB3E61">
        <w:rPr>
          <w:rFonts w:ascii="Times New Roman" w:hAnsi="Times New Roman" w:cs="Times New Roman"/>
          <w:b/>
          <w:bCs/>
        </w:rPr>
        <w:t>qualitative single-case-study methodology</w:t>
      </w:r>
      <w:r w:rsidRPr="00EB3E61">
        <w:rPr>
          <w:rFonts w:ascii="Times New Roman" w:hAnsi="Times New Roman" w:cs="Times New Roman"/>
        </w:rPr>
        <w:t xml:space="preserve"> based on secondary data. Microsoft was selected because its global B2B technology operations provide a suitable context for examining strategic sales management.</w:t>
      </w:r>
    </w:p>
    <w:p w14:paraId="3D2B9FD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Evidence was obtained from peer-reviewed research concerning sales strategy, value-based selling, adaptive selling, KAM, CRM, sales-marketing integration and digital sales transformation. Corporate evidence was obtained primarily from Microsoft's investor disclosures and annual reporting.</w:t>
      </w:r>
    </w:p>
    <w:p w14:paraId="4D9EBE8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 thematic analytical approach was used. Evidence was classified according to the major assignment requirements: organisational goals, sales-marketing integration, customer value, planning, forecasting, customer relationships, competitive pressures and digital transformation.</w:t>
      </w:r>
    </w:p>
    <w:p w14:paraId="5DFF7A2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 limitation of this methodology is that Microsoft's internal sales targets, individual salesperson performance information and detailed account-level forecasting models are not publicly disclosed. Therefore, the analysis does not claim knowledge of confidential internal practices. Instead, observable corporate evidence is evaluated using established sales-management research.</w:t>
      </w:r>
    </w:p>
    <w:p w14:paraId="2CFE572E"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4.2 Microsoft Business and Sales Context</w:t>
      </w:r>
    </w:p>
    <w:p w14:paraId="346342D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combines enterprise, SME and consumer markets, but its commercial cloud operations are particularly suitable for strategic sales analysis.</w:t>
      </w:r>
    </w:p>
    <w:p w14:paraId="5F084F1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The company generated FY2025 revenue of </w:t>
      </w:r>
      <w:r w:rsidRPr="00EB3E61">
        <w:rPr>
          <w:rFonts w:ascii="Times New Roman" w:hAnsi="Times New Roman" w:cs="Times New Roman"/>
          <w:b/>
          <w:bCs/>
        </w:rPr>
        <w:t>$281.7 billion</w:t>
      </w:r>
      <w:r w:rsidRPr="00EB3E61">
        <w:rPr>
          <w:rFonts w:ascii="Times New Roman" w:hAnsi="Times New Roman" w:cs="Times New Roman"/>
        </w:rPr>
        <w:t xml:space="preserve">, an increase of 15% from FY2024. Microsoft Cloud revenue increased 23% to </w:t>
      </w:r>
      <w:r w:rsidRPr="00EB3E61">
        <w:rPr>
          <w:rFonts w:ascii="Times New Roman" w:hAnsi="Times New Roman" w:cs="Times New Roman"/>
          <w:b/>
          <w:bCs/>
        </w:rPr>
        <w:t>$168.9 billion</w:t>
      </w:r>
      <w:r w:rsidRPr="00EB3E61">
        <w:rPr>
          <w:rFonts w:ascii="Times New Roman" w:hAnsi="Times New Roman" w:cs="Times New Roman"/>
        </w:rPr>
        <w:t xml:space="preserve">. Microsoft 365 Commercial products and cloud-services revenue increased 14%, while Dynamics products and cloud-services revenue increased 15%. </w:t>
      </w:r>
    </w:p>
    <w:p w14:paraId="5CCEA0B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Growth continued in FY2026. Microsoft Cloud revenue reached </w:t>
      </w:r>
      <w:r w:rsidRPr="00EB3E61">
        <w:rPr>
          <w:rFonts w:ascii="Times New Roman" w:hAnsi="Times New Roman" w:cs="Times New Roman"/>
          <w:b/>
          <w:bCs/>
        </w:rPr>
        <w:t>$214.4 billion</w:t>
      </w:r>
      <w:r w:rsidRPr="00EB3E61">
        <w:rPr>
          <w:rFonts w:ascii="Times New Roman" w:hAnsi="Times New Roman" w:cs="Times New Roman"/>
        </w:rPr>
        <w:t xml:space="preserve">, with Azure and other cloud-services revenue increasing strongly. </w:t>
      </w:r>
    </w:p>
    <w:p w14:paraId="7DF835EA" w14:textId="77777777" w:rsidR="00EB3E61" w:rsidRDefault="00EB3E61" w:rsidP="00EB3E61">
      <w:pPr>
        <w:rPr>
          <w:rFonts w:ascii="Times New Roman" w:hAnsi="Times New Roman" w:cs="Times New Roman"/>
        </w:rPr>
      </w:pPr>
      <w:r w:rsidRPr="00EB3E61">
        <w:rPr>
          <w:rFonts w:ascii="Times New Roman" w:hAnsi="Times New Roman" w:cs="Times New Roman"/>
        </w:rPr>
        <w:t>This revenue structure demonstrates why Microsoft's sales management must focus on long-term adoption and expansion rather than only customer acquisition.</w:t>
      </w:r>
    </w:p>
    <w:p w14:paraId="1F00C03F" w14:textId="77777777" w:rsidR="00EB3E61" w:rsidRDefault="00EB3E61" w:rsidP="00EB3E61">
      <w:pPr>
        <w:rPr>
          <w:rFonts w:ascii="Times New Roman" w:hAnsi="Times New Roman" w:cs="Times New Roman"/>
        </w:rPr>
      </w:pPr>
    </w:p>
    <w:p w14:paraId="633BB9C8" w14:textId="77777777" w:rsidR="00EB3E61" w:rsidRDefault="00EB3E61" w:rsidP="00EB3E61">
      <w:pPr>
        <w:rPr>
          <w:rFonts w:ascii="Times New Roman" w:hAnsi="Times New Roman" w:cs="Times New Roman"/>
        </w:rPr>
      </w:pPr>
    </w:p>
    <w:p w14:paraId="5D5364CF" w14:textId="77777777" w:rsidR="00EB3E61" w:rsidRDefault="00EB3E61" w:rsidP="00EB3E61">
      <w:pPr>
        <w:rPr>
          <w:rFonts w:ascii="Times New Roman" w:hAnsi="Times New Roman" w:cs="Times New Roman"/>
        </w:rPr>
      </w:pPr>
    </w:p>
    <w:p w14:paraId="70549914" w14:textId="77777777" w:rsidR="00EB3E61" w:rsidRDefault="00EB3E61" w:rsidP="00EB3E61">
      <w:pPr>
        <w:rPr>
          <w:rFonts w:ascii="Times New Roman" w:hAnsi="Times New Roman" w:cs="Times New Roman"/>
        </w:rPr>
      </w:pPr>
    </w:p>
    <w:p w14:paraId="1C0D29A8" w14:textId="77777777" w:rsidR="00EB3E61" w:rsidRPr="00EB3E61" w:rsidRDefault="00EB3E61" w:rsidP="00EB3E61">
      <w:pPr>
        <w:rPr>
          <w:rFonts w:ascii="Times New Roman" w:hAnsi="Times New Roman" w:cs="Times New Roman"/>
        </w:rPr>
      </w:pPr>
    </w:p>
    <w:p w14:paraId="36393D02"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4.3 Analytical Framework</w:t>
      </w:r>
    </w:p>
    <w:p w14:paraId="4CE637E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report uses the following strategic sales logic:</w:t>
      </w:r>
    </w:p>
    <w:p w14:paraId="36FAE837"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Market Intelligence</w:t>
      </w:r>
    </w:p>
    <w:p w14:paraId="52AB5D4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326115C"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Segmentation and Account Prioritisation</w:t>
      </w:r>
    </w:p>
    <w:p w14:paraId="3674C27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385583CF"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Sales Objectives and Territory/Resource Allocation</w:t>
      </w:r>
    </w:p>
    <w:p w14:paraId="43AE6C9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588FF9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Value-Based Customer Engagement</w:t>
      </w:r>
    </w:p>
    <w:p w14:paraId="43C27E8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77BE040"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Acquisition and Contracting</w:t>
      </w:r>
    </w:p>
    <w:p w14:paraId="0656B25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4705A60D"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Adoption and Success</w:t>
      </w:r>
    </w:p>
    <w:p w14:paraId="3EC01BC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6AF5D5E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Renewal, Cross-Selling and Expansion</w:t>
      </w:r>
    </w:p>
    <w:p w14:paraId="741C562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7E2343B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Lifetime Value</w:t>
      </w:r>
    </w:p>
    <w:p w14:paraId="29EA441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B43C4A9"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Revenue Growth and Competitive Advantage</w:t>
      </w:r>
    </w:p>
    <w:p w14:paraId="11DC3CB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framework emphasises that sales performance is a continuous process rather than a single transaction.</w:t>
      </w:r>
    </w:p>
    <w:p w14:paraId="49132B73" w14:textId="4003D398" w:rsidR="00EB3E61" w:rsidRDefault="00EB3E61" w:rsidP="00EB3E61">
      <w:pPr>
        <w:rPr>
          <w:rFonts w:ascii="Times New Roman" w:hAnsi="Times New Roman" w:cs="Times New Roman"/>
        </w:rPr>
      </w:pPr>
    </w:p>
    <w:p w14:paraId="434F5D64" w14:textId="77777777" w:rsidR="00EB3E61" w:rsidRDefault="00EB3E61" w:rsidP="00EB3E61">
      <w:pPr>
        <w:rPr>
          <w:rFonts w:ascii="Times New Roman" w:hAnsi="Times New Roman" w:cs="Times New Roman"/>
        </w:rPr>
      </w:pPr>
    </w:p>
    <w:p w14:paraId="6740E512" w14:textId="77777777" w:rsidR="00EB3E61" w:rsidRDefault="00EB3E61" w:rsidP="00EB3E61">
      <w:pPr>
        <w:rPr>
          <w:rFonts w:ascii="Times New Roman" w:hAnsi="Times New Roman" w:cs="Times New Roman"/>
        </w:rPr>
      </w:pPr>
    </w:p>
    <w:p w14:paraId="17BE5F2F" w14:textId="77777777" w:rsidR="00EB3E61" w:rsidRDefault="00EB3E61" w:rsidP="00EB3E61">
      <w:pPr>
        <w:rPr>
          <w:rFonts w:ascii="Times New Roman" w:hAnsi="Times New Roman" w:cs="Times New Roman"/>
        </w:rPr>
      </w:pPr>
    </w:p>
    <w:p w14:paraId="73E0B014" w14:textId="77777777" w:rsidR="00EB3E61" w:rsidRDefault="00EB3E61" w:rsidP="00EB3E61">
      <w:pPr>
        <w:rPr>
          <w:rFonts w:ascii="Times New Roman" w:hAnsi="Times New Roman" w:cs="Times New Roman"/>
        </w:rPr>
      </w:pPr>
    </w:p>
    <w:p w14:paraId="7A9EBD4E" w14:textId="77777777" w:rsidR="00EB3E61" w:rsidRPr="00EB3E61" w:rsidRDefault="00EB3E61" w:rsidP="00EB3E61">
      <w:pPr>
        <w:rPr>
          <w:rFonts w:ascii="Times New Roman" w:hAnsi="Times New Roman" w:cs="Times New Roman"/>
        </w:rPr>
      </w:pPr>
    </w:p>
    <w:p w14:paraId="7F76C03A"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5. Findings and Analysis</w:t>
      </w:r>
    </w:p>
    <w:p w14:paraId="09B96F07"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5.1 Microsoft's Strategic Sales Model</w:t>
      </w:r>
    </w:p>
    <w:p w14:paraId="29E5200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Microsoft's product ecosystem enables a form of strategic solution selling. Rather than selling isolated products, the company can address multiple organisational needs through Azure, Microsoft 365, Dynamics 365, security solutions, data platforms and AI.</w:t>
      </w:r>
    </w:p>
    <w:p w14:paraId="560BA1F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creates cross-selling and expansion opportunities. An organisation using Microsoft 365 may subsequently adopt Azure, security products, Dynamics or AI services. Each additional service can deepen the relationship and increase switching costs.</w:t>
      </w:r>
    </w:p>
    <w:p w14:paraId="175225C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Microsoft's FY2025 annual report demonstrates the breadth of this portfolio. Server products and cloud services generated $98.4 billion, while Microsoft 365 Commercial products and cloud services generated $87.8 billion. Dynamics products and cloud services generated $7.8 billion. </w:t>
      </w:r>
    </w:p>
    <w:p w14:paraId="458005F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Strategically, this means salespeople need to understand customers across multiple functional areas rather than selling isolated products.</w:t>
      </w:r>
    </w:p>
    <w:p w14:paraId="5B723AF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The benefit is stronger customer lifetime value. The risk is complexity. Salespeople cannot reasonably possess specialist knowledge across every technical area. This makes internal coordination with technical specialists and solution experts essential, consistent with Hengstebeck et al.'s (2022) findings concerning the importance of internal experts in strategic account selling. </w:t>
      </w:r>
    </w:p>
    <w:p w14:paraId="484DB65B"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5.2 Market Analysis and Customer Segmentation</w:t>
      </w:r>
    </w:p>
    <w:p w14:paraId="68598E9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serves customers ranging from individuals and small businesses to governments and multinational corporations. A uniform sales approach would therefore be inefficient.</w:t>
      </w:r>
    </w:p>
    <w:p w14:paraId="4EC0D06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Strategic segmentation can consider customer size, industry, existing technology infrastructure, cloud maturity, security requirements, AI readiness and potential lifetime value.</w:t>
      </w:r>
    </w:p>
    <w:p w14:paraId="5609236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Large enterprise customers justify high-touch account management because their potential contract values and complexity are substantial. SMEs can be addressed through more scalable digital channels and partner networks.</w:t>
      </w:r>
    </w:p>
    <w:p w14:paraId="379F90D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This aligns with Terho et al. (2015), who demonstrate that segmentation is a significant component through which sales strategy can affect performance. </w:t>
      </w:r>
    </w:p>
    <w:p w14:paraId="7F8455F4" w14:textId="77777777" w:rsidR="00EB3E61" w:rsidRDefault="00EB3E61" w:rsidP="00EB3E61">
      <w:pPr>
        <w:rPr>
          <w:rFonts w:ascii="Times New Roman" w:hAnsi="Times New Roman" w:cs="Times New Roman"/>
        </w:rPr>
      </w:pPr>
      <w:r w:rsidRPr="00EB3E61">
        <w:rPr>
          <w:rFonts w:ascii="Times New Roman" w:hAnsi="Times New Roman" w:cs="Times New Roman"/>
        </w:rPr>
        <w:t>However, segmentation must remain dynamic. An SME can become a major customer, while a historically important enterprise may become less attractive. Microsoft should therefore use behavioural and potential-value information alongside conventional firmographic segmentation.</w:t>
      </w:r>
    </w:p>
    <w:p w14:paraId="19BAE591" w14:textId="77777777" w:rsidR="00EB3E61" w:rsidRDefault="00EB3E61" w:rsidP="00EB3E61">
      <w:pPr>
        <w:rPr>
          <w:rFonts w:ascii="Times New Roman" w:hAnsi="Times New Roman" w:cs="Times New Roman"/>
        </w:rPr>
      </w:pPr>
    </w:p>
    <w:p w14:paraId="1FFBE735" w14:textId="77777777" w:rsidR="00EB3E61" w:rsidRPr="00EB3E61" w:rsidRDefault="00EB3E61" w:rsidP="00EB3E61">
      <w:pPr>
        <w:rPr>
          <w:rFonts w:ascii="Times New Roman" w:hAnsi="Times New Roman" w:cs="Times New Roman"/>
        </w:rPr>
      </w:pPr>
    </w:p>
    <w:p w14:paraId="12E26748"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5.3 Sales Targets and Performance Management</w:t>
      </w:r>
    </w:p>
    <w:p w14:paraId="12A0EF8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 targets translate organisational growth objectives into measurable outcomes. Traditional metrics include revenue, quota achievement, new customers and conversion rates.</w:t>
      </w:r>
    </w:p>
    <w:p w14:paraId="4311D4A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These remain important but can create dysfunctional behaviour when used alone. A salesperson rewarded only for initial contract value may discount aggressively or sell solutions that customers subsequently underuse.</w:t>
      </w:r>
    </w:p>
    <w:p w14:paraId="1E16DC0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Subscription businesses require broader measures, including:</w:t>
      </w:r>
    </w:p>
    <w:p w14:paraId="6E03296B"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recurring revenue; </w:t>
      </w:r>
    </w:p>
    <w:p w14:paraId="0A58CEE8"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renewal and retention; </w:t>
      </w:r>
    </w:p>
    <w:p w14:paraId="0C065674"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solution adoption; </w:t>
      </w:r>
    </w:p>
    <w:p w14:paraId="6A2F4E25"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account expansion; </w:t>
      </w:r>
    </w:p>
    <w:p w14:paraId="33D5CF83"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customer outcomes; </w:t>
      </w:r>
    </w:p>
    <w:p w14:paraId="2C86A7E9"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cross-selling; </w:t>
      </w:r>
    </w:p>
    <w:p w14:paraId="44E46EE2"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pipeline quality; and </w:t>
      </w:r>
    </w:p>
    <w:p w14:paraId="0A7EBAC2" w14:textId="77777777" w:rsidR="00EB3E61" w:rsidRPr="00EB3E61" w:rsidRDefault="00EB3E61" w:rsidP="00EB3E61">
      <w:pPr>
        <w:numPr>
          <w:ilvl w:val="0"/>
          <w:numId w:val="5"/>
        </w:numPr>
        <w:rPr>
          <w:rFonts w:ascii="Times New Roman" w:hAnsi="Times New Roman" w:cs="Times New Roman"/>
        </w:rPr>
      </w:pPr>
      <w:r w:rsidRPr="00EB3E61">
        <w:rPr>
          <w:rFonts w:ascii="Times New Roman" w:hAnsi="Times New Roman" w:cs="Times New Roman"/>
        </w:rPr>
        <w:t xml:space="preserve">forecast accuracy. </w:t>
      </w:r>
    </w:p>
    <w:p w14:paraId="3ACF521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is especially relevant to Microsoft because cloud economics depend on continuing usage. A customer that signs a contract but fails to adopt the service may produce weaker long-term value than one that expands usage progressively.</w:t>
      </w:r>
    </w:p>
    <w:p w14:paraId="3E8DC76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Consequently, Microsoft's performance system should align salesperson incentives with both acquisition and value realisation.</w:t>
      </w:r>
    </w:p>
    <w:p w14:paraId="60277BFB"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5.4 Territory and Resource Planning</w:t>
      </w:r>
    </w:p>
    <w:p w14:paraId="65CC238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Territory planning in Microsoft's environment should extend beyond geography. Enterprise customers may operate across multiple countries and require coordinated global account coverage.</w:t>
      </w:r>
    </w:p>
    <w:p w14:paraId="637CAA1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Resources can therefore be allocated according to industry, customer size, solution complexity, account potential and geographic presence.</w:t>
      </w:r>
    </w:p>
    <w:p w14:paraId="40972F3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Key accounts should receive cross-functional teams incorporating account executives, technical specialists, customer-success professionals and industry experts. This reflects evidence that successful key-account selling depends partly on effectively mobilising internal expertise (Hengstebeck et al., 2022). </w:t>
      </w:r>
    </w:p>
    <w:p w14:paraId="02FA530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lastRenderedPageBreak/>
        <w:t>However, excessive resources allocated to prestigious accounts can reduce overall productivity. Microsoft therefore needs account-level profitability and potential measures to ensure resource allocation reflects economic value rather than customer visibility alone.</w:t>
      </w:r>
    </w:p>
    <w:p w14:paraId="5850006B"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5.5 Sales Forecasting</w:t>
      </w:r>
    </w:p>
    <w:p w14:paraId="102CF0A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has access to substantial data that can improve forecasting: CRM activity, historical sales, product usage, contract renewal dates, pipeline stages and customer behaviour.</w:t>
      </w:r>
    </w:p>
    <w:p w14:paraId="2718F0B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AI can combine these variables to identify patterns beyond traditional judgement-based forecasts. For example, declining product utilisation could indicate renewal risk, while increased cloud consumption may indicate an expansion opportunity.</w:t>
      </w:r>
    </w:p>
    <w:p w14:paraId="02D853B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Yet algorithms should support rather than replace sales judgement. Major enterprise transactions are influenced by negotiations, procurement processes, organisational politics and competitor activity that may not be fully captured by historical data.</w:t>
      </w:r>
    </w:p>
    <w:p w14:paraId="40111B4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 hybrid forecasting system is therefore preferable:</w:t>
      </w:r>
    </w:p>
    <w:p w14:paraId="6B51482B"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Historical data + CRM pipeline + customer usage + AI prediction + salesperson judgement → final forecast</w:t>
      </w:r>
    </w:p>
    <w:p w14:paraId="284A7962" w14:textId="77777777" w:rsidR="00EB3E61" w:rsidRDefault="00EB3E61" w:rsidP="00EB3E61">
      <w:pPr>
        <w:rPr>
          <w:rFonts w:ascii="Times New Roman" w:hAnsi="Times New Roman" w:cs="Times New Roman"/>
        </w:rPr>
      </w:pPr>
      <w:r w:rsidRPr="00EB3E61">
        <w:rPr>
          <w:rFonts w:ascii="Times New Roman" w:hAnsi="Times New Roman" w:cs="Times New Roman"/>
        </w:rPr>
        <w:t xml:space="preserve">Microsoft's </w:t>
      </w:r>
      <w:r w:rsidRPr="00EB3E61">
        <w:rPr>
          <w:rFonts w:ascii="Times New Roman" w:hAnsi="Times New Roman" w:cs="Times New Roman"/>
          <w:b/>
          <w:bCs/>
        </w:rPr>
        <w:t>$678 billion commercial remaining performance obligation at FY2026 year-end</w:t>
      </w:r>
      <w:r w:rsidRPr="00EB3E61">
        <w:rPr>
          <w:rFonts w:ascii="Times New Roman" w:hAnsi="Times New Roman" w:cs="Times New Roman"/>
        </w:rPr>
        <w:t xml:space="preserve"> provides significant visibility into contracted future revenue. However, managers should distinguish contracted obligations from forecasts of new business, renewals and expansion opportunities.</w:t>
      </w:r>
    </w:p>
    <w:p w14:paraId="7583FA5D" w14:textId="77777777" w:rsidR="00EB3E61" w:rsidRPr="00EB3E61" w:rsidRDefault="00EB3E61" w:rsidP="00EB3E61">
      <w:pPr>
        <w:rPr>
          <w:rFonts w:ascii="Times New Roman" w:hAnsi="Times New Roman" w:cs="Times New Roman"/>
        </w:rPr>
      </w:pPr>
    </w:p>
    <w:p w14:paraId="4C1F5D79"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5.6 Customer Value Creation</w:t>
      </w:r>
    </w:p>
    <w:p w14:paraId="6A51BFA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Microsoft's sales proposition is strongest when it translates technology into measurable customer outcomes.</w:t>
      </w:r>
    </w:p>
    <w:p w14:paraId="5D3140B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 technical Azure discussion might focus on computing, storage and infrastructure. A value-based discussion would instead examine how cloud adoption could reduce infrastructure constraints, accelerate application development, improve scalability or support AI deployment.</w:t>
      </w:r>
    </w:p>
    <w:p w14:paraId="458C229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This reflects value-based selling research. Kienzler (2019) and Terho et al. (2015) emphasise understanding and communicating customer value rather than relying only on product features. </w:t>
      </w:r>
    </w:p>
    <w:p w14:paraId="2C17D59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Value-based selling is particularly important for AI because customers may struggle to quantify returns from emerging technologies. Salespeople should therefore develop customer-specific business cases based on productivity, revenue, risk or cost outcomes.</w:t>
      </w:r>
    </w:p>
    <w:p w14:paraId="296A00C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However, salespeople must avoid overstating expected benefits. If promised value fails to materialise, short-term sales success can undermine trust and renewal probability.</w:t>
      </w:r>
    </w:p>
    <w:p w14:paraId="62ACED51"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5.7 Key Account and Relationship Management</w:t>
      </w:r>
    </w:p>
    <w:p w14:paraId="1F19358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Large enterprise customers can generate substantial revenue across multiple Microsoft solutions and years. KAM is therefore central to Microsoft's B2B strategy.</w:t>
      </w:r>
    </w:p>
    <w:p w14:paraId="2526AA7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Research shows that KAM should not be treated simply as assigning a salesperson to an important customer. Effective programmes require organisational, strategic and relational capabilities (</w:t>
      </w:r>
      <w:proofErr w:type="spellStart"/>
      <w:r w:rsidRPr="00EB3E61">
        <w:rPr>
          <w:rFonts w:ascii="Times New Roman" w:hAnsi="Times New Roman" w:cs="Times New Roman"/>
        </w:rPr>
        <w:t>Tzempelikos</w:t>
      </w:r>
      <w:proofErr w:type="spellEnd"/>
      <w:r w:rsidRPr="00EB3E61">
        <w:rPr>
          <w:rFonts w:ascii="Times New Roman" w:hAnsi="Times New Roman" w:cs="Times New Roman"/>
        </w:rPr>
        <w:t xml:space="preserve"> &amp; Gounaris, 2015). </w:t>
      </w:r>
    </w:p>
    <w:p w14:paraId="5765B8A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account managers therefore need to coordinate technical specialists, customer-success teams and senior management. They also need to understand the customer's strategic priorities.</w:t>
      </w:r>
    </w:p>
    <w:p w14:paraId="746A6F7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relationship should continue after the initial contract. Customer success becomes important because adoption and value realisation influence retention and expansion.</w:t>
      </w:r>
    </w:p>
    <w:p w14:paraId="3243A91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creates a virtuous cycle:</w:t>
      </w:r>
    </w:p>
    <w:p w14:paraId="68BA7DF1"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Understanding → Relevant Solution → Adoption → Demonstrated Value → Trust → Renewal → Expansion → Higher Lifetime Value</w:t>
      </w:r>
    </w:p>
    <w:p w14:paraId="557E754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However, dependency creates risks. Customers may resist vendor lock-in or seek multi-cloud strategies. Microsoft's account strategy therefore needs to demonstrate continuing customer value rather than relying primarily on switching barriers.</w:t>
      </w:r>
    </w:p>
    <w:p w14:paraId="6F66A9EA"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5.8 Digital and AI-Enabled Selling</w:t>
      </w:r>
    </w:p>
    <w:p w14:paraId="509176E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can use digital tools across prospecting, lead scoring, communication, forecasting, proposal preparation and account management.</w:t>
      </w:r>
    </w:p>
    <w:p w14:paraId="778AA61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Research by Mukhopadhyay et al. (2025) suggests that digital sales enablement can improve customer-facing interactions, internal efficiency and salesperson capabilities. </w:t>
      </w:r>
    </w:p>
    <w:p w14:paraId="1D13F44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Generative AI can further support salespeople by summarising meetings, preparing account research, identifying opportunities and producing first drafts of communications. These capabilities can reduce administrative work and increase customer-facing time.</w:t>
      </w:r>
    </w:p>
    <w:p w14:paraId="218F8CA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However, digital transformation should not be equated with automation. Research warns that technology adoption does not automatically generate productivity improvements (Wengler et al., 2021). </w:t>
      </w:r>
    </w:p>
    <w:p w14:paraId="1B12DCD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There are also governance concerns involving customer data, inaccurate AI outputs and excessive automation of relationship interactions.</w:t>
      </w:r>
    </w:p>
    <w:p w14:paraId="3DAF3AF0" w14:textId="77777777" w:rsidR="00EB3E61" w:rsidRDefault="00EB3E61" w:rsidP="00EB3E61">
      <w:pPr>
        <w:rPr>
          <w:rFonts w:ascii="Times New Roman" w:hAnsi="Times New Roman" w:cs="Times New Roman"/>
        </w:rPr>
      </w:pPr>
      <w:r w:rsidRPr="00EB3E61">
        <w:rPr>
          <w:rFonts w:ascii="Times New Roman" w:hAnsi="Times New Roman" w:cs="Times New Roman"/>
        </w:rPr>
        <w:t xml:space="preserve">Therefore, Microsoft should follow a </w:t>
      </w:r>
      <w:r w:rsidRPr="00EB3E61">
        <w:rPr>
          <w:rFonts w:ascii="Times New Roman" w:hAnsi="Times New Roman" w:cs="Times New Roman"/>
          <w:b/>
          <w:bCs/>
        </w:rPr>
        <w:t>human-plus-AI model</w:t>
      </w:r>
      <w:r w:rsidRPr="00EB3E61">
        <w:rPr>
          <w:rFonts w:ascii="Times New Roman" w:hAnsi="Times New Roman" w:cs="Times New Roman"/>
        </w:rPr>
        <w:t>. AI performs data-intensive and repetitive tasks, while sales professionals retain responsibility for negotiation, ethical judgement, relationship development and strategic value communication.</w:t>
      </w:r>
    </w:p>
    <w:p w14:paraId="2D30FE09" w14:textId="77777777" w:rsidR="00EB3E61" w:rsidRPr="00EB3E61" w:rsidRDefault="00EB3E61" w:rsidP="00EB3E61">
      <w:pPr>
        <w:rPr>
          <w:rFonts w:ascii="Times New Roman" w:hAnsi="Times New Roman" w:cs="Times New Roman"/>
        </w:rPr>
      </w:pPr>
    </w:p>
    <w:p w14:paraId="0674D552"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5.9 Competitive Pressures and Changing Customer Expectations</w:t>
      </w:r>
    </w:p>
    <w:p w14:paraId="4B284CE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competes across different categories with specialised and platform competitors. Competitive advantage therefore cannot depend simply on having a strong product.</w:t>
      </w:r>
    </w:p>
    <w:p w14:paraId="641A466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Customers increasingly expect integration, security, measurable ROI, flexible commercial arrangements and effective post-sale support. Generative AI has intensified these expectations because customers want rapid innovation but also require governance and reliability.</w:t>
      </w:r>
    </w:p>
    <w:p w14:paraId="5F0ACDA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Microsoft's ecosystem creates an advantage because solutions can be integrated across productivity, cloud, data, security and business applications.</w:t>
      </w:r>
    </w:p>
    <w:p w14:paraId="3C7F83E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Yet bundling creates a strategic tension. Integrated offerings may simplify procurement and increase customer value, but customers may also fear dependence on a single technology provider.</w:t>
      </w:r>
    </w:p>
    <w:p w14:paraId="02F3729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 teams therefore need to position integration in terms of measurable customer outcomes rather than simply encouraging customers to purchase more Microsoft products.</w:t>
      </w:r>
    </w:p>
    <w:p w14:paraId="508087AA" w14:textId="4B8E6FBE" w:rsidR="00EB3E61" w:rsidRPr="00EB3E61" w:rsidRDefault="00EB3E61" w:rsidP="00EB3E61">
      <w:pPr>
        <w:rPr>
          <w:rFonts w:ascii="Times New Roman" w:hAnsi="Times New Roman" w:cs="Times New Roman"/>
        </w:rPr>
      </w:pPr>
    </w:p>
    <w:p w14:paraId="6DE1590D"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6. Discussion</w:t>
      </w:r>
    </w:p>
    <w:p w14:paraId="792245D3"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6.1 Contribution of Sales Strategy to Competitive Advantage</w:t>
      </w:r>
    </w:p>
    <w:p w14:paraId="32DDA47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demonstrates how sales strategy can contribute to competitive advantage through customer knowledge, solution integration, long-term relationships and scalable digital capabilities.</w:t>
      </w:r>
    </w:p>
    <w:p w14:paraId="7BFB49F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firm's product portfolio enables account expansion, while subscription and cloud models create recurring revenue. These characteristics make customer lifetime value strategically more important than individual transactions.</w:t>
      </w:r>
    </w:p>
    <w:p w14:paraId="72514F4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Microsoft's commercial performance provides evidence of the scale of this approach. FY2026 Microsoft Cloud revenue reached $214.4 billion and commercial remaining performance obligations reached $678 billion. </w:t>
      </w:r>
    </w:p>
    <w:p w14:paraId="345C8E19" w14:textId="77777777" w:rsidR="00EB3E61" w:rsidRDefault="00EB3E61" w:rsidP="00EB3E61">
      <w:pPr>
        <w:rPr>
          <w:rFonts w:ascii="Times New Roman" w:hAnsi="Times New Roman" w:cs="Times New Roman"/>
        </w:rPr>
      </w:pPr>
      <w:r w:rsidRPr="00EB3E61">
        <w:rPr>
          <w:rFonts w:ascii="Times New Roman" w:hAnsi="Times New Roman" w:cs="Times New Roman"/>
        </w:rPr>
        <w:t xml:space="preserve">However, these results should not be attributed exclusively to sales management. Product quality, market demand for cloud and AI, Microsoft's installed base, acquisitions, partner ecosystems and technology investment also contribute. A critical analysis must therefore avoid </w:t>
      </w:r>
      <w:proofErr w:type="gramStart"/>
      <w:r w:rsidRPr="00EB3E61">
        <w:rPr>
          <w:rFonts w:ascii="Times New Roman" w:hAnsi="Times New Roman" w:cs="Times New Roman"/>
        </w:rPr>
        <w:t>assuming that</w:t>
      </w:r>
      <w:proofErr w:type="gramEnd"/>
      <w:r w:rsidRPr="00EB3E61">
        <w:rPr>
          <w:rFonts w:ascii="Times New Roman" w:hAnsi="Times New Roman" w:cs="Times New Roman"/>
        </w:rPr>
        <w:t xml:space="preserve"> revenue growth proves sales-strategy effectiveness by itself.</w:t>
      </w:r>
    </w:p>
    <w:p w14:paraId="679D9B86" w14:textId="77777777" w:rsidR="00EB3E61" w:rsidRDefault="00EB3E61" w:rsidP="00EB3E61">
      <w:pPr>
        <w:rPr>
          <w:rFonts w:ascii="Times New Roman" w:hAnsi="Times New Roman" w:cs="Times New Roman"/>
        </w:rPr>
      </w:pPr>
    </w:p>
    <w:p w14:paraId="3756496F" w14:textId="77777777" w:rsidR="00EB3E61" w:rsidRDefault="00EB3E61" w:rsidP="00EB3E61">
      <w:pPr>
        <w:rPr>
          <w:rFonts w:ascii="Times New Roman" w:hAnsi="Times New Roman" w:cs="Times New Roman"/>
        </w:rPr>
      </w:pPr>
    </w:p>
    <w:p w14:paraId="718DC8AC" w14:textId="77777777" w:rsidR="00EB3E61" w:rsidRPr="00EB3E61" w:rsidRDefault="00EB3E61" w:rsidP="00EB3E61">
      <w:pPr>
        <w:rPr>
          <w:rFonts w:ascii="Times New Roman" w:hAnsi="Times New Roman" w:cs="Times New Roman"/>
        </w:rPr>
      </w:pPr>
    </w:p>
    <w:p w14:paraId="5DC42D6C"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6.2 Sales and Marketing Alignment</w:t>
      </w:r>
    </w:p>
    <w:p w14:paraId="4A0F67F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boundary between marketing and sales has become increasingly blurred.</w:t>
      </w:r>
    </w:p>
    <w:p w14:paraId="4C155A5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Marketing generates digital content, market insights and demand. Salespeople provide direct customer intelligence. Customer-success functions support adoption after purchase.</w:t>
      </w:r>
    </w:p>
    <w:p w14:paraId="6A38422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optimal model is therefore an integrated revenue process rather than isolated departments.</w:t>
      </w:r>
    </w:p>
    <w:p w14:paraId="0B4EBDF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The literature nevertheless demonstrates that sales-marketing interfaces can experience structural and interpersonal challenges. Digitalisation can even create additional information and power tensions if roles are unclear. </w:t>
      </w:r>
    </w:p>
    <w:p w14:paraId="66DB7B5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consequently use shared customer data, common definitions of qualified opportunities and integrated performance metrics.</w:t>
      </w:r>
    </w:p>
    <w:p w14:paraId="0D185A35"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6.3 Customer Lifetime Value and Recurring Revenue</w:t>
      </w:r>
    </w:p>
    <w:p w14:paraId="7A49584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Subscription models change the economics of sales.</w:t>
      </w:r>
    </w:p>
    <w:p w14:paraId="6ACD72E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Under a transactional model:</w:t>
      </w:r>
    </w:p>
    <w:p w14:paraId="66BD647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Sale → Revenue → Relationship may end</w:t>
      </w:r>
    </w:p>
    <w:p w14:paraId="0AC4797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Under a subscription model:</w:t>
      </w:r>
    </w:p>
    <w:p w14:paraId="2E744EE1"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Acquisition → Adoption → Usage → Renewal → Expansion → Lifetime Value</w:t>
      </w:r>
    </w:p>
    <w:p w14:paraId="3F02CB4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second model requires sales strategy to consider the entire customer lifecycle.</w:t>
      </w:r>
    </w:p>
    <w:p w14:paraId="693C5B5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means customer success is economically connected to sales performance. A poorly matched customer may create initial revenue but later churn. Conversely, a smaller initial contract may produce substantial lifetime value if customer usage expands.</w:t>
      </w:r>
    </w:p>
    <w:p w14:paraId="4B88496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Therefore, strategic sales management should optimise long-term customer economics rather than only quarterly bookings.</w:t>
      </w:r>
    </w:p>
    <w:p w14:paraId="4674F4D8"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6.4 Critical Challenges and Limitations</w:t>
      </w:r>
    </w:p>
    <w:p w14:paraId="0FE1E90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Microsoft's sales strategy faces several challenges.</w:t>
      </w:r>
    </w:p>
    <w:p w14:paraId="68B63E6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First, portfolio complexity can overwhelm both customers and salespeople. More products create cross-selling opportunities but also increase the expertise required to diagnose customer needs.</w:t>
      </w:r>
    </w:p>
    <w:p w14:paraId="32842B5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Second, AI can improve sales productivity but also produce excessive automation. High-value B2B selling remains dependent on trust, judgement and problem-solving.</w:t>
      </w:r>
    </w:p>
    <w:p w14:paraId="137E839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Third, key-account programmes can consume disproportionate resources. Research indicates that KAM benefits may take time to translate into financial outcomes. Therefore, management must evaluate both relational and financial performance.</w:t>
      </w:r>
    </w:p>
    <w:p w14:paraId="778BF8E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lastRenderedPageBreak/>
        <w:t>Fourth, forecasting can become overly dependent on historical data during periods of technological disruption.</w:t>
      </w:r>
    </w:p>
    <w:p w14:paraId="4FD95C3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Finally, aggressive cross-selling can conflict with customer orientation. Microsoft's strategic advantage depends on convincing customers that integrated solutions improve their outcomes rather than simply maximising Microsoft's share of customer spending.</w:t>
      </w:r>
    </w:p>
    <w:p w14:paraId="60B4563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pict w14:anchorId="10B04A48">
          <v:rect id="_x0000_i1385" style="width:0;height:1.5pt" o:hralign="center" o:hrstd="t" o:hr="t" fillcolor="#a0a0a0" stroked="f"/>
        </w:pict>
      </w:r>
    </w:p>
    <w:p w14:paraId="015C75D1"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 Recommendations</w:t>
      </w:r>
    </w:p>
    <w:p w14:paraId="532093BD"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7.1 Develop AI-Assisted but Human-Validated Sales Forecasting</w:t>
      </w:r>
    </w:p>
    <w:p w14:paraId="23D0981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further integrate CRM information, customer usage, renewal data, pipeline progression and market indicators into predictive forecasting.</w:t>
      </w:r>
    </w:p>
    <w:p w14:paraId="1466CAC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AI should produce probability-based forecasts and identify unusual changes, while account managers should provide contextual judgement. Forecast accuracy should itself become a managerial KPI.</w:t>
      </w:r>
    </w:p>
    <w:p w14:paraId="467CE3E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would combine scalability with the qualitative knowledge of salespeople.</w:t>
      </w:r>
    </w:p>
    <w:p w14:paraId="404082BE"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7.2 Shift Sales Metrics Toward Customer Outcomes</w:t>
      </w:r>
    </w:p>
    <w:p w14:paraId="05E47AB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Salesperson evaluation should balance revenue with customer adoption, retention, expansion and measurable value realisation.</w:t>
      </w:r>
    </w:p>
    <w:p w14:paraId="29452B4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A balanced scorecard could include:</w:t>
      </w:r>
    </w:p>
    <w:p w14:paraId="5D9935D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Revenue + Renewal + Adoption + Expansion + Customer Outcomes + Forecast Accuracy</w:t>
      </w:r>
    </w:p>
    <w:p w14:paraId="59B3D2D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would reduce incentives for salespeople to prioritise contracts that generate short-term bookings but weak long-term customer value.</w:t>
      </w:r>
    </w:p>
    <w:p w14:paraId="62ACA2D3"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7.3 Strengthen Sales-Marketing-Customer Success Integration</w:t>
      </w:r>
    </w:p>
    <w:p w14:paraId="13EF6A3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operate integrated account teams around the customer lifecycle.</w:t>
      </w:r>
    </w:p>
    <w:p w14:paraId="62CBB47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Marketing should provide market intelligence and demand generation; sales should diagnose needs and develop commercial solutions; customer success should ensure adoption and value realisation.</w:t>
      </w:r>
    </w:p>
    <w:p w14:paraId="3BD6772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Shared CRM information and common customer metrics should minimise functional silos. This is particularly important because research shows that digitalisation itself can create sales-marketing tensions when integration is inadequate. </w:t>
      </w:r>
    </w:p>
    <w:p w14:paraId="2DA59857"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7.4 Expand Value-Based Selling Capability</w:t>
      </w:r>
    </w:p>
    <w:p w14:paraId="44D2098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lastRenderedPageBreak/>
        <w:t>Sales training should increasingly focus on financial and strategic customer outcomes rather than product knowledge alone.</w:t>
      </w:r>
    </w:p>
    <w:p w14:paraId="48C4B4F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For major opportunities, salespeople should quantify expected value using measures such as:</w:t>
      </w:r>
    </w:p>
    <w:p w14:paraId="3D606783"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Value = Incremental Revenue + Cost Savings + Productivity Benefits + Risk Reduction − Total Customer Cost</w:t>
      </w:r>
    </w:p>
    <w:p w14:paraId="366FF45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This would strengthen business cases for complex cloud and AI investments and is consistent with evidence linking value-based selling to performance. </w:t>
      </w:r>
    </w:p>
    <w:p w14:paraId="7FFE8393"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7.5 Differentiate Key Account Investment</w:t>
      </w:r>
    </w:p>
    <w:p w14:paraId="620A9EE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Not every large customer should automatically receive the same sales resources.</w:t>
      </w:r>
    </w:p>
    <w:p w14:paraId="4C7EF18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evaluate accounts using current revenue, future potential, profitability, strategic importance, relationship strength and expansion opportunity.</w:t>
      </w:r>
    </w:p>
    <w:p w14:paraId="3D050B0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High-value strategic accounts should receive multidisciplinary teams, whereas lower-complexity customers should increasingly use partner-led and digital channels.</w:t>
      </w:r>
    </w:p>
    <w:p w14:paraId="05841755"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7.6 Use AI to Increase Selling Time, Not Replace Relationships</w:t>
      </w:r>
    </w:p>
    <w:p w14:paraId="377FD5E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Generative AI should automate meeting summaries, CRM updates, routine research and first-draft proposals.</w:t>
      </w:r>
    </w:p>
    <w:p w14:paraId="3E3E817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Time saved should be redirected toward customer discovery, strategic conversations and relationship development.</w:t>
      </w:r>
    </w:p>
    <w:p w14:paraId="7EFAB8E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This follows the research finding that digital enablement can strengthen internal efficiency and salesperson capabilities, while recognising that technology alone does not guarantee improved sales outcomes. </w:t>
      </w:r>
    </w:p>
    <w:p w14:paraId="739478F7"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7.7 Establish Continuous Territory and Opportunity Reallocation</w:t>
      </w:r>
    </w:p>
    <w:p w14:paraId="21F1901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Traditional annual territory planning may be too static for rapidly changing technology markets.</w:t>
      </w:r>
    </w:p>
    <w:p w14:paraId="4B31C60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periodically recalculate account potential based on AI adoption, cloud usage, growth, industry conditions and purchase signals. Sales resources can then be shifted toward opportunities where incremental effort has the greatest expected return.</w:t>
      </w:r>
    </w:p>
    <w:p w14:paraId="4F85F3A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Together, these recommendations would move Microsoft toward an integrated, customer-value-driven and analytically enabled sales system without losing the human capabilities required for complex enterprise relationships.</w:t>
      </w:r>
    </w:p>
    <w:p w14:paraId="60E1E91F" w14:textId="67585150" w:rsidR="00EB3E61" w:rsidRDefault="00EB3E61" w:rsidP="00EB3E61">
      <w:pPr>
        <w:rPr>
          <w:rFonts w:ascii="Times New Roman" w:hAnsi="Times New Roman" w:cs="Times New Roman"/>
        </w:rPr>
      </w:pPr>
    </w:p>
    <w:p w14:paraId="6D7C1FCA" w14:textId="77777777" w:rsidR="00EB3E61" w:rsidRPr="00EB3E61" w:rsidRDefault="00EB3E61" w:rsidP="00EB3E61">
      <w:pPr>
        <w:rPr>
          <w:rFonts w:ascii="Times New Roman" w:hAnsi="Times New Roman" w:cs="Times New Roman"/>
        </w:rPr>
      </w:pPr>
    </w:p>
    <w:p w14:paraId="55B929B8"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8. Conclusion</w:t>
      </w:r>
    </w:p>
    <w:p w14:paraId="3B82616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This report critically examined strategic sales planning and competitive advantage through Microsoft Corporation. The analysis demonstrates that modern sales management extends far beyond selling products or supervising salespeople. It encompasses market analysis, segmentation, resource allocation, forecasting, customer-value creation, relationship management, cross-functional coordination and digital transformation.</w:t>
      </w:r>
    </w:p>
    <w:p w14:paraId="13E01D17"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Microsoft's cloud and subscription businesses illustrate these principles particularly clearly. Its integrated portfolio enables cross-selling and account expansion, while recurring-revenue models increase the importance of retention, adoption and customer lifetime value. FY2026 Microsoft Cloud revenue of $214.4 billion and commercial remaining performance obligations of $678 billion </w:t>
      </w:r>
      <w:proofErr w:type="gramStart"/>
      <w:r w:rsidRPr="00EB3E61">
        <w:rPr>
          <w:rFonts w:ascii="Times New Roman" w:hAnsi="Times New Roman" w:cs="Times New Roman"/>
        </w:rPr>
        <w:t>demonstrate</w:t>
      </w:r>
      <w:proofErr w:type="gramEnd"/>
      <w:r w:rsidRPr="00EB3E61">
        <w:rPr>
          <w:rFonts w:ascii="Times New Roman" w:hAnsi="Times New Roman" w:cs="Times New Roman"/>
        </w:rPr>
        <w:t xml:space="preserve"> the commercial scale of these long-term customer relationships. </w:t>
      </w:r>
    </w:p>
    <w:p w14:paraId="17C8BF5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The academic evidence nevertheless demonstrates that technology alone cannot create effective sales management. Adaptive selling, value communication, customer orientation, internal coordination and key-account capabilities remain important. Digital technologies can improve efficiency and decision-making but require appropriate organisational implementation.</w:t>
      </w:r>
    </w:p>
    <w:p w14:paraId="0B60569A"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Microsoft should consequently combine AI-enabled forecasting and sales productivity with human relationship management. Performance measures should extend beyond initial revenue to include adoption, retention, expansion, customer outcomes and forecast accuracy. Similarly, stronger integration between sales, marketing and customer success would help align customer acquisition with long-term value creation.</w:t>
      </w:r>
    </w:p>
    <w:p w14:paraId="09E7131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Overall, Microsoft's case demonstrates that sustainable competitive advantage in sales does not arise simply from having more salespeople or more sophisticated technology. It emerges when an organisation systematically directs its people, information, technology and customer relationships toward creating mutually valuable outcomes over time.</w:t>
      </w:r>
    </w:p>
    <w:p w14:paraId="00D2FA60" w14:textId="4DDC7F71" w:rsidR="00EB3E61" w:rsidRDefault="00EB3E61" w:rsidP="00EB3E61">
      <w:pPr>
        <w:rPr>
          <w:rFonts w:ascii="Times New Roman" w:hAnsi="Times New Roman" w:cs="Times New Roman"/>
        </w:rPr>
      </w:pPr>
    </w:p>
    <w:p w14:paraId="1130F1DC" w14:textId="77777777" w:rsidR="00EB3E61" w:rsidRDefault="00EB3E61" w:rsidP="00EB3E61">
      <w:pPr>
        <w:rPr>
          <w:rFonts w:ascii="Times New Roman" w:hAnsi="Times New Roman" w:cs="Times New Roman"/>
        </w:rPr>
      </w:pPr>
    </w:p>
    <w:p w14:paraId="34B9D858" w14:textId="77777777" w:rsidR="00EB3E61" w:rsidRDefault="00EB3E61" w:rsidP="00EB3E61">
      <w:pPr>
        <w:rPr>
          <w:rFonts w:ascii="Times New Roman" w:hAnsi="Times New Roman" w:cs="Times New Roman"/>
        </w:rPr>
      </w:pPr>
    </w:p>
    <w:p w14:paraId="13C6EEF6" w14:textId="77777777" w:rsidR="00EB3E61" w:rsidRDefault="00EB3E61" w:rsidP="00EB3E61">
      <w:pPr>
        <w:rPr>
          <w:rFonts w:ascii="Times New Roman" w:hAnsi="Times New Roman" w:cs="Times New Roman"/>
        </w:rPr>
      </w:pPr>
    </w:p>
    <w:p w14:paraId="4DEB6459" w14:textId="77777777" w:rsidR="00EB3E61" w:rsidRDefault="00EB3E61" w:rsidP="00EB3E61">
      <w:pPr>
        <w:rPr>
          <w:rFonts w:ascii="Times New Roman" w:hAnsi="Times New Roman" w:cs="Times New Roman"/>
        </w:rPr>
      </w:pPr>
    </w:p>
    <w:p w14:paraId="6A311415" w14:textId="77777777" w:rsidR="00EB3E61" w:rsidRDefault="00EB3E61" w:rsidP="00EB3E61">
      <w:pPr>
        <w:rPr>
          <w:rFonts w:ascii="Times New Roman" w:hAnsi="Times New Roman" w:cs="Times New Roman"/>
        </w:rPr>
      </w:pPr>
    </w:p>
    <w:p w14:paraId="5E0E5F76" w14:textId="77777777" w:rsidR="00EB3E61" w:rsidRDefault="00EB3E61" w:rsidP="00EB3E61">
      <w:pPr>
        <w:rPr>
          <w:rFonts w:ascii="Times New Roman" w:hAnsi="Times New Roman" w:cs="Times New Roman"/>
        </w:rPr>
      </w:pPr>
    </w:p>
    <w:p w14:paraId="58B4B88E" w14:textId="77777777" w:rsidR="00EB3E61" w:rsidRDefault="00EB3E61" w:rsidP="00EB3E61">
      <w:pPr>
        <w:rPr>
          <w:rFonts w:ascii="Times New Roman" w:hAnsi="Times New Roman" w:cs="Times New Roman"/>
        </w:rPr>
      </w:pPr>
    </w:p>
    <w:p w14:paraId="647E35BA" w14:textId="77777777" w:rsidR="00EB3E61" w:rsidRPr="00EB3E61" w:rsidRDefault="00EB3E61" w:rsidP="00EB3E61">
      <w:pPr>
        <w:rPr>
          <w:rFonts w:ascii="Times New Roman" w:hAnsi="Times New Roman" w:cs="Times New Roman"/>
        </w:rPr>
      </w:pPr>
    </w:p>
    <w:p w14:paraId="38DBD2C6"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9. References</w:t>
      </w:r>
    </w:p>
    <w:p w14:paraId="62F7587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Franke, G. R., &amp; Park, J. E. (2006). Salesperson adaptive selling </w:t>
      </w:r>
      <w:proofErr w:type="spellStart"/>
      <w:r w:rsidRPr="00EB3E61">
        <w:rPr>
          <w:rFonts w:ascii="Times New Roman" w:hAnsi="Times New Roman" w:cs="Times New Roman"/>
        </w:rPr>
        <w:t>behavior</w:t>
      </w:r>
      <w:proofErr w:type="spellEnd"/>
      <w:r w:rsidRPr="00EB3E61">
        <w:rPr>
          <w:rFonts w:ascii="Times New Roman" w:hAnsi="Times New Roman" w:cs="Times New Roman"/>
        </w:rPr>
        <w:t xml:space="preserve"> and customer orientation: A meta-analysis. </w:t>
      </w:r>
      <w:r w:rsidRPr="00EB3E61">
        <w:rPr>
          <w:rFonts w:ascii="Times New Roman" w:hAnsi="Times New Roman" w:cs="Times New Roman"/>
          <w:i/>
          <w:iCs/>
        </w:rPr>
        <w:t>Journal of Marketing Research, 43</w:t>
      </w:r>
      <w:r w:rsidRPr="00EB3E61">
        <w:rPr>
          <w:rFonts w:ascii="Times New Roman" w:hAnsi="Times New Roman" w:cs="Times New Roman"/>
        </w:rPr>
        <w:t xml:space="preserve">(4), 693–702. </w:t>
      </w:r>
      <w:hyperlink r:id="rId5" w:tgtFrame="_new" w:history="1">
        <w:r w:rsidRPr="00EB3E61">
          <w:rPr>
            <w:rStyle w:val="Hyperlink"/>
            <w:rFonts w:ascii="Times New Roman" w:hAnsi="Times New Roman" w:cs="Times New Roman"/>
          </w:rPr>
          <w:t>https://doi.org/10.1509/jmkr.43.4.693</w:t>
        </w:r>
      </w:hyperlink>
      <w:r w:rsidRPr="00EB3E61">
        <w:rPr>
          <w:rFonts w:ascii="Times New Roman" w:hAnsi="Times New Roman" w:cs="Times New Roman"/>
        </w:rPr>
        <w:t xml:space="preserve"> </w:t>
      </w:r>
    </w:p>
    <w:p w14:paraId="460AA72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Hengstebeck, B. B., Kassemeier, R., &amp; </w:t>
      </w:r>
      <w:proofErr w:type="spellStart"/>
      <w:r w:rsidRPr="00EB3E61">
        <w:rPr>
          <w:rFonts w:ascii="Times New Roman" w:hAnsi="Times New Roman" w:cs="Times New Roman"/>
        </w:rPr>
        <w:t>Wieseke</w:t>
      </w:r>
      <w:proofErr w:type="spellEnd"/>
      <w:r w:rsidRPr="00EB3E61">
        <w:rPr>
          <w:rFonts w:ascii="Times New Roman" w:hAnsi="Times New Roman" w:cs="Times New Roman"/>
        </w:rPr>
        <w:t xml:space="preserve">, J. (2022). What comprises a successful key account manager? Differences in the drivers of sales performance between key account managers and regular salespeople. </w:t>
      </w:r>
      <w:r w:rsidRPr="00EB3E61">
        <w:rPr>
          <w:rFonts w:ascii="Times New Roman" w:hAnsi="Times New Roman" w:cs="Times New Roman"/>
          <w:i/>
          <w:iCs/>
        </w:rPr>
        <w:t>Industrial Marketing Management, 106</w:t>
      </w:r>
      <w:r w:rsidRPr="00EB3E61">
        <w:rPr>
          <w:rFonts w:ascii="Times New Roman" w:hAnsi="Times New Roman" w:cs="Times New Roman"/>
        </w:rPr>
        <w:t xml:space="preserve">, 392–404. </w:t>
      </w:r>
      <w:hyperlink r:id="rId6" w:tgtFrame="_new" w:history="1">
        <w:r w:rsidRPr="00EB3E61">
          <w:rPr>
            <w:rStyle w:val="Hyperlink"/>
            <w:rFonts w:ascii="Times New Roman" w:hAnsi="Times New Roman" w:cs="Times New Roman"/>
          </w:rPr>
          <w:t>https://doi.org/10.1016/j.indmarman.2022.09.003</w:t>
        </w:r>
      </w:hyperlink>
      <w:r w:rsidRPr="00EB3E61">
        <w:rPr>
          <w:rFonts w:ascii="Times New Roman" w:hAnsi="Times New Roman" w:cs="Times New Roman"/>
        </w:rPr>
        <w:t xml:space="preserve"> </w:t>
      </w:r>
    </w:p>
    <w:p w14:paraId="21BC352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Kienzler, M. (2019). Value-based selling: A multi-component exploration. </w:t>
      </w:r>
      <w:r w:rsidRPr="00EB3E61">
        <w:rPr>
          <w:rFonts w:ascii="Times New Roman" w:hAnsi="Times New Roman" w:cs="Times New Roman"/>
          <w:i/>
          <w:iCs/>
        </w:rPr>
        <w:t>Journal of Business &amp; Industrial Marketing, 34</w:t>
      </w:r>
      <w:r w:rsidRPr="00EB3E61">
        <w:rPr>
          <w:rFonts w:ascii="Times New Roman" w:hAnsi="Times New Roman" w:cs="Times New Roman"/>
        </w:rPr>
        <w:t xml:space="preserve">(2), 360–373. </w:t>
      </w:r>
      <w:hyperlink r:id="rId7" w:tgtFrame="_new" w:history="1">
        <w:r w:rsidRPr="00EB3E61">
          <w:rPr>
            <w:rStyle w:val="Hyperlink"/>
            <w:rFonts w:ascii="Times New Roman" w:hAnsi="Times New Roman" w:cs="Times New Roman"/>
          </w:rPr>
          <w:t>https://doi.org/10.1108/JBIM-02-2017-0037</w:t>
        </w:r>
      </w:hyperlink>
      <w:r w:rsidRPr="00EB3E61">
        <w:rPr>
          <w:rFonts w:ascii="Times New Roman" w:hAnsi="Times New Roman" w:cs="Times New Roman"/>
        </w:rPr>
        <w:t xml:space="preserve"> </w:t>
      </w:r>
    </w:p>
    <w:p w14:paraId="4C50D24B"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Mukhopadhyay, S., Terho, H., Singh, R., &amp; Rangarajan, D. (2025). Enhancing B2B sales through digital transformation: Insights into effective sales enablement. </w:t>
      </w:r>
      <w:r w:rsidRPr="00EB3E61">
        <w:rPr>
          <w:rFonts w:ascii="Times New Roman" w:hAnsi="Times New Roman" w:cs="Times New Roman"/>
          <w:i/>
          <w:iCs/>
        </w:rPr>
        <w:t>Industrial Marketing Management, 125</w:t>
      </w:r>
      <w:r w:rsidRPr="00EB3E61">
        <w:rPr>
          <w:rFonts w:ascii="Times New Roman" w:hAnsi="Times New Roman" w:cs="Times New Roman"/>
        </w:rPr>
        <w:t xml:space="preserve">, 29–47. </w:t>
      </w:r>
      <w:hyperlink r:id="rId8" w:tgtFrame="_new" w:history="1">
        <w:r w:rsidRPr="00EB3E61">
          <w:rPr>
            <w:rStyle w:val="Hyperlink"/>
            <w:rFonts w:ascii="Times New Roman" w:hAnsi="Times New Roman" w:cs="Times New Roman"/>
          </w:rPr>
          <w:t>https://doi.org/10.1016/j.indmarman.2024.12.009</w:t>
        </w:r>
      </w:hyperlink>
      <w:r w:rsidRPr="00EB3E61">
        <w:rPr>
          <w:rFonts w:ascii="Times New Roman" w:hAnsi="Times New Roman" w:cs="Times New Roman"/>
        </w:rPr>
        <w:t xml:space="preserve"> </w:t>
      </w:r>
    </w:p>
    <w:p w14:paraId="53A0640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Singh, R. P., Singh, R., &amp; Mishra, P. (2021). Does managing customer accounts receivable impact customer relationships, and sales performance? An empirical investigation. </w:t>
      </w:r>
      <w:r w:rsidRPr="00EB3E61">
        <w:rPr>
          <w:rFonts w:ascii="Times New Roman" w:hAnsi="Times New Roman" w:cs="Times New Roman"/>
          <w:i/>
          <w:iCs/>
        </w:rPr>
        <w:t>Journal of Retailing and Consumer Services, 60</w:t>
      </w:r>
      <w:r w:rsidRPr="00EB3E61">
        <w:rPr>
          <w:rFonts w:ascii="Times New Roman" w:hAnsi="Times New Roman" w:cs="Times New Roman"/>
        </w:rPr>
        <w:t xml:space="preserve">, 102460. </w:t>
      </w:r>
      <w:hyperlink r:id="rId9" w:tgtFrame="_new" w:history="1">
        <w:r w:rsidRPr="00EB3E61">
          <w:rPr>
            <w:rStyle w:val="Hyperlink"/>
            <w:rFonts w:ascii="Times New Roman" w:hAnsi="Times New Roman" w:cs="Times New Roman"/>
          </w:rPr>
          <w:t>https://doi.org/10.1016/j.jretconser.2021.102460</w:t>
        </w:r>
      </w:hyperlink>
      <w:r w:rsidRPr="00EB3E61">
        <w:rPr>
          <w:rFonts w:ascii="Times New Roman" w:hAnsi="Times New Roman" w:cs="Times New Roman"/>
        </w:rPr>
        <w:t xml:space="preserve"> </w:t>
      </w:r>
    </w:p>
    <w:p w14:paraId="4B29759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Terho, H., Eggert, A., Haas, A., &amp; Ulaga, W. (2015). How sales strategy translates into performance: The role of salesperson customer orientation and value-based selling. </w:t>
      </w:r>
      <w:r w:rsidRPr="00EB3E61">
        <w:rPr>
          <w:rFonts w:ascii="Times New Roman" w:hAnsi="Times New Roman" w:cs="Times New Roman"/>
          <w:i/>
          <w:iCs/>
        </w:rPr>
        <w:t>Industrial Marketing Management, 45</w:t>
      </w:r>
      <w:r w:rsidRPr="00EB3E61">
        <w:rPr>
          <w:rFonts w:ascii="Times New Roman" w:hAnsi="Times New Roman" w:cs="Times New Roman"/>
        </w:rPr>
        <w:t xml:space="preserve">, 12–21. https://doi.org/10.1016/j.indmarman.2015.02.017 </w:t>
      </w:r>
    </w:p>
    <w:p w14:paraId="109226E3"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t>Tzempelikos</w:t>
      </w:r>
      <w:proofErr w:type="spellEnd"/>
      <w:r w:rsidRPr="00EB3E61">
        <w:rPr>
          <w:rFonts w:ascii="Times New Roman" w:hAnsi="Times New Roman" w:cs="Times New Roman"/>
        </w:rPr>
        <w:t xml:space="preserve">, N., &amp; Gounaris, S. (2015). Linking key account management practices to performance outcomes. </w:t>
      </w:r>
      <w:r w:rsidRPr="00EB3E61">
        <w:rPr>
          <w:rFonts w:ascii="Times New Roman" w:hAnsi="Times New Roman" w:cs="Times New Roman"/>
          <w:i/>
          <w:iCs/>
        </w:rPr>
        <w:t>Industrial Marketing Management, 45</w:t>
      </w:r>
      <w:r w:rsidRPr="00EB3E61">
        <w:rPr>
          <w:rFonts w:ascii="Times New Roman" w:hAnsi="Times New Roman" w:cs="Times New Roman"/>
        </w:rPr>
        <w:t xml:space="preserve">, 22–34. https://doi.org/10.1016/j.indmarman.2015.02.018 </w:t>
      </w:r>
    </w:p>
    <w:p w14:paraId="51EA88F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Wengler, S., Hildmann, G., &amp; </w:t>
      </w:r>
      <w:proofErr w:type="spellStart"/>
      <w:r w:rsidRPr="00EB3E61">
        <w:rPr>
          <w:rFonts w:ascii="Times New Roman" w:hAnsi="Times New Roman" w:cs="Times New Roman"/>
        </w:rPr>
        <w:t>Vossebein</w:t>
      </w:r>
      <w:proofErr w:type="spellEnd"/>
      <w:r w:rsidRPr="00EB3E61">
        <w:rPr>
          <w:rFonts w:ascii="Times New Roman" w:hAnsi="Times New Roman" w:cs="Times New Roman"/>
        </w:rPr>
        <w:t xml:space="preserve">, U. (2021). Digital transformation in sales as an evolving process. </w:t>
      </w:r>
      <w:r w:rsidRPr="00EB3E61">
        <w:rPr>
          <w:rFonts w:ascii="Times New Roman" w:hAnsi="Times New Roman" w:cs="Times New Roman"/>
          <w:i/>
          <w:iCs/>
        </w:rPr>
        <w:t>Journal of Business &amp; Industrial Marketing, 36</w:t>
      </w:r>
      <w:r w:rsidRPr="00EB3E61">
        <w:rPr>
          <w:rFonts w:ascii="Times New Roman" w:hAnsi="Times New Roman" w:cs="Times New Roman"/>
        </w:rPr>
        <w:t xml:space="preserve">(4), 599–614. </w:t>
      </w:r>
      <w:hyperlink r:id="rId10" w:tgtFrame="_new" w:history="1">
        <w:r w:rsidRPr="00EB3E61">
          <w:rPr>
            <w:rStyle w:val="Hyperlink"/>
            <w:rFonts w:ascii="Times New Roman" w:hAnsi="Times New Roman" w:cs="Times New Roman"/>
          </w:rPr>
          <w:t>https://doi.org/10.1108/JBIM-03-2020-0124</w:t>
        </w:r>
      </w:hyperlink>
      <w:r w:rsidRPr="00EB3E61">
        <w:rPr>
          <w:rFonts w:ascii="Times New Roman" w:hAnsi="Times New Roman" w:cs="Times New Roman"/>
        </w:rPr>
        <w:t xml:space="preserve"> </w:t>
      </w:r>
    </w:p>
    <w:p w14:paraId="2D943B0D"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t>Vinoi</w:t>
      </w:r>
      <w:proofErr w:type="spellEnd"/>
      <w:r w:rsidRPr="00EB3E61">
        <w:rPr>
          <w:rFonts w:ascii="Times New Roman" w:hAnsi="Times New Roman" w:cs="Times New Roman"/>
        </w:rPr>
        <w:t xml:space="preserve">, N., Shankar, A., &amp; Sanyal, P. (2025). Charting the course for adaptive selling: A systematic review and meta-analysis. </w:t>
      </w:r>
      <w:r w:rsidRPr="00EB3E61">
        <w:rPr>
          <w:rFonts w:ascii="Times New Roman" w:hAnsi="Times New Roman" w:cs="Times New Roman"/>
          <w:i/>
          <w:iCs/>
        </w:rPr>
        <w:t>Industrial Marketing Management, 130</w:t>
      </w:r>
      <w:r w:rsidRPr="00EB3E61">
        <w:rPr>
          <w:rFonts w:ascii="Times New Roman" w:hAnsi="Times New Roman" w:cs="Times New Roman"/>
        </w:rPr>
        <w:t xml:space="preserve">, 106–127. https://doi.org/10.1016/j.indmarman.2025.09.005 </w:t>
      </w:r>
    </w:p>
    <w:p w14:paraId="2AAA2FBA"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t>Bennejean</w:t>
      </w:r>
      <w:proofErr w:type="spellEnd"/>
      <w:r w:rsidRPr="00EB3E61">
        <w:rPr>
          <w:rFonts w:ascii="Times New Roman" w:hAnsi="Times New Roman" w:cs="Times New Roman"/>
        </w:rPr>
        <w:t xml:space="preserve">, C. L. (2025). Digital transformation in sales organizations: Antecedents of sales managers' change readiness and championing </w:t>
      </w:r>
      <w:proofErr w:type="spellStart"/>
      <w:r w:rsidRPr="00EB3E61">
        <w:rPr>
          <w:rFonts w:ascii="Times New Roman" w:hAnsi="Times New Roman" w:cs="Times New Roman"/>
        </w:rPr>
        <w:t>behaviors</w:t>
      </w:r>
      <w:proofErr w:type="spellEnd"/>
      <w:r w:rsidRPr="00EB3E61">
        <w:rPr>
          <w:rFonts w:ascii="Times New Roman" w:hAnsi="Times New Roman" w:cs="Times New Roman"/>
        </w:rPr>
        <w:t xml:space="preserve">. </w:t>
      </w:r>
      <w:r w:rsidRPr="00EB3E61">
        <w:rPr>
          <w:rFonts w:ascii="Times New Roman" w:hAnsi="Times New Roman" w:cs="Times New Roman"/>
          <w:i/>
          <w:iCs/>
        </w:rPr>
        <w:t>Journal of Business &amp; Industrial Marketing, 40</w:t>
      </w:r>
      <w:r w:rsidRPr="00EB3E61">
        <w:rPr>
          <w:rFonts w:ascii="Times New Roman" w:hAnsi="Times New Roman" w:cs="Times New Roman"/>
        </w:rPr>
        <w:t xml:space="preserve">(3), 586–610. </w:t>
      </w:r>
      <w:hyperlink r:id="rId11" w:tgtFrame="_new" w:history="1">
        <w:r w:rsidRPr="00EB3E61">
          <w:rPr>
            <w:rStyle w:val="Hyperlink"/>
            <w:rFonts w:ascii="Times New Roman" w:hAnsi="Times New Roman" w:cs="Times New Roman"/>
          </w:rPr>
          <w:t>https://doi.org/10.1108/JBIM-10-2023-0611</w:t>
        </w:r>
      </w:hyperlink>
      <w:r w:rsidRPr="00EB3E61">
        <w:rPr>
          <w:rFonts w:ascii="Times New Roman" w:hAnsi="Times New Roman" w:cs="Times New Roman"/>
        </w:rPr>
        <w:t xml:space="preserve"> </w:t>
      </w:r>
    </w:p>
    <w:p w14:paraId="5DF5A96B" w14:textId="77777777" w:rsidR="00EB3E61" w:rsidRPr="00EB3E61" w:rsidRDefault="00EB3E61" w:rsidP="00EB3E61">
      <w:pPr>
        <w:rPr>
          <w:rFonts w:ascii="Times New Roman" w:hAnsi="Times New Roman" w:cs="Times New Roman"/>
        </w:rPr>
      </w:pPr>
      <w:proofErr w:type="spellStart"/>
      <w:r w:rsidRPr="00EB3E61">
        <w:rPr>
          <w:rFonts w:ascii="Times New Roman" w:hAnsi="Times New Roman" w:cs="Times New Roman"/>
        </w:rPr>
        <w:t>Tzempelikos</w:t>
      </w:r>
      <w:proofErr w:type="spellEnd"/>
      <w:r w:rsidRPr="00EB3E61">
        <w:rPr>
          <w:rFonts w:ascii="Times New Roman" w:hAnsi="Times New Roman" w:cs="Times New Roman"/>
        </w:rPr>
        <w:t xml:space="preserve">, N., &amp; Gounaris, S. (2014). The effectiveness of key account management practices. </w:t>
      </w:r>
      <w:r w:rsidRPr="00EB3E61">
        <w:rPr>
          <w:rFonts w:ascii="Times New Roman" w:hAnsi="Times New Roman" w:cs="Times New Roman"/>
          <w:i/>
          <w:iCs/>
        </w:rPr>
        <w:t>Industrial Marketing Management, 43</w:t>
      </w:r>
      <w:r w:rsidRPr="00EB3E61">
        <w:rPr>
          <w:rFonts w:ascii="Times New Roman" w:hAnsi="Times New Roman" w:cs="Times New Roman"/>
        </w:rPr>
        <w:t xml:space="preserve">(7), 1182–1194. https://doi.org/10.1016/j.indmarman.2014.06.007 </w:t>
      </w:r>
    </w:p>
    <w:p w14:paraId="3471463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lastRenderedPageBreak/>
        <w:t xml:space="preserve">Kimes, S. E., &amp; Wirtz, J. (2014). A framework for key account management and revenue management integration. </w:t>
      </w:r>
      <w:r w:rsidRPr="00EB3E61">
        <w:rPr>
          <w:rFonts w:ascii="Times New Roman" w:hAnsi="Times New Roman" w:cs="Times New Roman"/>
          <w:i/>
          <w:iCs/>
        </w:rPr>
        <w:t>Industrial Marketing Management, 43</w:t>
      </w:r>
      <w:r w:rsidRPr="00EB3E61">
        <w:rPr>
          <w:rFonts w:ascii="Times New Roman" w:hAnsi="Times New Roman" w:cs="Times New Roman"/>
        </w:rPr>
        <w:t xml:space="preserve">(7), 1172–1181. </w:t>
      </w:r>
      <w:hyperlink r:id="rId12" w:tgtFrame="_new" w:history="1">
        <w:r w:rsidRPr="00EB3E61">
          <w:rPr>
            <w:rStyle w:val="Hyperlink"/>
            <w:rFonts w:ascii="Times New Roman" w:hAnsi="Times New Roman" w:cs="Times New Roman"/>
          </w:rPr>
          <w:t>https://doi.org/10.1016/j.indmarman.2014.06.006</w:t>
        </w:r>
      </w:hyperlink>
      <w:r w:rsidRPr="00EB3E61">
        <w:rPr>
          <w:rFonts w:ascii="Times New Roman" w:hAnsi="Times New Roman" w:cs="Times New Roman"/>
        </w:rPr>
        <w:t xml:space="preserve"> </w:t>
      </w:r>
    </w:p>
    <w:p w14:paraId="789F655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Boissonneault, S., Grégoire, Y., Lussier, B., &amp; Vandenberghe, C. (2026). Frontline employee creativity and sales performance: A multilevel and dyadic investigation. </w:t>
      </w:r>
      <w:r w:rsidRPr="00EB3E61">
        <w:rPr>
          <w:rFonts w:ascii="Times New Roman" w:hAnsi="Times New Roman" w:cs="Times New Roman"/>
          <w:i/>
          <w:iCs/>
        </w:rPr>
        <w:t>Journal of Service Research</w:t>
      </w:r>
      <w:r w:rsidRPr="00EB3E61">
        <w:rPr>
          <w:rFonts w:ascii="Times New Roman" w:hAnsi="Times New Roman" w:cs="Times New Roman"/>
        </w:rPr>
        <w:t xml:space="preserve">. </w:t>
      </w:r>
      <w:hyperlink r:id="rId13" w:tgtFrame="_new" w:history="1">
        <w:r w:rsidRPr="00EB3E61">
          <w:rPr>
            <w:rStyle w:val="Hyperlink"/>
            <w:rFonts w:ascii="Times New Roman" w:hAnsi="Times New Roman" w:cs="Times New Roman"/>
          </w:rPr>
          <w:t>https://doi.org/10.1177/10946705261449615</w:t>
        </w:r>
      </w:hyperlink>
      <w:r w:rsidRPr="00EB3E61">
        <w:rPr>
          <w:rFonts w:ascii="Times New Roman" w:hAnsi="Times New Roman" w:cs="Times New Roman"/>
        </w:rPr>
        <w:t xml:space="preserve"> </w:t>
      </w:r>
    </w:p>
    <w:p w14:paraId="1600F2F6" w14:textId="77777777" w:rsidR="00EB3E61" w:rsidRPr="00EB3E61" w:rsidRDefault="00EB3E61" w:rsidP="00EB3E61">
      <w:pPr>
        <w:rPr>
          <w:rFonts w:ascii="Times New Roman" w:hAnsi="Times New Roman" w:cs="Times New Roman"/>
        </w:rPr>
      </w:pPr>
      <w:r w:rsidRPr="00EB3E61">
        <w:rPr>
          <w:rFonts w:ascii="Times New Roman" w:hAnsi="Times New Roman" w:cs="Times New Roman"/>
          <w:i/>
          <w:iCs/>
        </w:rPr>
        <w:t>The sales-marketing interface: A systematic literature review and directions for future research.</w:t>
      </w:r>
      <w:r w:rsidRPr="00EB3E61">
        <w:rPr>
          <w:rFonts w:ascii="Times New Roman" w:hAnsi="Times New Roman" w:cs="Times New Roman"/>
        </w:rPr>
        <w:t xml:space="preserve"> (2022). </w:t>
      </w:r>
      <w:r w:rsidRPr="00EB3E61">
        <w:rPr>
          <w:rFonts w:ascii="Times New Roman" w:hAnsi="Times New Roman" w:cs="Times New Roman"/>
          <w:i/>
          <w:iCs/>
        </w:rPr>
        <w:t>Industrial Marketing Management, 102</w:t>
      </w:r>
      <w:r w:rsidRPr="00EB3E61">
        <w:rPr>
          <w:rFonts w:ascii="Times New Roman" w:hAnsi="Times New Roman" w:cs="Times New Roman"/>
        </w:rPr>
        <w:t xml:space="preserve">, 324–337. </w:t>
      </w:r>
      <w:hyperlink r:id="rId14" w:tgtFrame="_new" w:history="1">
        <w:r w:rsidRPr="00EB3E61">
          <w:rPr>
            <w:rStyle w:val="Hyperlink"/>
            <w:rFonts w:ascii="Times New Roman" w:hAnsi="Times New Roman" w:cs="Times New Roman"/>
          </w:rPr>
          <w:t>https://doi.org/10.1016/j.indmarman.2022.02.001</w:t>
        </w:r>
      </w:hyperlink>
      <w:r w:rsidRPr="00EB3E61">
        <w:rPr>
          <w:rFonts w:ascii="Times New Roman" w:hAnsi="Times New Roman" w:cs="Times New Roman"/>
        </w:rPr>
        <w:t xml:space="preserve"> </w:t>
      </w:r>
    </w:p>
    <w:p w14:paraId="3D758E2D" w14:textId="77777777" w:rsidR="00EB3E61" w:rsidRPr="00EB3E61" w:rsidRDefault="00EB3E61" w:rsidP="00EB3E61">
      <w:pPr>
        <w:rPr>
          <w:rFonts w:ascii="Times New Roman" w:hAnsi="Times New Roman" w:cs="Times New Roman"/>
        </w:rPr>
      </w:pPr>
      <w:r w:rsidRPr="00EB3E61">
        <w:rPr>
          <w:rFonts w:ascii="Times New Roman" w:hAnsi="Times New Roman" w:cs="Times New Roman"/>
          <w:i/>
          <w:iCs/>
        </w:rPr>
        <w:t>Industrial innovation management in the age of digital transformation: The risk of too strong selling capabilities.</w:t>
      </w:r>
      <w:r w:rsidRPr="00EB3E61">
        <w:rPr>
          <w:rFonts w:ascii="Times New Roman" w:hAnsi="Times New Roman" w:cs="Times New Roman"/>
        </w:rPr>
        <w:t xml:space="preserve"> (2024). </w:t>
      </w:r>
      <w:r w:rsidRPr="00EB3E61">
        <w:rPr>
          <w:rFonts w:ascii="Times New Roman" w:hAnsi="Times New Roman" w:cs="Times New Roman"/>
          <w:i/>
          <w:iCs/>
        </w:rPr>
        <w:t>Industrial Marketing Management, 117</w:t>
      </w:r>
      <w:r w:rsidRPr="00EB3E61">
        <w:rPr>
          <w:rFonts w:ascii="Times New Roman" w:hAnsi="Times New Roman" w:cs="Times New Roman"/>
        </w:rPr>
        <w:t xml:space="preserve">, 371–385. </w:t>
      </w:r>
      <w:hyperlink r:id="rId15" w:tgtFrame="_new" w:history="1">
        <w:r w:rsidRPr="00EB3E61">
          <w:rPr>
            <w:rStyle w:val="Hyperlink"/>
            <w:rFonts w:ascii="Times New Roman" w:hAnsi="Times New Roman" w:cs="Times New Roman"/>
          </w:rPr>
          <w:t>https://doi.org/10.1016/j.indmarman.2024.01.008</w:t>
        </w:r>
      </w:hyperlink>
      <w:r w:rsidRPr="00EB3E61">
        <w:rPr>
          <w:rFonts w:ascii="Times New Roman" w:hAnsi="Times New Roman" w:cs="Times New Roman"/>
        </w:rPr>
        <w:t xml:space="preserve"> </w:t>
      </w:r>
    </w:p>
    <w:p w14:paraId="61DC20C6" w14:textId="77777777" w:rsidR="00EB3E61" w:rsidRPr="00EB3E61" w:rsidRDefault="00EB3E61" w:rsidP="00EB3E61">
      <w:pPr>
        <w:rPr>
          <w:rFonts w:ascii="Times New Roman" w:hAnsi="Times New Roman" w:cs="Times New Roman"/>
        </w:rPr>
      </w:pPr>
      <w:r w:rsidRPr="00EB3E61">
        <w:rPr>
          <w:rFonts w:ascii="Times New Roman" w:hAnsi="Times New Roman" w:cs="Times New Roman"/>
          <w:i/>
          <w:iCs/>
        </w:rPr>
        <w:t>How to cope with conflicts at sales-marketing interface in the context of B2B firm's digitalization: A tension-based view.</w:t>
      </w:r>
      <w:r w:rsidRPr="00EB3E61">
        <w:rPr>
          <w:rFonts w:ascii="Times New Roman" w:hAnsi="Times New Roman" w:cs="Times New Roman"/>
        </w:rPr>
        <w:t xml:space="preserve"> (2026). </w:t>
      </w:r>
      <w:r w:rsidRPr="00EB3E61">
        <w:rPr>
          <w:rFonts w:ascii="Times New Roman" w:hAnsi="Times New Roman" w:cs="Times New Roman"/>
          <w:i/>
          <w:iCs/>
        </w:rPr>
        <w:t>Industrial Marketing Management, 134</w:t>
      </w:r>
      <w:r w:rsidRPr="00EB3E61">
        <w:rPr>
          <w:rFonts w:ascii="Times New Roman" w:hAnsi="Times New Roman" w:cs="Times New Roman"/>
        </w:rPr>
        <w:t xml:space="preserve">, 118–133. https://doi.org/10.1016/j.indmarman.2026.02.017 </w:t>
      </w:r>
    </w:p>
    <w:p w14:paraId="54E23042"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Corporate Sources</w:t>
      </w:r>
    </w:p>
    <w:p w14:paraId="04623623"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 Corporation. (2025). </w:t>
      </w:r>
      <w:r w:rsidRPr="00EB3E61">
        <w:rPr>
          <w:rFonts w:ascii="Times New Roman" w:hAnsi="Times New Roman" w:cs="Times New Roman"/>
          <w:i/>
          <w:iCs/>
        </w:rPr>
        <w:t>Annual report 2025</w:t>
      </w:r>
      <w:r w:rsidRPr="00EB3E61">
        <w:rPr>
          <w:rFonts w:ascii="Times New Roman" w:hAnsi="Times New Roman" w:cs="Times New Roman"/>
        </w:rPr>
        <w:t xml:space="preserve">. </w:t>
      </w:r>
      <w:hyperlink r:id="rId16" w:tgtFrame="_blank" w:history="1">
        <w:r w:rsidRPr="00EB3E61">
          <w:rPr>
            <w:rStyle w:val="Hyperlink"/>
            <w:rFonts w:ascii="Times New Roman" w:hAnsi="Times New Roman" w:cs="Times New Roman"/>
          </w:rPr>
          <w:t>Microsoft 2025 Annual Report</w:t>
        </w:r>
      </w:hyperlink>
      <w:r w:rsidRPr="00EB3E61">
        <w:rPr>
          <w:rFonts w:ascii="Times New Roman" w:hAnsi="Times New Roman" w:cs="Times New Roman"/>
        </w:rPr>
        <w:t xml:space="preserve"> </w:t>
      </w:r>
    </w:p>
    <w:p w14:paraId="46C38E3E"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 Corporation. (2026). </w:t>
      </w:r>
      <w:r w:rsidRPr="00EB3E61">
        <w:rPr>
          <w:rFonts w:ascii="Times New Roman" w:hAnsi="Times New Roman" w:cs="Times New Roman"/>
          <w:i/>
          <w:iCs/>
        </w:rPr>
        <w:t>FY26 Q4 earnings and financial metrics</w:t>
      </w:r>
      <w:r w:rsidRPr="00EB3E61">
        <w:rPr>
          <w:rFonts w:ascii="Times New Roman" w:hAnsi="Times New Roman" w:cs="Times New Roman"/>
        </w:rPr>
        <w:t xml:space="preserve">. </w:t>
      </w:r>
      <w:hyperlink r:id="rId17" w:tgtFrame="_blank" w:history="1">
        <w:r w:rsidRPr="00EB3E61">
          <w:rPr>
            <w:rStyle w:val="Hyperlink"/>
            <w:rFonts w:ascii="Times New Roman" w:hAnsi="Times New Roman" w:cs="Times New Roman"/>
          </w:rPr>
          <w:t>Microsoft FY2026 Investor Metrics</w:t>
        </w:r>
      </w:hyperlink>
      <w:r w:rsidRPr="00EB3E61">
        <w:rPr>
          <w:rFonts w:ascii="Times New Roman" w:hAnsi="Times New Roman" w:cs="Times New Roman"/>
        </w:rPr>
        <w:t xml:space="preserve"> </w:t>
      </w:r>
    </w:p>
    <w:p w14:paraId="5734BCD6"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 xml:space="preserve">Microsoft Corporation. (2026). </w:t>
      </w:r>
      <w:r w:rsidRPr="00EB3E61">
        <w:rPr>
          <w:rFonts w:ascii="Times New Roman" w:hAnsi="Times New Roman" w:cs="Times New Roman"/>
          <w:i/>
          <w:iCs/>
        </w:rPr>
        <w:t>FY26 Q4 earnings release</w:t>
      </w:r>
      <w:r w:rsidRPr="00EB3E61">
        <w:rPr>
          <w:rFonts w:ascii="Times New Roman" w:hAnsi="Times New Roman" w:cs="Times New Roman"/>
        </w:rPr>
        <w:t xml:space="preserve">. </w:t>
      </w:r>
      <w:hyperlink r:id="rId18" w:tgtFrame="_blank" w:history="1">
        <w:r w:rsidRPr="00EB3E61">
          <w:rPr>
            <w:rStyle w:val="Hyperlink"/>
            <w:rFonts w:ascii="Times New Roman" w:hAnsi="Times New Roman" w:cs="Times New Roman"/>
          </w:rPr>
          <w:t>Microsoft FY2026 Q4 Results</w:t>
        </w:r>
      </w:hyperlink>
      <w:r w:rsidRPr="00EB3E61">
        <w:rPr>
          <w:rFonts w:ascii="Times New Roman" w:hAnsi="Times New Roman" w:cs="Times New Roman"/>
        </w:rPr>
        <w:t xml:space="preserve"> </w:t>
      </w:r>
    </w:p>
    <w:p w14:paraId="1D3D2F31" w14:textId="58E01FDF" w:rsidR="00EB3E61" w:rsidRDefault="00EB3E61" w:rsidP="00EB3E61">
      <w:pPr>
        <w:rPr>
          <w:rFonts w:ascii="Times New Roman" w:hAnsi="Times New Roman" w:cs="Times New Roman"/>
        </w:rPr>
      </w:pPr>
    </w:p>
    <w:p w14:paraId="3C6D7FA6" w14:textId="77777777" w:rsidR="00EB3E61" w:rsidRDefault="00EB3E61" w:rsidP="00EB3E61">
      <w:pPr>
        <w:rPr>
          <w:rFonts w:ascii="Times New Roman" w:hAnsi="Times New Roman" w:cs="Times New Roman"/>
        </w:rPr>
      </w:pPr>
    </w:p>
    <w:p w14:paraId="18B4A1EC" w14:textId="77777777" w:rsidR="00EB3E61" w:rsidRDefault="00EB3E61" w:rsidP="00EB3E61">
      <w:pPr>
        <w:rPr>
          <w:rFonts w:ascii="Times New Roman" w:hAnsi="Times New Roman" w:cs="Times New Roman"/>
        </w:rPr>
      </w:pPr>
    </w:p>
    <w:p w14:paraId="7E3C19B9" w14:textId="77777777" w:rsidR="00EB3E61" w:rsidRDefault="00EB3E61" w:rsidP="00EB3E61">
      <w:pPr>
        <w:rPr>
          <w:rFonts w:ascii="Times New Roman" w:hAnsi="Times New Roman" w:cs="Times New Roman"/>
        </w:rPr>
      </w:pPr>
    </w:p>
    <w:p w14:paraId="2921AB60" w14:textId="77777777" w:rsidR="00EB3E61" w:rsidRDefault="00EB3E61" w:rsidP="00EB3E61">
      <w:pPr>
        <w:rPr>
          <w:rFonts w:ascii="Times New Roman" w:hAnsi="Times New Roman" w:cs="Times New Roman"/>
        </w:rPr>
      </w:pPr>
    </w:p>
    <w:p w14:paraId="38D481F9" w14:textId="77777777" w:rsidR="00EB3E61" w:rsidRDefault="00EB3E61" w:rsidP="00EB3E61">
      <w:pPr>
        <w:rPr>
          <w:rFonts w:ascii="Times New Roman" w:hAnsi="Times New Roman" w:cs="Times New Roman"/>
        </w:rPr>
      </w:pPr>
    </w:p>
    <w:p w14:paraId="31448D88" w14:textId="77777777" w:rsidR="00EB3E61" w:rsidRDefault="00EB3E61" w:rsidP="00EB3E61">
      <w:pPr>
        <w:rPr>
          <w:rFonts w:ascii="Times New Roman" w:hAnsi="Times New Roman" w:cs="Times New Roman"/>
        </w:rPr>
      </w:pPr>
    </w:p>
    <w:p w14:paraId="5F752D7C" w14:textId="77777777" w:rsidR="00EB3E61" w:rsidRDefault="00EB3E61" w:rsidP="00EB3E61">
      <w:pPr>
        <w:rPr>
          <w:rFonts w:ascii="Times New Roman" w:hAnsi="Times New Roman" w:cs="Times New Roman"/>
        </w:rPr>
      </w:pPr>
    </w:p>
    <w:p w14:paraId="2A016BCD" w14:textId="77777777" w:rsidR="00EB3E61" w:rsidRDefault="00EB3E61" w:rsidP="00EB3E61">
      <w:pPr>
        <w:rPr>
          <w:rFonts w:ascii="Times New Roman" w:hAnsi="Times New Roman" w:cs="Times New Roman"/>
        </w:rPr>
      </w:pPr>
    </w:p>
    <w:p w14:paraId="49792C7D" w14:textId="77777777" w:rsidR="00EB3E61" w:rsidRDefault="00EB3E61" w:rsidP="00EB3E61">
      <w:pPr>
        <w:rPr>
          <w:rFonts w:ascii="Times New Roman" w:hAnsi="Times New Roman" w:cs="Times New Roman"/>
        </w:rPr>
      </w:pPr>
    </w:p>
    <w:p w14:paraId="2218D5B9" w14:textId="77777777" w:rsidR="00EB3E61" w:rsidRPr="00EB3E61" w:rsidRDefault="00EB3E61" w:rsidP="00EB3E61">
      <w:pPr>
        <w:rPr>
          <w:rFonts w:ascii="Times New Roman" w:hAnsi="Times New Roman" w:cs="Times New Roman"/>
        </w:rPr>
      </w:pPr>
    </w:p>
    <w:p w14:paraId="4F482F49"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10. Appendices</w:t>
      </w:r>
    </w:p>
    <w:p w14:paraId="1F4ADE1C" w14:textId="77777777" w:rsidR="00EB3E61" w:rsidRPr="00EB3E61" w:rsidRDefault="00EB3E61" w:rsidP="00EB3E61">
      <w:pPr>
        <w:rPr>
          <w:rFonts w:ascii="Times New Roman" w:hAnsi="Times New Roman" w:cs="Times New Roman"/>
          <w:b/>
          <w:bCs/>
        </w:rPr>
      </w:pPr>
      <w:r w:rsidRPr="00EB3E61">
        <w:rPr>
          <w:rFonts w:ascii="Times New Roman" w:hAnsi="Times New Roman" w:cs="Times New Roman"/>
          <w:b/>
          <w:bCs/>
        </w:rPr>
        <w:t>Appendix A – Strategic Sales Management Framework for Microsoft</w:t>
      </w:r>
    </w:p>
    <w:tbl>
      <w:tblPr>
        <w:tblStyle w:val="TableGrid"/>
        <w:tblW w:w="0" w:type="auto"/>
        <w:tblLook w:val="04A0" w:firstRow="1" w:lastRow="0" w:firstColumn="1" w:lastColumn="0" w:noHBand="0" w:noVBand="1"/>
      </w:tblPr>
      <w:tblGrid>
        <w:gridCol w:w="2524"/>
        <w:gridCol w:w="3898"/>
        <w:gridCol w:w="2928"/>
      </w:tblGrid>
      <w:tr w:rsidR="00EB3E61" w:rsidRPr="00EB3E61" w14:paraId="074B74A7" w14:textId="77777777" w:rsidTr="00EB3E61">
        <w:tc>
          <w:tcPr>
            <w:tcW w:w="0" w:type="auto"/>
            <w:hideMark/>
          </w:tcPr>
          <w:p w14:paraId="1637A2CE" w14:textId="77777777" w:rsidR="00EB3E61" w:rsidRPr="00EB3E61" w:rsidRDefault="00EB3E61" w:rsidP="00EB3E61">
            <w:pPr>
              <w:spacing w:after="160" w:line="278" w:lineRule="auto"/>
              <w:rPr>
                <w:rFonts w:ascii="Times New Roman" w:hAnsi="Times New Roman" w:cs="Times New Roman"/>
                <w:b/>
                <w:bCs/>
              </w:rPr>
            </w:pPr>
            <w:r w:rsidRPr="00EB3E61">
              <w:rPr>
                <w:rFonts w:ascii="Times New Roman" w:hAnsi="Times New Roman" w:cs="Times New Roman"/>
                <w:b/>
                <w:bCs/>
              </w:rPr>
              <w:t>Strategic area</w:t>
            </w:r>
          </w:p>
        </w:tc>
        <w:tc>
          <w:tcPr>
            <w:tcW w:w="0" w:type="auto"/>
            <w:hideMark/>
          </w:tcPr>
          <w:p w14:paraId="6F6D6903" w14:textId="77777777" w:rsidR="00EB3E61" w:rsidRPr="00EB3E61" w:rsidRDefault="00EB3E61" w:rsidP="00EB3E61">
            <w:pPr>
              <w:spacing w:after="160" w:line="278" w:lineRule="auto"/>
              <w:rPr>
                <w:rFonts w:ascii="Times New Roman" w:hAnsi="Times New Roman" w:cs="Times New Roman"/>
                <w:b/>
                <w:bCs/>
              </w:rPr>
            </w:pPr>
            <w:r w:rsidRPr="00EB3E61">
              <w:rPr>
                <w:rFonts w:ascii="Times New Roman" w:hAnsi="Times New Roman" w:cs="Times New Roman"/>
                <w:b/>
                <w:bCs/>
              </w:rPr>
              <w:t>Microsoft application</w:t>
            </w:r>
          </w:p>
        </w:tc>
        <w:tc>
          <w:tcPr>
            <w:tcW w:w="0" w:type="auto"/>
            <w:hideMark/>
          </w:tcPr>
          <w:p w14:paraId="5362906D" w14:textId="77777777" w:rsidR="00EB3E61" w:rsidRPr="00EB3E61" w:rsidRDefault="00EB3E61" w:rsidP="00EB3E61">
            <w:pPr>
              <w:spacing w:after="160" w:line="278" w:lineRule="auto"/>
              <w:rPr>
                <w:rFonts w:ascii="Times New Roman" w:hAnsi="Times New Roman" w:cs="Times New Roman"/>
                <w:b/>
                <w:bCs/>
              </w:rPr>
            </w:pPr>
            <w:r w:rsidRPr="00EB3E61">
              <w:rPr>
                <w:rFonts w:ascii="Times New Roman" w:hAnsi="Times New Roman" w:cs="Times New Roman"/>
                <w:b/>
                <w:bCs/>
              </w:rPr>
              <w:t>Expected outcome</w:t>
            </w:r>
          </w:p>
        </w:tc>
      </w:tr>
      <w:tr w:rsidR="00EB3E61" w:rsidRPr="00EB3E61" w14:paraId="60C723DE" w14:textId="77777777" w:rsidTr="00EB3E61">
        <w:tc>
          <w:tcPr>
            <w:tcW w:w="0" w:type="auto"/>
            <w:hideMark/>
          </w:tcPr>
          <w:p w14:paraId="74C6CFF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Market analysis</w:t>
            </w:r>
          </w:p>
        </w:tc>
        <w:tc>
          <w:tcPr>
            <w:tcW w:w="0" w:type="auto"/>
            <w:hideMark/>
          </w:tcPr>
          <w:p w14:paraId="0A25BB8F"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Industry and customer-data analysis</w:t>
            </w:r>
          </w:p>
        </w:tc>
        <w:tc>
          <w:tcPr>
            <w:tcW w:w="0" w:type="auto"/>
            <w:hideMark/>
          </w:tcPr>
          <w:p w14:paraId="64991BAA"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Better opportunity identification</w:t>
            </w:r>
          </w:p>
        </w:tc>
      </w:tr>
      <w:tr w:rsidR="00EB3E61" w:rsidRPr="00EB3E61" w14:paraId="2A2169F5" w14:textId="77777777" w:rsidTr="00EB3E61">
        <w:tc>
          <w:tcPr>
            <w:tcW w:w="0" w:type="auto"/>
            <w:hideMark/>
          </w:tcPr>
          <w:p w14:paraId="52B7F70E"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Segmentation</w:t>
            </w:r>
          </w:p>
        </w:tc>
        <w:tc>
          <w:tcPr>
            <w:tcW w:w="0" w:type="auto"/>
            <w:hideMark/>
          </w:tcPr>
          <w:p w14:paraId="768DB42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Enterprise, SME, industry and solution needs</w:t>
            </w:r>
          </w:p>
        </w:tc>
        <w:tc>
          <w:tcPr>
            <w:tcW w:w="0" w:type="auto"/>
            <w:hideMark/>
          </w:tcPr>
          <w:p w14:paraId="3544C409"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Efficient customer targeting</w:t>
            </w:r>
          </w:p>
        </w:tc>
      </w:tr>
      <w:tr w:rsidR="00EB3E61" w:rsidRPr="00EB3E61" w14:paraId="0375B8BC" w14:textId="77777777" w:rsidTr="00EB3E61">
        <w:tc>
          <w:tcPr>
            <w:tcW w:w="0" w:type="auto"/>
            <w:hideMark/>
          </w:tcPr>
          <w:p w14:paraId="5EEAA9EE"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Sales planning</w:t>
            </w:r>
          </w:p>
        </w:tc>
        <w:tc>
          <w:tcPr>
            <w:tcW w:w="0" w:type="auto"/>
            <w:hideMark/>
          </w:tcPr>
          <w:p w14:paraId="6B85E5B3"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Account and opportunity prioritisation</w:t>
            </w:r>
          </w:p>
        </w:tc>
        <w:tc>
          <w:tcPr>
            <w:tcW w:w="0" w:type="auto"/>
            <w:hideMark/>
          </w:tcPr>
          <w:p w14:paraId="0ACA06D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Improved resource allocation</w:t>
            </w:r>
          </w:p>
        </w:tc>
      </w:tr>
      <w:tr w:rsidR="00EB3E61" w:rsidRPr="00EB3E61" w14:paraId="03D40818" w14:textId="77777777" w:rsidTr="00EB3E61">
        <w:tc>
          <w:tcPr>
            <w:tcW w:w="0" w:type="auto"/>
            <w:hideMark/>
          </w:tcPr>
          <w:p w14:paraId="563CA81D"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Territory planning</w:t>
            </w:r>
          </w:p>
        </w:tc>
        <w:tc>
          <w:tcPr>
            <w:tcW w:w="0" w:type="auto"/>
            <w:hideMark/>
          </w:tcPr>
          <w:p w14:paraId="700A33A1"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Geography + industry + account potential</w:t>
            </w:r>
          </w:p>
        </w:tc>
        <w:tc>
          <w:tcPr>
            <w:tcW w:w="0" w:type="auto"/>
            <w:hideMark/>
          </w:tcPr>
          <w:p w14:paraId="526B922F"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Better coverage</w:t>
            </w:r>
          </w:p>
        </w:tc>
      </w:tr>
      <w:tr w:rsidR="00EB3E61" w:rsidRPr="00EB3E61" w14:paraId="7AD80D96" w14:textId="77777777" w:rsidTr="00EB3E61">
        <w:tc>
          <w:tcPr>
            <w:tcW w:w="0" w:type="auto"/>
            <w:hideMark/>
          </w:tcPr>
          <w:p w14:paraId="78472D39"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Forecasting</w:t>
            </w:r>
          </w:p>
        </w:tc>
        <w:tc>
          <w:tcPr>
            <w:tcW w:w="0" w:type="auto"/>
            <w:hideMark/>
          </w:tcPr>
          <w:p w14:paraId="5D9EDFDD"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CRM + usage data + AI + judgement</w:t>
            </w:r>
          </w:p>
        </w:tc>
        <w:tc>
          <w:tcPr>
            <w:tcW w:w="0" w:type="auto"/>
            <w:hideMark/>
          </w:tcPr>
          <w:p w14:paraId="32FEFA60"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Greater forecast accuracy</w:t>
            </w:r>
          </w:p>
        </w:tc>
      </w:tr>
      <w:tr w:rsidR="00EB3E61" w:rsidRPr="00EB3E61" w14:paraId="3DDDBE75" w14:textId="77777777" w:rsidTr="00EB3E61">
        <w:tc>
          <w:tcPr>
            <w:tcW w:w="0" w:type="auto"/>
            <w:hideMark/>
          </w:tcPr>
          <w:p w14:paraId="4D8E3617"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Value-based selling</w:t>
            </w:r>
          </w:p>
        </w:tc>
        <w:tc>
          <w:tcPr>
            <w:tcW w:w="0" w:type="auto"/>
            <w:hideMark/>
          </w:tcPr>
          <w:p w14:paraId="63BE0145"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Business outcomes rather than features</w:t>
            </w:r>
          </w:p>
        </w:tc>
        <w:tc>
          <w:tcPr>
            <w:tcW w:w="0" w:type="auto"/>
            <w:hideMark/>
          </w:tcPr>
          <w:p w14:paraId="0B43AA0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Stronger customer value</w:t>
            </w:r>
          </w:p>
        </w:tc>
      </w:tr>
      <w:tr w:rsidR="00EB3E61" w:rsidRPr="00EB3E61" w14:paraId="509B9693" w14:textId="77777777" w:rsidTr="00EB3E61">
        <w:tc>
          <w:tcPr>
            <w:tcW w:w="0" w:type="auto"/>
            <w:hideMark/>
          </w:tcPr>
          <w:p w14:paraId="7EE05D06"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KAM</w:t>
            </w:r>
          </w:p>
        </w:tc>
        <w:tc>
          <w:tcPr>
            <w:tcW w:w="0" w:type="auto"/>
            <w:hideMark/>
          </w:tcPr>
          <w:p w14:paraId="005DBD2C"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Dedicated cross-functional teams</w:t>
            </w:r>
          </w:p>
        </w:tc>
        <w:tc>
          <w:tcPr>
            <w:tcW w:w="0" w:type="auto"/>
            <w:hideMark/>
          </w:tcPr>
          <w:p w14:paraId="272EFC8E"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Retention and expansion</w:t>
            </w:r>
          </w:p>
        </w:tc>
      </w:tr>
      <w:tr w:rsidR="00EB3E61" w:rsidRPr="00EB3E61" w14:paraId="41EF4F13" w14:textId="77777777" w:rsidTr="00EB3E61">
        <w:tc>
          <w:tcPr>
            <w:tcW w:w="0" w:type="auto"/>
            <w:hideMark/>
          </w:tcPr>
          <w:p w14:paraId="7BEC5619"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Customer success</w:t>
            </w:r>
          </w:p>
        </w:tc>
        <w:tc>
          <w:tcPr>
            <w:tcW w:w="0" w:type="auto"/>
            <w:hideMark/>
          </w:tcPr>
          <w:p w14:paraId="34AFEEF9"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Adoption and value realisation</w:t>
            </w:r>
          </w:p>
        </w:tc>
        <w:tc>
          <w:tcPr>
            <w:tcW w:w="0" w:type="auto"/>
            <w:hideMark/>
          </w:tcPr>
          <w:p w14:paraId="5C6FA3E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Higher lifetime value</w:t>
            </w:r>
          </w:p>
        </w:tc>
      </w:tr>
      <w:tr w:rsidR="00EB3E61" w:rsidRPr="00EB3E61" w14:paraId="3D3FB6E0" w14:textId="77777777" w:rsidTr="00EB3E61">
        <w:tc>
          <w:tcPr>
            <w:tcW w:w="0" w:type="auto"/>
            <w:hideMark/>
          </w:tcPr>
          <w:p w14:paraId="14B95F4D"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Digital selling</w:t>
            </w:r>
          </w:p>
        </w:tc>
        <w:tc>
          <w:tcPr>
            <w:tcW w:w="0" w:type="auto"/>
            <w:hideMark/>
          </w:tcPr>
          <w:p w14:paraId="2689C6D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AI, CRM and analytics</w:t>
            </w:r>
          </w:p>
        </w:tc>
        <w:tc>
          <w:tcPr>
            <w:tcW w:w="0" w:type="auto"/>
            <w:hideMark/>
          </w:tcPr>
          <w:p w14:paraId="0E9D2276"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Productivity</w:t>
            </w:r>
          </w:p>
        </w:tc>
      </w:tr>
      <w:tr w:rsidR="00EB3E61" w:rsidRPr="00EB3E61" w14:paraId="5947109B" w14:textId="77777777" w:rsidTr="00EB3E61">
        <w:tc>
          <w:tcPr>
            <w:tcW w:w="0" w:type="auto"/>
            <w:hideMark/>
          </w:tcPr>
          <w:p w14:paraId="50577715"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Sales-marketing alignment</w:t>
            </w:r>
          </w:p>
        </w:tc>
        <w:tc>
          <w:tcPr>
            <w:tcW w:w="0" w:type="auto"/>
            <w:hideMark/>
          </w:tcPr>
          <w:p w14:paraId="468033F3"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Shared customer information</w:t>
            </w:r>
          </w:p>
        </w:tc>
        <w:tc>
          <w:tcPr>
            <w:tcW w:w="0" w:type="auto"/>
            <w:hideMark/>
          </w:tcPr>
          <w:p w14:paraId="3F55CA8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Consistent customer journey</w:t>
            </w:r>
          </w:p>
        </w:tc>
      </w:tr>
    </w:tbl>
    <w:p w14:paraId="757683D1" w14:textId="77777777" w:rsidR="00EB3E61" w:rsidRDefault="00EB3E61" w:rsidP="00EB3E61">
      <w:pPr>
        <w:rPr>
          <w:rFonts w:ascii="Times New Roman" w:hAnsi="Times New Roman" w:cs="Times New Roman"/>
          <w:b/>
          <w:bCs/>
        </w:rPr>
      </w:pPr>
    </w:p>
    <w:p w14:paraId="04E49FB0" w14:textId="77777777" w:rsidR="00EB3E61" w:rsidRDefault="00EB3E61" w:rsidP="00EB3E61">
      <w:pPr>
        <w:rPr>
          <w:rFonts w:ascii="Times New Roman" w:hAnsi="Times New Roman" w:cs="Times New Roman"/>
          <w:b/>
          <w:bCs/>
        </w:rPr>
      </w:pPr>
    </w:p>
    <w:p w14:paraId="0501E955" w14:textId="77777777" w:rsidR="00EB3E61" w:rsidRDefault="00EB3E61" w:rsidP="00EB3E61">
      <w:pPr>
        <w:rPr>
          <w:rFonts w:ascii="Times New Roman" w:hAnsi="Times New Roman" w:cs="Times New Roman"/>
          <w:b/>
          <w:bCs/>
        </w:rPr>
      </w:pPr>
    </w:p>
    <w:p w14:paraId="69BC275F" w14:textId="77777777" w:rsidR="00EB3E61" w:rsidRDefault="00EB3E61" w:rsidP="00EB3E61">
      <w:pPr>
        <w:rPr>
          <w:rFonts w:ascii="Times New Roman" w:hAnsi="Times New Roman" w:cs="Times New Roman"/>
          <w:b/>
          <w:bCs/>
        </w:rPr>
      </w:pPr>
    </w:p>
    <w:p w14:paraId="05D984E3" w14:textId="77777777" w:rsidR="00EB3E61" w:rsidRDefault="00EB3E61" w:rsidP="00EB3E61">
      <w:pPr>
        <w:rPr>
          <w:rFonts w:ascii="Times New Roman" w:hAnsi="Times New Roman" w:cs="Times New Roman"/>
          <w:b/>
          <w:bCs/>
        </w:rPr>
      </w:pPr>
    </w:p>
    <w:p w14:paraId="171F70BD" w14:textId="77777777" w:rsidR="00EB3E61" w:rsidRDefault="00EB3E61" w:rsidP="00EB3E61">
      <w:pPr>
        <w:rPr>
          <w:rFonts w:ascii="Times New Roman" w:hAnsi="Times New Roman" w:cs="Times New Roman"/>
          <w:b/>
          <w:bCs/>
        </w:rPr>
      </w:pPr>
    </w:p>
    <w:p w14:paraId="00164D8B" w14:textId="77777777" w:rsidR="00EB3E61" w:rsidRDefault="00EB3E61" w:rsidP="00EB3E61">
      <w:pPr>
        <w:rPr>
          <w:rFonts w:ascii="Times New Roman" w:hAnsi="Times New Roman" w:cs="Times New Roman"/>
          <w:b/>
          <w:bCs/>
        </w:rPr>
      </w:pPr>
    </w:p>
    <w:p w14:paraId="6A10B5C9" w14:textId="77777777" w:rsidR="00EB3E61" w:rsidRDefault="00EB3E61" w:rsidP="00EB3E61">
      <w:pPr>
        <w:rPr>
          <w:rFonts w:ascii="Times New Roman" w:hAnsi="Times New Roman" w:cs="Times New Roman"/>
          <w:b/>
          <w:bCs/>
        </w:rPr>
      </w:pPr>
    </w:p>
    <w:p w14:paraId="063B91DA" w14:textId="77777777" w:rsidR="00EB3E61" w:rsidRDefault="00EB3E61" w:rsidP="00EB3E61">
      <w:pPr>
        <w:rPr>
          <w:rFonts w:ascii="Times New Roman" w:hAnsi="Times New Roman" w:cs="Times New Roman"/>
          <w:b/>
          <w:bCs/>
        </w:rPr>
      </w:pPr>
    </w:p>
    <w:p w14:paraId="435F230E" w14:textId="77777777" w:rsidR="00EB3E61" w:rsidRDefault="00EB3E61" w:rsidP="00EB3E61">
      <w:pPr>
        <w:rPr>
          <w:rFonts w:ascii="Times New Roman" w:hAnsi="Times New Roman" w:cs="Times New Roman"/>
          <w:b/>
          <w:bCs/>
        </w:rPr>
      </w:pPr>
    </w:p>
    <w:p w14:paraId="1654DE4E" w14:textId="33D0A4FB"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Appendix B – Microsoft Customer Lifecycle</w:t>
      </w:r>
    </w:p>
    <w:p w14:paraId="50E12190"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Market Intelligence</w:t>
      </w:r>
    </w:p>
    <w:p w14:paraId="67D1793C"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6A24F086"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Segmentation</w:t>
      </w:r>
    </w:p>
    <w:p w14:paraId="262C3CF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0A2AB17C"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Lead Generation</w:t>
      </w:r>
    </w:p>
    <w:p w14:paraId="22E7A3E9"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2B87EE86"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Qualification</w:t>
      </w:r>
    </w:p>
    <w:p w14:paraId="18D64C18"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7031FE25"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Discovery</w:t>
      </w:r>
    </w:p>
    <w:p w14:paraId="48EFD1F1"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3355F82C"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Value Proposition</w:t>
      </w:r>
    </w:p>
    <w:p w14:paraId="041E7FDD"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211BE687"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Solution Design</w:t>
      </w:r>
    </w:p>
    <w:p w14:paraId="46678715"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0CB619C2"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Negotiation &amp; Contract</w:t>
      </w:r>
    </w:p>
    <w:p w14:paraId="4106D4E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3E21BECA"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Implementation</w:t>
      </w:r>
    </w:p>
    <w:p w14:paraId="2FA1194F"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5254C1F1"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Adoption</w:t>
      </w:r>
    </w:p>
    <w:p w14:paraId="18A11704"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76FCAD78"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Renewal</w:t>
      </w:r>
    </w:p>
    <w:p w14:paraId="5697DD90"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B1BB8A7"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Cross-Selling / Expansion</w:t>
      </w:r>
    </w:p>
    <w:p w14:paraId="1187A242" w14:textId="77777777" w:rsidR="00EB3E61" w:rsidRPr="00EB3E61" w:rsidRDefault="00EB3E61" w:rsidP="00EB3E61">
      <w:pPr>
        <w:rPr>
          <w:rFonts w:ascii="Times New Roman" w:hAnsi="Times New Roman" w:cs="Times New Roman"/>
        </w:rPr>
      </w:pPr>
      <w:r w:rsidRPr="00EB3E61">
        <w:rPr>
          <w:rFonts w:ascii="Times New Roman" w:hAnsi="Times New Roman" w:cs="Times New Roman"/>
        </w:rPr>
        <w:t>↓</w:t>
      </w:r>
    </w:p>
    <w:p w14:paraId="1B686B50" w14:textId="77777777" w:rsidR="00EB3E61" w:rsidRPr="00EB3E61" w:rsidRDefault="00EB3E61" w:rsidP="00EB3E61">
      <w:pPr>
        <w:rPr>
          <w:rFonts w:ascii="Times New Roman" w:hAnsi="Times New Roman" w:cs="Times New Roman"/>
        </w:rPr>
      </w:pPr>
      <w:r w:rsidRPr="00EB3E61">
        <w:rPr>
          <w:rFonts w:ascii="Times New Roman" w:hAnsi="Times New Roman" w:cs="Times New Roman"/>
          <w:b/>
          <w:bCs/>
        </w:rPr>
        <w:t>Customer Lifetime Value</w:t>
      </w:r>
    </w:p>
    <w:p w14:paraId="2EAC07D9" w14:textId="77777777" w:rsidR="00EB3E61" w:rsidRDefault="00EB3E61" w:rsidP="00EB3E61">
      <w:pPr>
        <w:rPr>
          <w:rFonts w:ascii="Times New Roman" w:hAnsi="Times New Roman" w:cs="Times New Roman"/>
          <w:b/>
          <w:bCs/>
        </w:rPr>
      </w:pPr>
    </w:p>
    <w:p w14:paraId="0FE98B6C" w14:textId="0CC9A42D" w:rsidR="00EB3E61" w:rsidRPr="00EB3E61" w:rsidRDefault="00EB3E61" w:rsidP="00EB3E61">
      <w:pPr>
        <w:rPr>
          <w:rFonts w:ascii="Times New Roman" w:hAnsi="Times New Roman" w:cs="Times New Roman"/>
          <w:b/>
          <w:bCs/>
        </w:rPr>
      </w:pPr>
      <w:r w:rsidRPr="00EB3E61">
        <w:rPr>
          <w:rFonts w:ascii="Times New Roman" w:hAnsi="Times New Roman" w:cs="Times New Roman"/>
          <w:b/>
          <w:bCs/>
        </w:rPr>
        <w:lastRenderedPageBreak/>
        <w:t>Appendix C – Recommended Sales Performance Dashboard</w:t>
      </w:r>
    </w:p>
    <w:tbl>
      <w:tblPr>
        <w:tblStyle w:val="TableGrid"/>
        <w:tblW w:w="0" w:type="auto"/>
        <w:tblLook w:val="04A0" w:firstRow="1" w:lastRow="0" w:firstColumn="1" w:lastColumn="0" w:noHBand="0" w:noVBand="1"/>
      </w:tblPr>
      <w:tblGrid>
        <w:gridCol w:w="2536"/>
        <w:gridCol w:w="3715"/>
      </w:tblGrid>
      <w:tr w:rsidR="00EB3E61" w:rsidRPr="00EB3E61" w14:paraId="2F399E25" w14:textId="77777777" w:rsidTr="00EB3E61">
        <w:tc>
          <w:tcPr>
            <w:tcW w:w="0" w:type="auto"/>
            <w:hideMark/>
          </w:tcPr>
          <w:p w14:paraId="0D9659EC" w14:textId="77777777" w:rsidR="00EB3E61" w:rsidRPr="00EB3E61" w:rsidRDefault="00EB3E61" w:rsidP="00EB3E61">
            <w:pPr>
              <w:spacing w:after="160" w:line="278" w:lineRule="auto"/>
              <w:rPr>
                <w:rFonts w:ascii="Times New Roman" w:hAnsi="Times New Roman" w:cs="Times New Roman"/>
                <w:b/>
                <w:bCs/>
              </w:rPr>
            </w:pPr>
            <w:r w:rsidRPr="00EB3E61">
              <w:rPr>
                <w:rFonts w:ascii="Times New Roman" w:hAnsi="Times New Roman" w:cs="Times New Roman"/>
                <w:b/>
                <w:bCs/>
              </w:rPr>
              <w:t>KPI</w:t>
            </w:r>
          </w:p>
        </w:tc>
        <w:tc>
          <w:tcPr>
            <w:tcW w:w="0" w:type="auto"/>
            <w:hideMark/>
          </w:tcPr>
          <w:p w14:paraId="5C04623D" w14:textId="77777777" w:rsidR="00EB3E61" w:rsidRPr="00EB3E61" w:rsidRDefault="00EB3E61" w:rsidP="00EB3E61">
            <w:pPr>
              <w:spacing w:after="160" w:line="278" w:lineRule="auto"/>
              <w:rPr>
                <w:rFonts w:ascii="Times New Roman" w:hAnsi="Times New Roman" w:cs="Times New Roman"/>
                <w:b/>
                <w:bCs/>
              </w:rPr>
            </w:pPr>
            <w:r w:rsidRPr="00EB3E61">
              <w:rPr>
                <w:rFonts w:ascii="Times New Roman" w:hAnsi="Times New Roman" w:cs="Times New Roman"/>
                <w:b/>
                <w:bCs/>
              </w:rPr>
              <w:t>Strategic purpose</w:t>
            </w:r>
          </w:p>
        </w:tc>
      </w:tr>
      <w:tr w:rsidR="00EB3E61" w:rsidRPr="00EB3E61" w14:paraId="177EE43B" w14:textId="77777777" w:rsidTr="00EB3E61">
        <w:tc>
          <w:tcPr>
            <w:tcW w:w="0" w:type="auto"/>
            <w:hideMark/>
          </w:tcPr>
          <w:p w14:paraId="5074BF11"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Revenue growth</w:t>
            </w:r>
          </w:p>
        </w:tc>
        <w:tc>
          <w:tcPr>
            <w:tcW w:w="0" w:type="auto"/>
            <w:hideMark/>
          </w:tcPr>
          <w:p w14:paraId="29D2CFE9"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financial sales outcome</w:t>
            </w:r>
          </w:p>
        </w:tc>
      </w:tr>
      <w:tr w:rsidR="00EB3E61" w:rsidRPr="00EB3E61" w14:paraId="78986CE8" w14:textId="77777777" w:rsidTr="00EB3E61">
        <w:tc>
          <w:tcPr>
            <w:tcW w:w="0" w:type="auto"/>
            <w:hideMark/>
          </w:tcPr>
          <w:p w14:paraId="7A0662F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Quota attainment</w:t>
            </w:r>
          </w:p>
        </w:tc>
        <w:tc>
          <w:tcPr>
            <w:tcW w:w="0" w:type="auto"/>
            <w:hideMark/>
          </w:tcPr>
          <w:p w14:paraId="620F1B55"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Evaluates target achievement</w:t>
            </w:r>
          </w:p>
        </w:tc>
      </w:tr>
      <w:tr w:rsidR="00EB3E61" w:rsidRPr="00EB3E61" w14:paraId="73EACB66" w14:textId="77777777" w:rsidTr="00EB3E61">
        <w:tc>
          <w:tcPr>
            <w:tcW w:w="0" w:type="auto"/>
            <w:hideMark/>
          </w:tcPr>
          <w:p w14:paraId="0A97091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Pipeline coverage</w:t>
            </w:r>
          </w:p>
        </w:tc>
        <w:tc>
          <w:tcPr>
            <w:tcW w:w="0" w:type="auto"/>
            <w:hideMark/>
          </w:tcPr>
          <w:p w14:paraId="5F44F7FF"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Indicates future sales potential</w:t>
            </w:r>
          </w:p>
        </w:tc>
      </w:tr>
      <w:tr w:rsidR="00EB3E61" w:rsidRPr="00EB3E61" w14:paraId="72FF14A6" w14:textId="77777777" w:rsidTr="00EB3E61">
        <w:tc>
          <w:tcPr>
            <w:tcW w:w="0" w:type="auto"/>
            <w:hideMark/>
          </w:tcPr>
          <w:p w14:paraId="1189F920"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Win rate</w:t>
            </w:r>
          </w:p>
        </w:tc>
        <w:tc>
          <w:tcPr>
            <w:tcW w:w="0" w:type="auto"/>
            <w:hideMark/>
          </w:tcPr>
          <w:p w14:paraId="7526F7D8"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opportunity conversion</w:t>
            </w:r>
          </w:p>
        </w:tc>
      </w:tr>
      <w:tr w:rsidR="00EB3E61" w:rsidRPr="00EB3E61" w14:paraId="3D04FE3F" w14:textId="77777777" w:rsidTr="00EB3E61">
        <w:tc>
          <w:tcPr>
            <w:tcW w:w="0" w:type="auto"/>
            <w:hideMark/>
          </w:tcPr>
          <w:p w14:paraId="3EC815D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Forecast accuracy</w:t>
            </w:r>
          </w:p>
        </w:tc>
        <w:tc>
          <w:tcPr>
            <w:tcW w:w="0" w:type="auto"/>
            <w:hideMark/>
          </w:tcPr>
          <w:p w14:paraId="1CF9FA53"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Improves planning reliability</w:t>
            </w:r>
          </w:p>
        </w:tc>
      </w:tr>
      <w:tr w:rsidR="00EB3E61" w:rsidRPr="00EB3E61" w14:paraId="6226D710" w14:textId="77777777" w:rsidTr="00EB3E61">
        <w:tc>
          <w:tcPr>
            <w:tcW w:w="0" w:type="auto"/>
            <w:hideMark/>
          </w:tcPr>
          <w:p w14:paraId="039A844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Customer acquisition</w:t>
            </w:r>
          </w:p>
        </w:tc>
        <w:tc>
          <w:tcPr>
            <w:tcW w:w="0" w:type="auto"/>
            <w:hideMark/>
          </w:tcPr>
          <w:p w14:paraId="59D1D6B6"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new-business generation</w:t>
            </w:r>
          </w:p>
        </w:tc>
      </w:tr>
      <w:tr w:rsidR="00EB3E61" w:rsidRPr="00EB3E61" w14:paraId="5BD926BB" w14:textId="77777777" w:rsidTr="00EB3E61">
        <w:tc>
          <w:tcPr>
            <w:tcW w:w="0" w:type="auto"/>
            <w:hideMark/>
          </w:tcPr>
          <w:p w14:paraId="07155D9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Renewal rate</w:t>
            </w:r>
          </w:p>
        </w:tc>
        <w:tc>
          <w:tcPr>
            <w:tcW w:w="0" w:type="auto"/>
            <w:hideMark/>
          </w:tcPr>
          <w:p w14:paraId="59B3A54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retention</w:t>
            </w:r>
          </w:p>
        </w:tc>
      </w:tr>
      <w:tr w:rsidR="00EB3E61" w:rsidRPr="00EB3E61" w14:paraId="26C9B6F7" w14:textId="77777777" w:rsidTr="00EB3E61">
        <w:tc>
          <w:tcPr>
            <w:tcW w:w="0" w:type="auto"/>
            <w:hideMark/>
          </w:tcPr>
          <w:p w14:paraId="34AFB0C5"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Expansion revenue</w:t>
            </w:r>
          </w:p>
        </w:tc>
        <w:tc>
          <w:tcPr>
            <w:tcW w:w="0" w:type="auto"/>
            <w:hideMark/>
          </w:tcPr>
          <w:p w14:paraId="531D516D"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account development</w:t>
            </w:r>
          </w:p>
        </w:tc>
      </w:tr>
      <w:tr w:rsidR="00EB3E61" w:rsidRPr="00EB3E61" w14:paraId="5A2BB191" w14:textId="77777777" w:rsidTr="00EB3E61">
        <w:tc>
          <w:tcPr>
            <w:tcW w:w="0" w:type="auto"/>
            <w:hideMark/>
          </w:tcPr>
          <w:p w14:paraId="237CD894"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Product adoption</w:t>
            </w:r>
          </w:p>
        </w:tc>
        <w:tc>
          <w:tcPr>
            <w:tcW w:w="0" w:type="auto"/>
            <w:hideMark/>
          </w:tcPr>
          <w:p w14:paraId="078D7E1C"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Indicates customer value realisation</w:t>
            </w:r>
          </w:p>
        </w:tc>
      </w:tr>
      <w:tr w:rsidR="00EB3E61" w:rsidRPr="00EB3E61" w14:paraId="7D8005DC" w14:textId="77777777" w:rsidTr="00EB3E61">
        <w:tc>
          <w:tcPr>
            <w:tcW w:w="0" w:type="auto"/>
            <w:hideMark/>
          </w:tcPr>
          <w:p w14:paraId="5947E6C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Customer lifetime value</w:t>
            </w:r>
          </w:p>
        </w:tc>
        <w:tc>
          <w:tcPr>
            <w:tcW w:w="0" w:type="auto"/>
            <w:hideMark/>
          </w:tcPr>
          <w:p w14:paraId="366C8D93"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long-term economic value</w:t>
            </w:r>
          </w:p>
        </w:tc>
      </w:tr>
      <w:tr w:rsidR="00EB3E61" w:rsidRPr="00EB3E61" w14:paraId="6638B766" w14:textId="77777777" w:rsidTr="00EB3E61">
        <w:tc>
          <w:tcPr>
            <w:tcW w:w="0" w:type="auto"/>
            <w:hideMark/>
          </w:tcPr>
          <w:p w14:paraId="336DB15F"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Cross-sell rate</w:t>
            </w:r>
          </w:p>
        </w:tc>
        <w:tc>
          <w:tcPr>
            <w:tcW w:w="0" w:type="auto"/>
            <w:hideMark/>
          </w:tcPr>
          <w:p w14:paraId="123A6B7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Measures ecosystem penetration</w:t>
            </w:r>
          </w:p>
        </w:tc>
      </w:tr>
      <w:tr w:rsidR="00EB3E61" w:rsidRPr="00EB3E61" w14:paraId="54137D06" w14:textId="77777777" w:rsidTr="00EB3E61">
        <w:tc>
          <w:tcPr>
            <w:tcW w:w="0" w:type="auto"/>
            <w:hideMark/>
          </w:tcPr>
          <w:p w14:paraId="28E0ACBB"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Customer satisfaction</w:t>
            </w:r>
          </w:p>
        </w:tc>
        <w:tc>
          <w:tcPr>
            <w:tcW w:w="0" w:type="auto"/>
            <w:hideMark/>
          </w:tcPr>
          <w:p w14:paraId="4E4F5242" w14:textId="77777777" w:rsidR="00EB3E61" w:rsidRPr="00EB3E61" w:rsidRDefault="00EB3E61" w:rsidP="00EB3E61">
            <w:pPr>
              <w:spacing w:after="160" w:line="278" w:lineRule="auto"/>
              <w:rPr>
                <w:rFonts w:ascii="Times New Roman" w:hAnsi="Times New Roman" w:cs="Times New Roman"/>
              </w:rPr>
            </w:pPr>
            <w:r w:rsidRPr="00EB3E61">
              <w:rPr>
                <w:rFonts w:ascii="Times New Roman" w:hAnsi="Times New Roman" w:cs="Times New Roman"/>
              </w:rPr>
              <w:t>Monitors relationship quality</w:t>
            </w:r>
          </w:p>
        </w:tc>
      </w:tr>
    </w:tbl>
    <w:p w14:paraId="71A6EC2F" w14:textId="77777777" w:rsidR="00EB3E61" w:rsidRPr="00EB3E61" w:rsidRDefault="00EB3E61" w:rsidP="00EB3E61">
      <w:pPr>
        <w:rPr>
          <w:rFonts w:ascii="Times New Roman" w:hAnsi="Times New Roman" w:cs="Times New Roman"/>
          <w:lang w:val="en-US"/>
        </w:rPr>
      </w:pPr>
    </w:p>
    <w:sectPr w:rsidR="00EB3E61" w:rsidRPr="00EB3E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9675D"/>
    <w:multiLevelType w:val="multilevel"/>
    <w:tmpl w:val="345AE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81129"/>
    <w:multiLevelType w:val="multilevel"/>
    <w:tmpl w:val="1C8A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F6083"/>
    <w:multiLevelType w:val="multilevel"/>
    <w:tmpl w:val="951A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37D8B"/>
    <w:multiLevelType w:val="multilevel"/>
    <w:tmpl w:val="2B84C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F13C7F"/>
    <w:multiLevelType w:val="multilevel"/>
    <w:tmpl w:val="3E8E4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8127286">
    <w:abstractNumId w:val="4"/>
  </w:num>
  <w:num w:numId="2" w16cid:durableId="328794963">
    <w:abstractNumId w:val="3"/>
  </w:num>
  <w:num w:numId="3" w16cid:durableId="199124568">
    <w:abstractNumId w:val="2"/>
  </w:num>
  <w:num w:numId="4" w16cid:durableId="208155501">
    <w:abstractNumId w:val="0"/>
  </w:num>
  <w:num w:numId="5" w16cid:durableId="1758865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B4"/>
    <w:rsid w:val="002572B4"/>
    <w:rsid w:val="00B83B1C"/>
    <w:rsid w:val="00E32644"/>
    <w:rsid w:val="00EB3E6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D301"/>
  <w15:chartTrackingRefBased/>
  <w15:docId w15:val="{8E9EAC01-7CCC-4601-830B-545F62A3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2B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2B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2B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2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2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2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2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2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2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2B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2B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2B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2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2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2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2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2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2B4"/>
    <w:rPr>
      <w:rFonts w:eastAsiaTheme="majorEastAsia" w:cstheme="majorBidi"/>
      <w:color w:val="272727" w:themeColor="text1" w:themeTint="D8"/>
    </w:rPr>
  </w:style>
  <w:style w:type="paragraph" w:styleId="Title">
    <w:name w:val="Title"/>
    <w:basedOn w:val="Normal"/>
    <w:next w:val="Normal"/>
    <w:link w:val="TitleChar"/>
    <w:uiPriority w:val="10"/>
    <w:qFormat/>
    <w:rsid w:val="002572B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2B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2B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2B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2B4"/>
    <w:pPr>
      <w:spacing w:before="160"/>
      <w:jc w:val="center"/>
    </w:pPr>
    <w:rPr>
      <w:i/>
      <w:iCs/>
      <w:color w:val="404040" w:themeColor="text1" w:themeTint="BF"/>
    </w:rPr>
  </w:style>
  <w:style w:type="character" w:customStyle="1" w:styleId="QuoteChar">
    <w:name w:val="Quote Char"/>
    <w:basedOn w:val="DefaultParagraphFont"/>
    <w:link w:val="Quote"/>
    <w:uiPriority w:val="29"/>
    <w:rsid w:val="002572B4"/>
    <w:rPr>
      <w:i/>
      <w:iCs/>
      <w:color w:val="404040" w:themeColor="text1" w:themeTint="BF"/>
    </w:rPr>
  </w:style>
  <w:style w:type="paragraph" w:styleId="ListParagraph">
    <w:name w:val="List Paragraph"/>
    <w:basedOn w:val="Normal"/>
    <w:uiPriority w:val="34"/>
    <w:qFormat/>
    <w:rsid w:val="002572B4"/>
    <w:pPr>
      <w:ind w:left="720"/>
      <w:contextualSpacing/>
    </w:pPr>
  </w:style>
  <w:style w:type="character" w:styleId="IntenseEmphasis">
    <w:name w:val="Intense Emphasis"/>
    <w:basedOn w:val="DefaultParagraphFont"/>
    <w:uiPriority w:val="21"/>
    <w:qFormat/>
    <w:rsid w:val="002572B4"/>
    <w:rPr>
      <w:i/>
      <w:iCs/>
      <w:color w:val="0F4761" w:themeColor="accent1" w:themeShade="BF"/>
    </w:rPr>
  </w:style>
  <w:style w:type="paragraph" w:styleId="IntenseQuote">
    <w:name w:val="Intense Quote"/>
    <w:basedOn w:val="Normal"/>
    <w:next w:val="Normal"/>
    <w:link w:val="IntenseQuoteChar"/>
    <w:uiPriority w:val="30"/>
    <w:qFormat/>
    <w:rsid w:val="002572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2B4"/>
    <w:rPr>
      <w:i/>
      <w:iCs/>
      <w:color w:val="0F4761" w:themeColor="accent1" w:themeShade="BF"/>
    </w:rPr>
  </w:style>
  <w:style w:type="character" w:styleId="IntenseReference">
    <w:name w:val="Intense Reference"/>
    <w:basedOn w:val="DefaultParagraphFont"/>
    <w:uiPriority w:val="32"/>
    <w:qFormat/>
    <w:rsid w:val="002572B4"/>
    <w:rPr>
      <w:b/>
      <w:bCs/>
      <w:smallCaps/>
      <w:color w:val="0F4761" w:themeColor="accent1" w:themeShade="BF"/>
      <w:spacing w:val="5"/>
    </w:rPr>
  </w:style>
  <w:style w:type="character" w:styleId="Hyperlink">
    <w:name w:val="Hyperlink"/>
    <w:basedOn w:val="DefaultParagraphFont"/>
    <w:uiPriority w:val="99"/>
    <w:unhideWhenUsed/>
    <w:rsid w:val="002572B4"/>
    <w:rPr>
      <w:color w:val="467886" w:themeColor="hyperlink"/>
      <w:u w:val="single"/>
    </w:rPr>
  </w:style>
  <w:style w:type="character" w:styleId="UnresolvedMention">
    <w:name w:val="Unresolved Mention"/>
    <w:basedOn w:val="DefaultParagraphFont"/>
    <w:uiPriority w:val="99"/>
    <w:semiHidden/>
    <w:unhideWhenUsed/>
    <w:rsid w:val="002572B4"/>
    <w:rPr>
      <w:color w:val="605E5C"/>
      <w:shd w:val="clear" w:color="auto" w:fill="E1DFDD"/>
    </w:rPr>
  </w:style>
  <w:style w:type="table" w:styleId="TableGrid">
    <w:name w:val="Table Grid"/>
    <w:basedOn w:val="TableNormal"/>
    <w:uiPriority w:val="39"/>
    <w:rsid w:val="00EB3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ndmarman.2024.12.009" TargetMode="External"/><Relationship Id="rId13" Type="http://schemas.openxmlformats.org/officeDocument/2006/relationships/hyperlink" Target="https://doi.org/10.1177/10946705261449615?utm_source=chatgpt.com" TargetMode="External"/><Relationship Id="rId18" Type="http://schemas.openxmlformats.org/officeDocument/2006/relationships/hyperlink" Target="https://www.microsoft.com/en-us/investor/earnings/fy-2026-q4/press-release-webcast?utm_source=chatgpt.com" TargetMode="External"/><Relationship Id="rId3" Type="http://schemas.openxmlformats.org/officeDocument/2006/relationships/settings" Target="settings.xml"/><Relationship Id="rId7" Type="http://schemas.openxmlformats.org/officeDocument/2006/relationships/hyperlink" Target="https://doi.org/10.1108/JBIM-02-2017-0037" TargetMode="External"/><Relationship Id="rId12" Type="http://schemas.openxmlformats.org/officeDocument/2006/relationships/hyperlink" Target="https://doi.org/10.1016/j.indmarman.2014.06.006?utm_source=chatgpt.com" TargetMode="External"/><Relationship Id="rId17" Type="http://schemas.openxmlformats.org/officeDocument/2006/relationships/hyperlink" Target="https://www.microsoft.com/en-us/investor/earnings/fy-2026-q4/metrics?utm_source=chatgpt.com" TargetMode="External"/><Relationship Id="rId2" Type="http://schemas.openxmlformats.org/officeDocument/2006/relationships/styles" Target="styles.xml"/><Relationship Id="rId16" Type="http://schemas.openxmlformats.org/officeDocument/2006/relationships/hyperlink" Target="https://www.microsoft.com/investor/reports/ar25/?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indmarman.2022.09.003" TargetMode="External"/><Relationship Id="rId11" Type="http://schemas.openxmlformats.org/officeDocument/2006/relationships/hyperlink" Target="https://doi.org/10.1108/JBIM-10-2023-0611" TargetMode="External"/><Relationship Id="rId5" Type="http://schemas.openxmlformats.org/officeDocument/2006/relationships/hyperlink" Target="https://doi.org/10.1509/jmkr.43.4.693?utm_source=chatgpt.com" TargetMode="External"/><Relationship Id="rId15" Type="http://schemas.openxmlformats.org/officeDocument/2006/relationships/hyperlink" Target="https://doi.org/10.1016/j.indmarman.2024.01.008?utm_source=chatgpt.com" TargetMode="External"/><Relationship Id="rId10" Type="http://schemas.openxmlformats.org/officeDocument/2006/relationships/hyperlink" Target="https://doi.org/10.1108/JBIM-03-2020-012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jretconser.2021.102460?utm_source=chatgpt.com" TargetMode="External"/><Relationship Id="rId14" Type="http://schemas.openxmlformats.org/officeDocument/2006/relationships/hyperlink" Target="https://doi.org/10.1016/j.indmarman.2022.0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6716</Words>
  <Characters>38284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2026-09-18T11:34:00Z</dcterms:created>
  <dcterms:modified xsi:type="dcterms:W3CDTF">2026-09-18T11:38:00Z</dcterms:modified>
</cp:coreProperties>
</file>