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mes New Roman" w:hAnsi="Times New Roman"/>
          <w:b/>
          <w:color w:val="1F4E79"/>
          <w:sz w:val="42"/>
        </w:rPr>
        <w:t>From Inspiration to Advocacy: A 12-Month Digital Engagement Strategy for Tourism Australia</w:t>
      </w:r>
    </w:p>
    <w:p>
      <w:pPr>
        <w:jc w:val="center"/>
      </w:pPr>
      <w:r>
        <w:rPr>
          <w:rFonts w:ascii="Times New Roman" w:hAnsi="Times New Roman"/>
          <w:i/>
          <w:color w:val="505050"/>
          <w:sz w:val="28"/>
        </w:rPr>
        <w:t>Marketing Fundamentals - Detailed Project Report</w:t>
      </w:r>
    </w:p>
    <w:p/>
    <w:tbl>
      <w:tblPr>
        <w:tblW w:type="auto" w:w="0"/>
        <w:jc w:val="center"/>
        <w:tblLayout w:type="fixed"/>
        <w:tblLook w:firstColumn="1" w:firstRow="1" w:lastColumn="0" w:lastRow="0" w:noHBand="0" w:noVBand="1" w:val="04A0"/>
      </w:tblPr>
      <w:tblGrid>
        <w:gridCol w:w="2304"/>
        <w:gridCol w:w="7056"/>
      </w:tblGrid>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Module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Marketing Fundamentals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Assessment</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Detailed Project Report</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Assignment Option</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Option 3: Digital Marketing, Content Strategy, and Customer Engagement in Tourism</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Case Focus</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Tourism Australia - Come and Say G'day</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Name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ID</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Submission Date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bl>
    <w:p/>
    <w:p>
      <w:r>
        <w:br w:type="page"/>
      </w:r>
    </w:p>
    <w:p>
      <w:pPr>
        <w:pStyle w:val="Heading1"/>
        <w:spacing w:before="0" w:after="200" w:line="240" w:lineRule="auto"/>
        <w:ind w:firstLine="0"/>
        <w:jc w:val="center"/>
      </w:pPr>
      <w:r>
        <w:rPr>
          <w:rFonts w:ascii="Times New Roman" w:hAnsi="Times New Roman"/>
          <w:b/>
          <w:sz w:val="28"/>
        </w:rPr>
        <w:t>Table of Contents</w:t>
      </w:r>
    </w:p>
    <w:p>
      <w:pPr>
        <w:keepLines/>
        <w:tabs>
          <w:tab w:pos="9734" w:val="right" w:leader="dot"/>
        </w:tabs>
        <w:spacing w:line="240" w:lineRule="auto" w:before="0" w:after="40"/>
        <w:ind w:left="0" w:firstLine="0"/>
      </w:pPr>
      <w:r>
        <w:rPr>
          <w:rFonts w:ascii="Times New Roman" w:hAnsi="Times New Roman"/>
          <w:b/>
          <w:sz w:val="22"/>
        </w:rPr>
        <w:t>Executive Summary</w:t>
      </w:r>
      <w:r>
        <w:rPr>
          <w:rFonts w:ascii="Times New Roman" w:hAnsi="Times New Roman"/>
          <w:b/>
          <w:sz w:val="22"/>
        </w:rPr>
        <w:tab/>
      </w:r>
      <w:r>
        <w:rPr>
          <w:rFonts w:ascii="Times New Roman" w:hAnsi="Times New Roman"/>
          <w:b/>
          <w:sz w:val="22"/>
        </w:rPr>
        <w:t>3</w:t>
      </w:r>
    </w:p>
    <w:p>
      <w:pPr>
        <w:keepLines/>
        <w:tabs>
          <w:tab w:pos="9734" w:val="right" w:leader="dot"/>
        </w:tabs>
        <w:spacing w:line="240" w:lineRule="auto" w:before="0" w:after="40"/>
        <w:ind w:left="0" w:firstLine="0"/>
      </w:pPr>
      <w:r>
        <w:rPr>
          <w:rFonts w:ascii="Times New Roman" w:hAnsi="Times New Roman"/>
          <w:b/>
          <w:sz w:val="22"/>
        </w:rPr>
        <w:t>1. Introduction</w:t>
      </w:r>
      <w:r>
        <w:rPr>
          <w:rFonts w:ascii="Times New Roman" w:hAnsi="Times New Roman"/>
          <w:b/>
          <w:sz w:val="22"/>
        </w:rPr>
        <w:tab/>
      </w:r>
      <w:r>
        <w:rPr>
          <w:rFonts w:ascii="Times New Roman" w:hAnsi="Times New Roman"/>
          <w:b/>
          <w:sz w:val="22"/>
        </w:rPr>
        <w:t>4</w:t>
      </w:r>
    </w:p>
    <w:p>
      <w:pPr>
        <w:keepLines/>
        <w:tabs>
          <w:tab w:pos="9734" w:val="right" w:leader="dot"/>
        </w:tabs>
        <w:spacing w:line="240" w:lineRule="auto" w:before="0" w:after="40"/>
        <w:ind w:left="0" w:firstLine="0"/>
      </w:pPr>
      <w:r>
        <w:rPr>
          <w:rFonts w:ascii="Times New Roman" w:hAnsi="Times New Roman"/>
          <w:b/>
          <w:sz w:val="22"/>
        </w:rPr>
        <w:t>2. Market &amp; Consumer Behaviour Analysis</w:t>
      </w:r>
      <w:r>
        <w:rPr>
          <w:rFonts w:ascii="Times New Roman" w:hAnsi="Times New Roman"/>
          <w:b/>
          <w:sz w:val="22"/>
        </w:rPr>
        <w:tab/>
      </w:r>
      <w:r>
        <w:rPr>
          <w:rFonts w:ascii="Times New Roman" w:hAnsi="Times New Roman"/>
          <w:b/>
          <w:sz w:val="22"/>
        </w:rPr>
        <w:t>5</w:t>
      </w:r>
    </w:p>
    <w:p>
      <w:pPr>
        <w:keepLines/>
        <w:tabs>
          <w:tab w:pos="9734" w:val="right" w:leader="dot"/>
        </w:tabs>
        <w:spacing w:line="240" w:lineRule="auto" w:before="0" w:after="0"/>
        <w:ind w:left="403" w:firstLine="0"/>
      </w:pPr>
      <w:r>
        <w:rPr>
          <w:rFonts w:ascii="Times New Roman" w:hAnsi="Times New Roman"/>
          <w:b w:val="0"/>
          <w:sz w:val="22"/>
        </w:rPr>
        <w:t>2.1 The digital travel decision environment</w:t>
      </w:r>
      <w:r>
        <w:rPr>
          <w:rFonts w:ascii="Times New Roman" w:hAnsi="Times New Roman"/>
          <w:b w:val="0"/>
          <w:sz w:val="22"/>
        </w:rPr>
        <w:tab/>
      </w:r>
      <w:r>
        <w:rPr>
          <w:rFonts w:ascii="Times New Roman" w:hAnsi="Times New Roman"/>
          <w:b w:val="0"/>
          <w:sz w:val="22"/>
        </w:rPr>
        <w:t>5</w:t>
      </w:r>
    </w:p>
    <w:p>
      <w:pPr>
        <w:keepLines/>
        <w:tabs>
          <w:tab w:pos="9734" w:val="right" w:leader="dot"/>
        </w:tabs>
        <w:spacing w:line="240" w:lineRule="auto" w:before="0" w:after="0"/>
        <w:ind w:left="403" w:firstLine="0"/>
      </w:pPr>
      <w:r>
        <w:rPr>
          <w:rFonts w:ascii="Times New Roman" w:hAnsi="Times New Roman"/>
          <w:b w:val="0"/>
          <w:sz w:val="22"/>
        </w:rPr>
        <w:t>2.2 Consumer motivations and barriers</w:t>
      </w:r>
      <w:r>
        <w:rPr>
          <w:rFonts w:ascii="Times New Roman" w:hAnsi="Times New Roman"/>
          <w:b w:val="0"/>
          <w:sz w:val="22"/>
        </w:rPr>
        <w:tab/>
      </w:r>
      <w:r>
        <w:rPr>
          <w:rFonts w:ascii="Times New Roman" w:hAnsi="Times New Roman"/>
          <w:b w:val="0"/>
          <w:sz w:val="22"/>
        </w:rPr>
        <w:t>6</w:t>
      </w:r>
    </w:p>
    <w:p>
      <w:pPr>
        <w:keepLines/>
        <w:tabs>
          <w:tab w:pos="9734" w:val="right" w:leader="dot"/>
        </w:tabs>
        <w:spacing w:line="240" w:lineRule="auto" w:before="0" w:after="0"/>
        <w:ind w:left="403" w:firstLine="0"/>
      </w:pPr>
      <w:r>
        <w:rPr>
          <w:rFonts w:ascii="Times New Roman" w:hAnsi="Times New Roman"/>
          <w:b w:val="0"/>
          <w:sz w:val="22"/>
        </w:rPr>
        <w:t>2.3 Trust, social proof and influencer behaviour</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40"/>
        <w:ind w:left="0" w:firstLine="0"/>
      </w:pPr>
      <w:r>
        <w:rPr>
          <w:rFonts w:ascii="Times New Roman" w:hAnsi="Times New Roman"/>
          <w:b/>
          <w:sz w:val="22"/>
        </w:rPr>
        <w:t>3. Segmentation, Targeting, and Positioning (STP)</w:t>
      </w:r>
      <w:r>
        <w:rPr>
          <w:rFonts w:ascii="Times New Roman" w:hAnsi="Times New Roman"/>
          <w:b/>
          <w:sz w:val="22"/>
        </w:rPr>
        <w:tab/>
      </w:r>
      <w:r>
        <w:rPr>
          <w:rFonts w:ascii="Times New Roman" w:hAnsi="Times New Roman"/>
          <w:b/>
          <w:sz w:val="22"/>
        </w:rPr>
        <w:t>7</w:t>
      </w:r>
    </w:p>
    <w:p>
      <w:pPr>
        <w:keepLines/>
        <w:tabs>
          <w:tab w:pos="9734" w:val="right" w:leader="dot"/>
        </w:tabs>
        <w:spacing w:line="240" w:lineRule="auto" w:before="0" w:after="0"/>
        <w:ind w:left="403" w:firstLine="0"/>
      </w:pPr>
      <w:r>
        <w:rPr>
          <w:rFonts w:ascii="Times New Roman" w:hAnsi="Times New Roman"/>
          <w:b w:val="0"/>
          <w:sz w:val="22"/>
        </w:rPr>
        <w:t>3.1 Digital-first audience segmentation</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0"/>
        <w:ind w:left="403" w:firstLine="0"/>
      </w:pPr>
      <w:r>
        <w:rPr>
          <w:rFonts w:ascii="Times New Roman" w:hAnsi="Times New Roman"/>
          <w:b w:val="0"/>
          <w:sz w:val="22"/>
        </w:rPr>
        <w:t>3.2 Targeting priorities</w:t>
      </w:r>
      <w:r>
        <w:rPr>
          <w:rFonts w:ascii="Times New Roman" w:hAnsi="Times New Roman"/>
          <w:b w:val="0"/>
          <w:sz w:val="22"/>
        </w:rPr>
        <w:tab/>
      </w:r>
      <w:r>
        <w:rPr>
          <w:rFonts w:ascii="Times New Roman" w:hAnsi="Times New Roman"/>
          <w:b w:val="0"/>
          <w:sz w:val="22"/>
        </w:rPr>
        <w:t>8</w:t>
      </w:r>
    </w:p>
    <w:p>
      <w:pPr>
        <w:keepLines/>
        <w:tabs>
          <w:tab w:pos="9734" w:val="right" w:leader="dot"/>
        </w:tabs>
        <w:spacing w:line="240" w:lineRule="auto" w:before="0" w:after="0"/>
        <w:ind w:left="403" w:firstLine="0"/>
      </w:pPr>
      <w:r>
        <w:rPr>
          <w:rFonts w:ascii="Times New Roman" w:hAnsi="Times New Roman"/>
          <w:b w:val="0"/>
          <w:sz w:val="22"/>
        </w:rPr>
        <w:t>3.3 Positioning</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40"/>
        <w:ind w:left="0" w:firstLine="0"/>
      </w:pPr>
      <w:r>
        <w:rPr>
          <w:rFonts w:ascii="Times New Roman" w:hAnsi="Times New Roman"/>
          <w:b/>
          <w:sz w:val="22"/>
        </w:rPr>
        <w:t>4. From Push Promotion to an Omni-Channel Customer Journey</w:t>
      </w:r>
      <w:r>
        <w:rPr>
          <w:rFonts w:ascii="Times New Roman" w:hAnsi="Times New Roman"/>
          <w:b/>
          <w:sz w:val="22"/>
        </w:rPr>
        <w:tab/>
      </w:r>
      <w:r>
        <w:rPr>
          <w:rFonts w:ascii="Times New Roman" w:hAnsi="Times New Roman"/>
          <w:b/>
          <w:sz w:val="22"/>
        </w:rPr>
        <w:t>9</w:t>
      </w:r>
    </w:p>
    <w:p>
      <w:pPr>
        <w:keepLines/>
        <w:tabs>
          <w:tab w:pos="9734" w:val="right" w:leader="dot"/>
        </w:tabs>
        <w:spacing w:line="240" w:lineRule="auto" w:before="0" w:after="40"/>
        <w:ind w:left="0" w:firstLine="0"/>
      </w:pPr>
      <w:r>
        <w:rPr>
          <w:rFonts w:ascii="Times New Roman" w:hAnsi="Times New Roman"/>
          <w:b/>
          <w:sz w:val="22"/>
        </w:rPr>
        <w:t>5. Integrated Marketing Communications (IMC) Strategy</w:t>
      </w:r>
      <w:r>
        <w:rPr>
          <w:rFonts w:ascii="Times New Roman" w:hAnsi="Times New Roman"/>
          <w:b/>
          <w:sz w:val="22"/>
        </w:rPr>
        <w:tab/>
      </w:r>
      <w:r>
        <w:rPr>
          <w:rFonts w:ascii="Times New Roman" w:hAnsi="Times New Roman"/>
          <w:b/>
          <w:sz w:val="22"/>
        </w:rPr>
        <w:t>10</w:t>
      </w:r>
    </w:p>
    <w:p>
      <w:pPr>
        <w:keepLines/>
        <w:tabs>
          <w:tab w:pos="9734" w:val="right" w:leader="dot"/>
        </w:tabs>
        <w:spacing w:line="240" w:lineRule="auto" w:before="0" w:after="0"/>
        <w:ind w:left="403" w:firstLine="0"/>
      </w:pPr>
      <w:r>
        <w:rPr>
          <w:rFonts w:ascii="Times New Roman" w:hAnsi="Times New Roman"/>
          <w:b w:val="0"/>
          <w:sz w:val="22"/>
        </w:rPr>
        <w:t>5.1 Paid, owned, earned and partner media</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5.2 Content architecture</w:t>
      </w:r>
      <w:r>
        <w:rPr>
          <w:rFonts w:ascii="Times New Roman" w:hAnsi="Times New Roman"/>
          <w:b w:val="0"/>
          <w:sz w:val="22"/>
        </w:rPr>
        <w:tab/>
      </w:r>
      <w:r>
        <w:rPr>
          <w:rFonts w:ascii="Times New Roman" w:hAnsi="Times New Roman"/>
          <w:b w:val="0"/>
          <w:sz w:val="22"/>
        </w:rPr>
        <w:t>11</w:t>
      </w:r>
    </w:p>
    <w:p>
      <w:pPr>
        <w:keepLines/>
        <w:tabs>
          <w:tab w:pos="9734" w:val="right" w:leader="dot"/>
        </w:tabs>
        <w:spacing w:line="240" w:lineRule="auto" w:before="0" w:after="40"/>
        <w:ind w:left="0" w:firstLine="0"/>
      </w:pPr>
      <w:r>
        <w:rPr>
          <w:rFonts w:ascii="Times New Roman" w:hAnsi="Times New Roman"/>
          <w:b/>
          <w:sz w:val="22"/>
        </w:rPr>
        <w:t>6. UGC, Social Participation and Influencer Strategy</w:t>
      </w:r>
      <w:r>
        <w:rPr>
          <w:rFonts w:ascii="Times New Roman" w:hAnsi="Times New Roman"/>
          <w:b/>
          <w:sz w:val="22"/>
        </w:rPr>
        <w:tab/>
      </w:r>
      <w:r>
        <w:rPr>
          <w:rFonts w:ascii="Times New Roman" w:hAnsi="Times New Roman"/>
          <w:b/>
          <w:sz w:val="22"/>
        </w:rPr>
        <w:t>12</w:t>
      </w:r>
    </w:p>
    <w:p>
      <w:pPr>
        <w:keepLines/>
        <w:tabs>
          <w:tab w:pos="9734" w:val="right" w:leader="dot"/>
        </w:tabs>
        <w:spacing w:line="240" w:lineRule="auto" w:before="0" w:after="0"/>
        <w:ind w:left="403" w:firstLine="0"/>
      </w:pPr>
      <w:r>
        <w:rPr>
          <w:rFonts w:ascii="Times New Roman" w:hAnsi="Times New Roman"/>
          <w:b w:val="0"/>
          <w:sz w:val="22"/>
        </w:rPr>
        <w:t>6.1 UGC as destination evidence</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6.2 Influencer selection and briefing</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6.3 Reputation risk controls</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40"/>
        <w:ind w:left="0" w:firstLine="0"/>
      </w:pPr>
      <w:r>
        <w:rPr>
          <w:rFonts w:ascii="Times New Roman" w:hAnsi="Times New Roman"/>
          <w:b/>
          <w:sz w:val="22"/>
        </w:rPr>
        <w:t>7. The Extended Marketing Mix (7 Ps) for the Digital Campaign</w:t>
      </w:r>
      <w:r>
        <w:rPr>
          <w:rFonts w:ascii="Times New Roman" w:hAnsi="Times New Roman"/>
          <w:b/>
          <w:sz w:val="22"/>
        </w:rPr>
        <w:tab/>
      </w:r>
      <w:r>
        <w:rPr>
          <w:rFonts w:ascii="Times New Roman" w:hAnsi="Times New Roman"/>
          <w:b/>
          <w:sz w:val="22"/>
        </w:rPr>
        <w:t>13</w:t>
      </w:r>
    </w:p>
    <w:p>
      <w:pPr>
        <w:keepLines/>
        <w:tabs>
          <w:tab w:pos="9734" w:val="right" w:leader="dot"/>
        </w:tabs>
        <w:spacing w:line="240" w:lineRule="auto" w:before="0" w:after="40"/>
        <w:ind w:left="0" w:firstLine="0"/>
      </w:pPr>
      <w:r>
        <w:rPr>
          <w:rFonts w:ascii="Times New Roman" w:hAnsi="Times New Roman"/>
          <w:b/>
          <w:sz w:val="22"/>
        </w:rPr>
        <w:t>8. Measurement: ROI, Conversion and Marketing Effectiveness</w:t>
      </w:r>
      <w:r>
        <w:rPr>
          <w:rFonts w:ascii="Times New Roman" w:hAnsi="Times New Roman"/>
          <w:b/>
          <w:sz w:val="22"/>
        </w:rPr>
        <w:tab/>
      </w:r>
      <w:r>
        <w:rPr>
          <w:rFonts w:ascii="Times New Roman" w:hAnsi="Times New Roman"/>
          <w:b/>
          <w:sz w:val="22"/>
        </w:rPr>
        <w:t>14</w:t>
      </w:r>
    </w:p>
    <w:p>
      <w:pPr>
        <w:keepLines/>
        <w:tabs>
          <w:tab w:pos="9734" w:val="right" w:leader="dot"/>
        </w:tabs>
        <w:spacing w:line="240" w:lineRule="auto" w:before="0" w:after="0"/>
        <w:ind w:left="403" w:firstLine="0"/>
      </w:pPr>
      <w:r>
        <w:rPr>
          <w:rFonts w:ascii="Times New Roman" w:hAnsi="Times New Roman"/>
          <w:b w:val="0"/>
          <w:sz w:val="22"/>
        </w:rPr>
        <w:t>8.1 Measurement principles</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0"/>
        <w:ind w:left="403" w:firstLine="0"/>
      </w:pPr>
      <w:r>
        <w:rPr>
          <w:rFonts w:ascii="Times New Roman" w:hAnsi="Times New Roman"/>
          <w:b w:val="0"/>
          <w:sz w:val="22"/>
        </w:rPr>
        <w:t>8.2 ROI framework</w:t>
      </w:r>
      <w:r>
        <w:rPr>
          <w:rFonts w:ascii="Times New Roman" w:hAnsi="Times New Roman"/>
          <w:b w:val="0"/>
          <w:sz w:val="22"/>
        </w:rPr>
        <w:tab/>
      </w:r>
      <w:r>
        <w:rPr>
          <w:rFonts w:ascii="Times New Roman" w:hAnsi="Times New Roman"/>
          <w:b w:val="0"/>
          <w:sz w:val="22"/>
        </w:rPr>
        <w:t>15</w:t>
      </w:r>
    </w:p>
    <w:p>
      <w:pPr>
        <w:keepLines/>
        <w:tabs>
          <w:tab w:pos="9734" w:val="right" w:leader="dot"/>
        </w:tabs>
        <w:spacing w:line="240" w:lineRule="auto" w:before="0" w:after="40"/>
        <w:ind w:left="0" w:firstLine="0"/>
      </w:pPr>
      <w:r>
        <w:rPr>
          <w:rFonts w:ascii="Times New Roman" w:hAnsi="Times New Roman"/>
          <w:b/>
          <w:sz w:val="22"/>
        </w:rPr>
        <w:t>9. Twelve-Month Digital Campaign Framework</w:t>
      </w:r>
      <w:r>
        <w:rPr>
          <w:rFonts w:ascii="Times New Roman" w:hAnsi="Times New Roman"/>
          <w:b/>
          <w:sz w:val="22"/>
        </w:rPr>
        <w:tab/>
      </w:r>
      <w:r>
        <w:rPr>
          <w:rFonts w:ascii="Times New Roman" w:hAnsi="Times New Roman"/>
          <w:b/>
          <w:sz w:val="22"/>
        </w:rPr>
        <w:t>16</w:t>
      </w:r>
    </w:p>
    <w:p>
      <w:pPr>
        <w:keepLines/>
        <w:tabs>
          <w:tab w:pos="9734" w:val="right" w:leader="dot"/>
        </w:tabs>
        <w:spacing w:line="240" w:lineRule="auto" w:before="0" w:after="40"/>
        <w:ind w:left="0" w:firstLine="0"/>
      </w:pPr>
      <w:r>
        <w:rPr>
          <w:rFonts w:ascii="Times New Roman" w:hAnsi="Times New Roman"/>
          <w:b/>
          <w:sz w:val="22"/>
        </w:rPr>
        <w:t>10. Budget Allocation</w:t>
      </w:r>
      <w:r>
        <w:rPr>
          <w:rFonts w:ascii="Times New Roman" w:hAnsi="Times New Roman"/>
          <w:b/>
          <w:sz w:val="22"/>
        </w:rPr>
        <w:tab/>
      </w:r>
      <w:r>
        <w:rPr>
          <w:rFonts w:ascii="Times New Roman" w:hAnsi="Times New Roman"/>
          <w:b/>
          <w:sz w:val="22"/>
        </w:rPr>
        <w:t>17</w:t>
      </w:r>
    </w:p>
    <w:p>
      <w:pPr>
        <w:keepLines/>
        <w:tabs>
          <w:tab w:pos="9734" w:val="right" w:leader="dot"/>
        </w:tabs>
        <w:spacing w:line="240" w:lineRule="auto" w:before="0" w:after="40"/>
        <w:ind w:left="0" w:firstLine="0"/>
      </w:pPr>
      <w:r>
        <w:rPr>
          <w:rFonts w:ascii="Times New Roman" w:hAnsi="Times New Roman"/>
          <w:b/>
          <w:sz w:val="22"/>
        </w:rPr>
        <w:t>11. Implementation Governance</w:t>
      </w:r>
      <w:r>
        <w:rPr>
          <w:rFonts w:ascii="Times New Roman" w:hAnsi="Times New Roman"/>
          <w:b/>
          <w:sz w:val="22"/>
        </w:rPr>
        <w:tab/>
      </w:r>
      <w:r>
        <w:rPr>
          <w:rFonts w:ascii="Times New Roman" w:hAnsi="Times New Roman"/>
          <w:b/>
          <w:sz w:val="22"/>
        </w:rPr>
        <w:t>18</w:t>
      </w:r>
    </w:p>
    <w:p>
      <w:pPr>
        <w:keepLines/>
        <w:tabs>
          <w:tab w:pos="9734" w:val="right" w:leader="dot"/>
        </w:tabs>
        <w:spacing w:line="240" w:lineRule="auto" w:before="0" w:after="40"/>
        <w:ind w:left="0" w:firstLine="0"/>
      </w:pPr>
      <w:r>
        <w:rPr>
          <w:rFonts w:ascii="Times New Roman" w:hAnsi="Times New Roman"/>
          <w:b/>
          <w:sz w:val="22"/>
        </w:rPr>
        <w:t>12. Conclusion &amp; Recommendations</w:t>
      </w:r>
      <w:r>
        <w:rPr>
          <w:rFonts w:ascii="Times New Roman" w:hAnsi="Times New Roman"/>
          <w:b/>
          <w:sz w:val="22"/>
        </w:rPr>
        <w:tab/>
      </w:r>
      <w:r>
        <w:rPr>
          <w:rFonts w:ascii="Times New Roman" w:hAnsi="Times New Roman"/>
          <w:b/>
          <w:sz w:val="22"/>
        </w:rPr>
        <w:t>19</w:t>
      </w:r>
    </w:p>
    <w:p>
      <w:pPr>
        <w:keepLines/>
        <w:tabs>
          <w:tab w:pos="9734" w:val="right" w:leader="dot"/>
        </w:tabs>
        <w:spacing w:line="240" w:lineRule="auto" w:before="0" w:after="40"/>
        <w:ind w:left="0" w:firstLine="0"/>
      </w:pPr>
      <w:r>
        <w:rPr>
          <w:rFonts w:ascii="Times New Roman" w:hAnsi="Times New Roman"/>
          <w:b/>
          <w:sz w:val="22"/>
        </w:rPr>
        <w:t>References</w:t>
      </w:r>
      <w:r>
        <w:rPr>
          <w:rFonts w:ascii="Times New Roman" w:hAnsi="Times New Roman"/>
          <w:b/>
          <w:sz w:val="22"/>
        </w:rPr>
        <w:tab/>
      </w:r>
      <w:r>
        <w:rPr>
          <w:rFonts w:ascii="Times New Roman" w:hAnsi="Times New Roman"/>
          <w:b/>
          <w:sz w:val="22"/>
        </w:rPr>
        <w:t>20</w:t>
      </w:r>
    </w:p>
    <w:p>
      <w:pPr>
        <w:keepLines/>
        <w:tabs>
          <w:tab w:pos="9734" w:val="right" w:leader="dot"/>
        </w:tabs>
        <w:spacing w:line="240" w:lineRule="auto" w:before="0" w:after="40"/>
        <w:ind w:left="0" w:firstLine="0"/>
      </w:pPr>
      <w:r>
        <w:rPr>
          <w:rFonts w:ascii="Times New Roman" w:hAnsi="Times New Roman"/>
          <w:b/>
          <w:sz w:val="22"/>
        </w:rPr>
        <w:t>Appendices</w:t>
      </w:r>
      <w:r>
        <w:rPr>
          <w:rFonts w:ascii="Times New Roman" w:hAnsi="Times New Roman"/>
          <w:b/>
          <w:sz w:val="22"/>
        </w:rPr>
        <w:tab/>
      </w:r>
      <w:r>
        <w:rPr>
          <w:rFonts w:ascii="Times New Roman" w:hAnsi="Times New Roman"/>
          <w:b/>
          <w:sz w:val="22"/>
        </w:rPr>
        <w:t>21</w:t>
      </w:r>
    </w:p>
    <w:p>
      <w:pPr>
        <w:keepLines/>
        <w:tabs>
          <w:tab w:pos="9734" w:val="right" w:leader="dot"/>
        </w:tabs>
        <w:spacing w:line="240" w:lineRule="auto" w:before="0" w:after="0"/>
        <w:ind w:left="403" w:firstLine="0"/>
      </w:pPr>
      <w:r>
        <w:rPr>
          <w:rFonts w:ascii="Times New Roman" w:hAnsi="Times New Roman"/>
          <w:b w:val="0"/>
          <w:sz w:val="22"/>
        </w:rPr>
        <w:t>Appendix A. Example Content Matrix</w:t>
      </w:r>
      <w:r>
        <w:rPr>
          <w:rFonts w:ascii="Times New Roman" w:hAnsi="Times New Roman"/>
          <w:b w:val="0"/>
          <w:sz w:val="22"/>
        </w:rPr>
        <w:tab/>
      </w:r>
      <w:r>
        <w:rPr>
          <w:rFonts w:ascii="Times New Roman" w:hAnsi="Times New Roman"/>
          <w:b w:val="0"/>
          <w:sz w:val="22"/>
        </w:rPr>
        <w:t>21</w:t>
      </w:r>
    </w:p>
    <w:p>
      <w:pPr>
        <w:keepLines/>
        <w:tabs>
          <w:tab w:pos="9734" w:val="right" w:leader="dot"/>
        </w:tabs>
        <w:spacing w:line="240" w:lineRule="auto" w:before="0" w:after="0"/>
        <w:ind w:left="403" w:firstLine="0"/>
      </w:pPr>
      <w:r>
        <w:rPr>
          <w:rFonts w:ascii="Times New Roman" w:hAnsi="Times New Roman"/>
          <w:b w:val="0"/>
          <w:sz w:val="22"/>
        </w:rPr>
        <w:t>Appendix B. Influencer Evaluation Scorecard</w:t>
      </w:r>
      <w:r>
        <w:rPr>
          <w:rFonts w:ascii="Times New Roman" w:hAnsi="Times New Roman"/>
          <w:b w:val="0"/>
          <w:sz w:val="22"/>
        </w:rPr>
        <w:tab/>
      </w:r>
      <w:r>
        <w:rPr>
          <w:rFonts w:ascii="Times New Roman" w:hAnsi="Times New Roman"/>
          <w:b w:val="0"/>
          <w:sz w:val="22"/>
        </w:rPr>
        <w:t>21</w:t>
      </w:r>
    </w:p>
    <w:p>
      <w:pPr>
        <w:keepLines/>
        <w:tabs>
          <w:tab w:pos="9734" w:val="right" w:leader="dot"/>
        </w:tabs>
        <w:spacing w:line="240" w:lineRule="auto" w:before="0" w:after="0"/>
        <w:ind w:left="403" w:firstLine="0"/>
      </w:pPr>
      <w:r>
        <w:rPr>
          <w:rFonts w:ascii="Times New Roman" w:hAnsi="Times New Roman"/>
          <w:b w:val="0"/>
          <w:sz w:val="22"/>
        </w:rPr>
        <w:t>Appendix C. Dashboard Definitions</w:t>
      </w:r>
      <w:r>
        <w:rPr>
          <w:rFonts w:ascii="Times New Roman" w:hAnsi="Times New Roman"/>
          <w:b w:val="0"/>
          <w:sz w:val="22"/>
        </w:rPr>
        <w:tab/>
      </w:r>
      <w:r>
        <w:rPr>
          <w:rFonts w:ascii="Times New Roman" w:hAnsi="Times New Roman"/>
          <w:b w:val="0"/>
          <w:sz w:val="22"/>
        </w:rPr>
        <w:t>22</w:t>
      </w:r>
    </w:p>
    <w:p>
      <w:pPr>
        <w:spacing w:before="0" w:after="0" w:line="240" w:lineRule="auto"/>
      </w:pPr>
      <w:r>
        <w:br w:type="page"/>
      </w:r>
    </w:p>
    <w:p>
      <w:pPr>
        <w:pStyle w:val="Heading1"/>
        <w:ind w:firstLine="0"/>
      </w:pPr>
      <w:r>
        <w:t>Executive Summary</w:t>
      </w:r>
    </w:p>
    <w:p>
      <w:pPr/>
      <w:r>
        <w:rPr>
          <w:rFonts w:ascii="Times New Roman" w:hAnsi="Times New Roman"/>
          <w:sz w:val="24"/>
        </w:rPr>
        <w:t>Tourism marketing has moved from one-way destination promotion toward an always-on system in which prospective travellers encounter paid advertising, creator content, search results, airline offers, reviews, destination websites and peer recommendations across a long decision journey. This report evaluates that shift through Tourism Australia and develops a practical twelve-month digital campaign framework designed to move high-value prospective visitors from awareness to consideration, booking and advocacy.</w:t>
      </w:r>
    </w:p>
    <w:p>
      <w:pPr/>
      <w:r>
        <w:rPr>
          <w:rFonts w:ascii="Times New Roman" w:hAnsi="Times New Roman"/>
          <w:sz w:val="24"/>
        </w:rPr>
        <w:t>Tourism Australia enters this planning period with a highly visible global platform. Its latest instalment of the Come and Say G’day campaign launched in August 2025 with market-specific talent, and by June 2026 Tourism Australia reported more than one billion views and close to A$400 million in earned media value (Tourism Australia, 2026a). The opportunity is to convert that broad cultural salience into measurable travel consideration, partner referrals and qualified visitor demand. The proposed strategy, "Australia, Your Next Story," does not replace Come and Say G’day; it operates as a digital activation layer that makes the masterbrand personally useful throughout the journey.</w:t>
      </w:r>
    </w:p>
    <w:p>
      <w:pPr/>
      <w:r>
        <w:rPr>
          <w:rFonts w:ascii="Times New Roman" w:hAnsi="Times New Roman"/>
          <w:sz w:val="24"/>
        </w:rPr>
        <w:t>Four strategic principles guide the framework. First, creative must be adapted to the motives and media behaviour of priority markets rather than duplicated across platforms. Second, user-generated content (UGC) and influencers should provide trusted social proof while remaining governed by disclosure, brand-safety and authenticity rules. Third, paid, owned, earned and partner media must be linked through shared audiences and measurement. Fourth, success should be assessed beyond impressions, using conversion rate, cost per qualified visit, partner click-through, incremental brand search, assisted booking signals, engagement quality and customer acquisition cost proxies.</w:t>
      </w:r>
    </w:p>
    <w:p>
      <w:pPr/>
      <w:r>
        <w:rPr>
          <w:rFonts w:ascii="Times New Roman" w:hAnsi="Times New Roman"/>
          <w:sz w:val="24"/>
        </w:rPr>
        <w:t>The recommended twelve-month programme has a proposed A$8.4 million activation budget. It includes creator partnerships, paid social/video, search and retargeting, UGC rights management, landing-page optimisation, market localisation, measurement and a rapid-response reputation fund. A quarterly rhythm moves from audience and content testing to peak inspiration, booking acceleration and advocacy. The report concludes that Tourism Australia can strengthen marketing effectiveness by treating digital communication as a connected customer journey rather than a collection of channels and by using creators and UGC as credibility mechanisms, not as substitutes for strategic targeting or measurement.</w:t>
      </w:r>
    </w:p>
    <w:p>
      <w:pPr>
        <w:pStyle w:val="Heading1"/>
        <w:ind w:firstLine="0"/>
      </w:pPr>
      <w:r>
        <w:t>1. Introduction</w:t>
      </w:r>
    </w:p>
    <w:p>
      <w:pPr/>
      <w:r>
        <w:rPr>
          <w:rFonts w:ascii="Times New Roman" w:hAnsi="Times New Roman"/>
          <w:sz w:val="24"/>
        </w:rPr>
        <w:t>Destination marketing once depended heavily on television, print, outdoor advertising and travel-trade promotion. Those tools remain relevant, but the traveller now experiences destination brands through a much more fragmented information environment. Search engines, short-form video, social networks, online travel agencies, airline websites, mapping platforms, creators and review ecosystems allow consumers to move repeatedly between inspiration and evaluation. Digital media also makes travellers active participants in destination branding because their photographs, reviews and recommendations become part of what future visitors see.</w:t>
      </w:r>
    </w:p>
    <w:p>
      <w:pPr/>
      <w:r>
        <w:rPr>
          <w:rFonts w:ascii="Times New Roman" w:hAnsi="Times New Roman"/>
          <w:sz w:val="24"/>
        </w:rPr>
        <w:t>Kannan and Li (2017) describe digital marketing as a set of technology-enabled touchpoints that reshape both marketing processes and strategy. For tourism organisations, the key implication is that media is no longer only a communications function. Digital touchpoints influence discovery, information search, comparison, booking and the sharing of experiences after travel. Xiang and Gretzel (2010) show that social media is deeply embedded in online travel information search, making consumer-generated content a structural part of destination choice rather than a peripheral influence.</w:t>
      </w:r>
    </w:p>
    <w:p>
      <w:pPr/>
      <w:r>
        <w:rPr>
          <w:rFonts w:ascii="Times New Roman" w:hAnsi="Times New Roman"/>
          <w:sz w:val="24"/>
        </w:rPr>
        <w:t>Tourism Australia is an appropriate case because its role is to stimulate international demand for Australia while working with state and territory organisations, airlines and industry partners that ultimately convert interest into travel products. In 2026, Tourism Australia reported that the August 2025 phase of Come and Say G’day had generated more than one billion views and close to A$400 million in earned media value (Tourism Australia, 2026a). Those figures indicate reach and cultural visibility, but the managerial challenge is to connect attention with high-quality demand and identifiable movement through the travel decision journey.</w:t>
      </w:r>
    </w:p>
    <w:p>
      <w:pPr/>
      <w:r>
        <w:rPr>
          <w:rFonts w:ascii="Times New Roman" w:hAnsi="Times New Roman"/>
          <w:sz w:val="24"/>
        </w:rPr>
        <w:t>This report evaluates the digital customer journey, audience segments, integrated marketing communications (IMC), UGC and influencer strategy, reputation controls, measurement and a twelve-month campaign framework. It also applies the 7Ps to show that even a digital destination campaign requires alignment between promotional content and the product, access, people and processes encountered by travellers.</w:t>
      </w:r>
    </w:p>
    <w:p>
      <w:pPr>
        <w:pStyle w:val="Heading1"/>
        <w:ind w:firstLine="0"/>
      </w:pPr>
      <w:r>
        <w:t>2. Market &amp; Consumer Behaviour Analysis</w:t>
      </w:r>
    </w:p>
    <w:p>
      <w:pPr>
        <w:pStyle w:val="Heading2"/>
        <w:ind w:firstLine="0"/>
      </w:pPr>
      <w:r>
        <w:t>2.1 The digital travel decision environment</w:t>
      </w:r>
    </w:p>
    <w:p>
      <w:pPr/>
      <w:r>
        <w:rPr>
          <w:rFonts w:ascii="Times New Roman" w:hAnsi="Times New Roman"/>
          <w:sz w:val="24"/>
        </w:rPr>
        <w:t>International travel is a high-involvement purchase. It often involves large financial commitments, coordination with family or friends, visa and flight considerations, uncertainty about quality and a delay between purchase and consumption. As a result, travellers rarely move through a simple linear funnel. They may discover Australia through a wildlife video, save a food post, compare flight prices several weeks later, ask friends for advice, watch a creator itinerary, search for a specific region and only then click to an airline or travel partner.</w:t>
      </w:r>
    </w:p>
    <w:p>
      <w:pPr/>
      <w:r>
        <w:rPr>
          <w:rFonts w:ascii="Times New Roman" w:hAnsi="Times New Roman"/>
          <w:sz w:val="24"/>
        </w:rPr>
        <w:t>Lemon and Verhoef (2016) explain that customer experience emerges across multiple touchpoints owned by the focal organisation, partners, customers and external actors. This is highly relevant for a national tourism organisation because Tourism Australia cannot control the entire service experience. Airlines, accommodation providers, tour operators, state tourism bodies, immigration information, weather events and peer reviews all affect the perceived journey. The practical objective is therefore orchestration: create consistency, reduce information friction and direct customers toward trusted next steps.</w:t>
      </w:r>
    </w:p>
    <w:p>
      <w:pPr/>
      <w:r>
        <w:rPr>
          <w:rFonts w:ascii="Times New Roman" w:hAnsi="Times New Roman"/>
          <w:sz w:val="24"/>
        </w:rPr>
        <w:t>The contemporary traveller also evaluates social proof differently across platforms. Voorveld et al. (2018) demonstrate that engagement varies by social-media platform, challenging the idea that the same content should simply be resized and reposted everywhere. A short emotional video may work for initial discovery, while longer creator itineraries, search content and interactive maps can support consideration. Platform role should therefore be defined by customer task rather than by follower count alone.</w:t>
      </w:r>
    </w:p>
    <w:p>
      <w:pPr>
        <w:pStyle w:val="Heading2"/>
        <w:ind w:firstLine="0"/>
      </w:pPr>
      <w:r>
        <w:t>2.2 Consumer motivations and barriers</w:t>
      </w:r>
    </w:p>
    <w:p>
      <w:pPr/>
      <w:r>
        <w:rPr>
          <w:rFonts w:ascii="Times New Roman" w:hAnsi="Times New Roman"/>
          <w:sz w:val="24"/>
        </w:rPr>
        <w:t>Australia’s destination appeal can be organised into several broad motivational territories: nature and wildlife, cities and culture, beaches and coastal journeys, food and wine, adventure, major events and visiting friends or relatives. However, international travel barriers are equally important. Distance, total trip cost, perceived flight time, seasonal uncertainty and the difficulty of choosing among a large number of experiences can delay booking.</w:t>
      </w:r>
    </w:p>
    <w:p>
      <w:pPr/>
      <w:r>
        <w:rPr>
          <w:rFonts w:ascii="Times New Roman" w:hAnsi="Times New Roman"/>
          <w:sz w:val="24"/>
        </w:rPr>
        <w:t>Digital marketing should therefore reduce both emotional and practical uncertainty. Inspiration content answers "Why Australia?" while consideration content answers "Which Australia is right for me, when should I go and how do I make the trip work?" Booking-stage content answers "What is the next action?" and advocacy content answers "How can I share this experience in a way that feels personal?" The campaign must deliberately produce content for all four questions.</w:t>
      </w:r>
    </w:p>
    <w:p>
      <w:pPr/>
      <w:r>
        <w:rPr>
          <w:rFonts w:ascii="Times New Roman" w:hAnsi="Times New Roman"/>
          <w:sz w:val="24"/>
        </w:rPr>
        <w:t>Recent Tourism Australia activity also illustrates the need for market localisation. The 2025 Come and Say G’day campaign used well-known talent tailored to individual markets, including different personalities in the United States, United Kingdom, China, India and Japan (Tourism Australia, 2026a). This reflects a sound strategic principle: the masterbrand can remain consistent while cultural cues, language, creators, media mix and travel motivations vary by source market.</w:t>
      </w:r>
    </w:p>
    <w:p>
      <w:pPr>
        <w:pStyle w:val="Heading2"/>
        <w:ind w:firstLine="0"/>
      </w:pPr>
      <w:r>
        <w:t>2.3 Trust, social proof and influencer behaviour</w:t>
      </w:r>
    </w:p>
    <w:p>
      <w:pPr/>
      <w:r>
        <w:rPr>
          <w:rFonts w:ascii="Times New Roman" w:hAnsi="Times New Roman"/>
          <w:sz w:val="24"/>
        </w:rPr>
        <w:t>Travel is particularly dependent on credibility because consumers cannot trial a destination in advance. Creator content can lower uncertainty by showing a sequence of real experiences and answering practical questions. Djafarova and Rushworth (2017) found that perceived credibility and personal experience can influence how audiences respond to online personalities. Lou and Yuan (2019) similarly show that message value and influencer credibility affect trust in branded social content.</w:t>
      </w:r>
    </w:p>
    <w:p>
      <w:pPr/>
      <w:r>
        <w:rPr>
          <w:rFonts w:ascii="Times New Roman" w:hAnsi="Times New Roman"/>
          <w:sz w:val="24"/>
        </w:rPr>
        <w:t>Recent tourism-specific evidence adds a useful caution. Teangsompong et al. (2026) find that influencer effects on travel intention operate through engagement and trust rather than functioning as a simple endorsement shortcut. For Tourism Australia, the implication is that creators should be selected for audience fit, storytelling ability and believable experience rather than celebrity scale alone. A creator who can make a route understandable and emotionally compelling may create more qualified consideration than a larger account delivering a generic destination montage.</w:t>
      </w:r>
    </w:p>
    <w:p>
      <w:pPr/>
      <w:r>
        <w:rPr>
          <w:rFonts w:ascii="Times New Roman" w:hAnsi="Times New Roman"/>
          <w:sz w:val="24"/>
        </w:rPr>
        <w:t>Trust can also be damaged quickly. Poor disclosure of paid relationships, inappropriate creator behaviour, culturally insensitive content, unsafe travel imitation or a mismatch between edited content and reality can create reputation risk. Influencer strategy therefore requires governance as much as reach.</w:t>
      </w:r>
    </w:p>
    <w:p>
      <w:pPr>
        <w:pStyle w:val="Heading1"/>
        <w:ind w:firstLine="0"/>
      </w:pPr>
      <w:r>
        <w:t>3. Segmentation, Targeting, and Positioning (STP)</w:t>
      </w:r>
    </w:p>
    <w:p>
      <w:pPr>
        <w:pStyle w:val="Heading2"/>
        <w:ind w:firstLine="0"/>
      </w:pPr>
      <w:r>
        <w:t>3.1 Digital-first audience segmentation</w:t>
      </w:r>
    </w:p>
    <w:p>
      <w:pPr/>
      <w:r>
        <w:rPr>
          <w:rFonts w:ascii="Times New Roman" w:hAnsi="Times New Roman"/>
          <w:sz w:val="24"/>
        </w:rPr>
        <w:t>The campaign should combine economic value with motivation and digital behaviour. A useful segment is not only "25–34-year-olds" but "experience collectors who save itineraries, compare multiple regions and are willing to extend a trip for a distinctive nature or food experience." This allows content and media decisions to be linked to actual behaviour.</w:t>
      </w:r>
    </w:p>
    <w:p>
      <w:pPr>
        <w:spacing w:line="240" w:lineRule="auto" w:before="120" w:after="80"/>
        <w:ind w:firstLine="0"/>
        <w:jc w:val="center"/>
      </w:pPr>
      <w:r>
        <w:rPr>
          <w:rFonts w:ascii="Times New Roman" w:hAnsi="Times New Roman"/>
          <w:b/>
          <w:sz w:val="22"/>
        </w:rPr>
        <w:t>Table 1. Priority digital audience segments</w:t>
      </w:r>
    </w:p>
    <w:tbl>
      <w:tblPr>
        <w:tblStyle w:val="TableGrid"/>
        <w:tblW w:type="auto" w:w="0"/>
        <w:jc w:val="center"/>
        <w:tblLayout w:type="autofit"/>
        <w:tblLook w:firstColumn="1" w:firstRow="1" w:lastColumn="0" w:lastRow="0" w:noHBand="0" w:noVBand="1" w:val="04A0"/>
      </w:tblPr>
      <w:tblGrid>
        <w:gridCol w:w="1958"/>
        <w:gridCol w:w="1958"/>
        <w:gridCol w:w="1958"/>
        <w:gridCol w:w="1958"/>
        <w:gridCol w:w="1958"/>
      </w:tblGrid>
      <w:tr>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Segment</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motivation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Digital behaviour</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Barrier to conversion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Best content role</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collectors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Bucket-list nature, culture and iconic journeys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High social saving, creator discovery, itinerary search</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Choice overload and distance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Modular itineraries and creator route stories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purposeful explorers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High-quality, distinctive and meaningful travel</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Research-heavy, uses trusted editorial and specialist creators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Needs proof of value and quality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Long-form video, expert storytelling, premium partner paths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Event-led travellers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Sport, arts, festivals and major events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Search peaks around event calendars and ticket windows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May treat destination as secondary to event</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Extend-the-stay content and nearby itineraries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Visiting-friends-and-relatives extenders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Reconnect with people while exploring more of Australia</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High peer influence and practical search</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May under-plan tourism activities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Shareable local itineraries and add-on trip ideas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Young social adventurers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Adventure, social identity and shareable experiences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Short-form video, UGC, mobile search</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Budget and planning complexity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Value-led route ideas, safety information and social proof</w:t>
            </w:r>
          </w:p>
        </w:tc>
      </w:tr>
    </w:tbl>
    <w:p>
      <w:pPr>
        <w:spacing w:after="0"/>
      </w:pPr>
    </w:p>
    <w:p>
      <w:pPr>
        <w:pStyle w:val="Heading2"/>
        <w:ind w:firstLine="0"/>
      </w:pPr>
      <w:r>
        <w:t>3.2 Targeting priorities</w:t>
      </w:r>
    </w:p>
    <w:p>
      <w:pPr/>
      <w:r>
        <w:rPr>
          <w:rFonts w:ascii="Times New Roman" w:hAnsi="Times New Roman"/>
          <w:sz w:val="24"/>
        </w:rPr>
        <w:t>The primary digital target is high-value experience collectors: travellers who have both the means and motivation to build multi-stop itineraries and who respond to distinctive experiences rather than lowest-price cues. Tourism Australia’s 2026 industry communication identifies high-yield travellers as strategically important to visitor expenditure growth, reinforcing the value of focusing on customers likely to spend across accommodation, experiences, food and domestic transport (Tourism Australia, 2026b).</w:t>
      </w:r>
    </w:p>
    <w:p>
      <w:pPr/>
      <w:r>
        <w:rPr>
          <w:rFonts w:ascii="Times New Roman" w:hAnsi="Times New Roman"/>
          <w:sz w:val="24"/>
        </w:rPr>
        <w:t>The secondary target is event-led travellers because Australia can use major sport and cultural moments as triggers for broader destination exploration. Tourism Australia’s 2024 India activity featuring cricketer Pat Cummins demonstrates how a highly relevant cultural platform can connect a destination message with an existing fan community (Tourism Australia, 2024). The recommended strategy extends this logic beyond awareness by providing immediately bookable or saveable itineraries around event dates.</w:t>
      </w:r>
    </w:p>
    <w:p>
      <w:pPr>
        <w:pStyle w:val="Heading2"/>
        <w:ind w:firstLine="0"/>
      </w:pPr>
      <w:r>
        <w:t>3.3 Positioning</w:t>
      </w:r>
    </w:p>
    <w:p>
      <w:pPr/>
      <w:r>
        <w:rPr>
          <w:rFonts w:ascii="Times New Roman" w:hAnsi="Times New Roman"/>
          <w:sz w:val="24"/>
        </w:rPr>
        <w:t>The masterbrand should continue to express openness, distinctive Australian character and memorable experiences. The proposed digital activation line is "Australia, Your Next Story." Its role is not to replace Come and Say G’day but to turn a broad invitation into personalised next steps. The positioning statement is: "For high-value international travellers who want a trip rich enough to remember and easy enough to plan, Australia offers a uniquely varied combination of nature, people, culture and events that can be shaped into a personal story across one connected journey."</w:t>
      </w:r>
    </w:p>
    <w:p>
      <w:pPr/>
      <w:r>
        <w:rPr>
          <w:rFonts w:ascii="Times New Roman" w:hAnsi="Times New Roman"/>
          <w:sz w:val="24"/>
        </w:rPr>
        <w:t>This positioning supports both emotional and functional content. Emotional assets show the scale and distinctiveness of Australia; functional assets reduce planning friction through routes, maps, seasonal guidance and partner links.</w:t>
      </w:r>
    </w:p>
    <w:p>
      <w:pPr>
        <w:pStyle w:val="Heading1"/>
        <w:ind w:firstLine="0"/>
      </w:pPr>
      <w:r>
        <w:t>4. From Push Promotion to an Omni-Channel Customer Journey</w:t>
      </w:r>
    </w:p>
    <w:p>
      <w:pPr/>
      <w:r>
        <w:rPr>
          <w:rFonts w:ascii="Times New Roman" w:hAnsi="Times New Roman"/>
          <w:sz w:val="24"/>
        </w:rPr>
        <w:t>Traditional push promotion assumes that a brand distributes a persuasive message to a large audience and generates response. Digital travel marketing is more iterative. Consumers discover, search, compare, save, ask, revisit and share. Kannan and Li’s (2017) digital-marketing framework is useful because it places multiple touchpoints and customer interactions inside the strategy process rather than treating digital as a media add-on.</w:t>
      </w:r>
    </w:p>
    <w:p>
      <w:pPr/>
      <w:r>
        <w:rPr>
          <w:rFonts w:ascii="Times New Roman" w:hAnsi="Times New Roman"/>
          <w:sz w:val="24"/>
        </w:rPr>
        <w:t>The recommended journey has four stages: Awareness, Consideration, Booking and Advocacy. Each stage has a distinct customer task, content form and measure. The journey should also allow loops. A customer who sees a price change may return from booking to consideration; someone inspired by a friend’s post may jump directly into detailed route planning.</w:t>
      </w:r>
    </w:p>
    <w:p>
      <w:pPr>
        <w:spacing w:line="240" w:lineRule="auto" w:before="120" w:after="80"/>
        <w:ind w:firstLine="0"/>
        <w:jc w:val="center"/>
      </w:pPr>
      <w:r>
        <w:rPr>
          <w:rFonts w:ascii="Times New Roman" w:hAnsi="Times New Roman"/>
          <w:b/>
          <w:sz w:val="22"/>
        </w:rPr>
        <w:t>Table 2. Omni-channel journey design</w:t>
      </w:r>
    </w:p>
    <w:tbl>
      <w:tblPr>
        <w:tblStyle w:val="TableGrid"/>
        <w:tblW w:type="auto" w:w="0"/>
        <w:jc w:val="center"/>
        <w:tblLayout w:type="autofit"/>
        <w:tblLook w:firstColumn="1" w:firstRow="1" w:lastColumn="0" w:lastRow="0" w:noHBand="0" w:noVBand="1" w:val="04A0"/>
      </w:tblPr>
      <w:tblGrid>
        <w:gridCol w:w="1958"/>
        <w:gridCol w:w="1958"/>
        <w:gridCol w:w="1958"/>
        <w:gridCol w:w="1958"/>
        <w:gridCol w:w="1958"/>
      </w:tblGrid>
      <w:tr>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Journey stage</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Customer question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Core channels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Content and call to action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KPI</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Awareness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Why should Australia be on my list?</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Connected TV, YouTube, short-form social, creators, PR</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High-emotion destination stories; save or explore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Qualified reach, video completion, brand search lift</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Consideration</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What would my trip actually look like?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Search, website, creator itineraries, email, maps, partner content</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Routes, seasons, trip builders, comparison guides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Engaged sessions, itinerary saves, return visits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Booking</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How do I turn this idea into a trip?</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Search, retargeting, airline/OTA/tour partners, travel trade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Market-ready offers, flight gateways, partner referrals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Outbound conversion, cost per qualified referral</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Advocacy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How do I share and extend the experience?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UGC, CRM, social listening, post-trip email</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Prompts, creator-style templates, local discovery follow-ups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UGC volume/quality, advocacy, earned reach</w:t>
            </w:r>
          </w:p>
        </w:tc>
      </w:tr>
    </w:tbl>
    <w:p>
      <w:pPr>
        <w:spacing w:after="0"/>
      </w:pPr>
    </w:p>
    <w:p>
      <w:pPr/>
      <w:r>
        <w:rPr>
          <w:rFonts w:ascii="Times New Roman" w:hAnsi="Times New Roman"/>
          <w:sz w:val="24"/>
        </w:rPr>
        <w:t>A shared data taxonomy is essential. Campaign URLs, partner referral codes, audiences and creative IDs should use consistent naming across markets. Without this infrastructure, an omni-channel strategy becomes a set of disconnected dashboards.</w:t>
      </w:r>
    </w:p>
    <w:p>
      <w:pPr>
        <w:pStyle w:val="Heading1"/>
        <w:ind w:firstLine="0"/>
      </w:pPr>
      <w:r>
        <w:t>5. Integrated Marketing Communications (IMC) Strategy</w:t>
      </w:r>
    </w:p>
    <w:p>
      <w:pPr>
        <w:pStyle w:val="Heading2"/>
        <w:ind w:firstLine="0"/>
      </w:pPr>
      <w:r>
        <w:t>5.1 Paid, owned, earned and partner media</w:t>
      </w:r>
    </w:p>
    <w:p>
      <w:pPr/>
      <w:r>
        <w:rPr>
          <w:rFonts w:ascii="Times New Roman" w:hAnsi="Times New Roman"/>
          <w:sz w:val="24"/>
        </w:rPr>
        <w:t>IMC requires message consistency without channel uniformity. Paid media creates scalable reach; owned media provides depth and planning utility; earned media adds credibility; and partner media connects destination desire to travel inventory. The creative idea should be recognizable across all four, while execution changes according to user intent.</w:t>
      </w:r>
    </w:p>
    <w:p>
      <w:pPr/>
      <w:r>
        <w:rPr>
          <w:rFonts w:ascii="Times New Roman" w:hAnsi="Times New Roman"/>
          <w:sz w:val="24"/>
        </w:rPr>
        <w:t>Paid video should generate desire through high-impact Australian moments. Paid social should use sequential storytelling: users who complete an inspiration video receive region or experience-specific content rather than the same advertisement again. Search should capture explicit intent such as "Australia itinerary 14 days," "best time Great Barrier Reef," or event-related travel. Owned landing pages should match that intent precisely and direct users to appropriate state, airline and industry partners.</w:t>
      </w:r>
    </w:p>
    <w:p>
      <w:pPr/>
      <w:r>
        <w:rPr>
          <w:rFonts w:ascii="Times New Roman" w:hAnsi="Times New Roman"/>
          <w:sz w:val="24"/>
        </w:rPr>
        <w:t>Earned media should be designed, not merely hoped for. Tourism Australia’s reported earned-media value from Come and Say G’day demonstrates the scale that culturally resonant creative can generate (Tourism Australia, 2026a). The proposed framework adds structured media hooks: creator route reveals, major-event moments, seasonal "only now" stories and data-led travel trends.</w:t>
      </w:r>
    </w:p>
    <w:p>
      <w:pPr/>
      <w:r>
        <w:rPr>
          <w:rFonts w:ascii="Times New Roman" w:hAnsi="Times New Roman"/>
          <w:sz w:val="24"/>
        </w:rPr>
        <w:t>Partner media should receive a common asset system and measurement plan. Airlines, tour operators and state tourism organisations need modular creative, approved destination messages and tagged referral links. The aim is to prevent the customer from experiencing a sharp disconnect between an inspiring national campaign and a transactional partner page.</w:t>
      </w:r>
    </w:p>
    <w:p>
      <w:pPr>
        <w:pStyle w:val="Heading2"/>
        <w:ind w:firstLine="0"/>
      </w:pPr>
      <w:r>
        <w:t>5.2 Content architecture</w:t>
      </w:r>
    </w:p>
    <w:p>
      <w:pPr/>
      <w:r>
        <w:rPr>
          <w:rFonts w:ascii="Times New Roman" w:hAnsi="Times New Roman"/>
          <w:sz w:val="24"/>
        </w:rPr>
        <w:t>Content should be produced through a "hero-hub-help" architecture. Hero content delivers large-scale emotional storytelling. Hub content builds recurring engagement around themes such as wildlife, food, road trips, beaches and events. Help content answers practical questions through search-optimised pages, short explanatory videos, maps and itineraries.</w:t>
      </w:r>
    </w:p>
    <w:p>
      <w:pPr/>
      <w:r>
        <w:rPr>
          <w:rFonts w:ascii="Times New Roman" w:hAnsi="Times New Roman"/>
          <w:sz w:val="24"/>
        </w:rPr>
        <w:t>Platform-specific adaptation is necessary because social-media engagement differs by platform (Voorveld et al., 2018). TikTok and Reels can focus on discovery and personality-led storytelling; YouTube can carry longer itineraries and searchable planning content; Pinterest-style saving behaviour can support visual itinerary planning; search and the website capture explicit intent; email or CRM can reconnect users with saved plans. The organisation should optimise for the role each platform plays, not chase identical engagement rates.</w:t>
      </w:r>
    </w:p>
    <w:p>
      <w:pPr>
        <w:pStyle w:val="Heading1"/>
        <w:ind w:firstLine="0"/>
      </w:pPr>
      <w:r>
        <w:t>6. UGC, Social Participation and Influencer Strategy</w:t>
      </w:r>
    </w:p>
    <w:p>
      <w:pPr>
        <w:pStyle w:val="Heading2"/>
        <w:ind w:firstLine="0"/>
      </w:pPr>
      <w:r>
        <w:t>6.1 UGC as destination evidence</w:t>
      </w:r>
    </w:p>
    <w:p>
      <w:pPr/>
      <w:r>
        <w:rPr>
          <w:rFonts w:ascii="Times New Roman" w:hAnsi="Times New Roman"/>
          <w:sz w:val="24"/>
        </w:rPr>
        <w:t>UGC gives prospective travellers access to multiple perspectives that formal advertising cannot reproduce. Xiang and Gretzel (2010) established the importance of social media within online travel information search, making peer-generated material particularly relevant to destination decision-making. UGC can demonstrate seasonality, accessibility, food, crowds, distances and the emotional texture of an experience.</w:t>
      </w:r>
    </w:p>
    <w:p>
      <w:pPr/>
      <w:r>
        <w:rPr>
          <w:rFonts w:ascii="Times New Roman" w:hAnsi="Times New Roman"/>
          <w:sz w:val="24"/>
        </w:rPr>
        <w:t>The campaign should create an opt-in UGC system around #MyNextAustraliaStory alongside established Tourism Australia hashtags. Rather than simply asking visitors to post, monthly prompts can focus on specific experiences: sunrise, local food, wildlife, road-trip moments, accessible adventures or unexpected city discoveries. Selected content can be licensed for owned channels through a clear rights-management process.</w:t>
      </w:r>
    </w:p>
    <w:p>
      <w:pPr/>
      <w:r>
        <w:rPr>
          <w:rFonts w:ascii="Times New Roman" w:hAnsi="Times New Roman"/>
          <w:sz w:val="24"/>
        </w:rPr>
        <w:t>A quality standard is important. The goal is not maximum content volume but credible, useful representation. Content featuring unsafe behaviour, environmental damage, restricted areas or misleading wildlife interaction should not be amplified, even if engagement is high.</w:t>
      </w:r>
    </w:p>
    <w:p>
      <w:pPr>
        <w:pStyle w:val="Heading2"/>
        <w:ind w:firstLine="0"/>
      </w:pPr>
      <w:r>
        <w:t>6.2 Influencer selection and briefing</w:t>
      </w:r>
    </w:p>
    <w:p>
      <w:pPr/>
      <w:r>
        <w:rPr>
          <w:rFonts w:ascii="Times New Roman" w:hAnsi="Times New Roman"/>
          <w:sz w:val="24"/>
        </w:rPr>
        <w:t>Influencers should be chosen using a four-part scorecard: audience-market fit, credibility, storytelling utility and brand/reputation risk. Reach should be a secondary variable. Lou and Yuan (2019) demonstrate that informational value and source credibility contribute to trust in branded posts. Teangsompong et al. (2026) show that engagement and trust are mechanisms through which tourism-influencer content can shape intention. These findings support experience-rich partnerships rather than scripted endorsements.</w:t>
      </w:r>
    </w:p>
    <w:p>
      <w:pPr/>
      <w:r>
        <w:rPr>
          <w:rFonts w:ascii="Times New Roman" w:hAnsi="Times New Roman"/>
          <w:sz w:val="24"/>
        </w:rPr>
        <w:t>Each priority market should use a portfolio: one or two high-reach cultural figures for broad attention, several mid-tier travel or lifestyle creators for itinerary storytelling and micro-creators for specialised communities such as food, accessible travel, diving, running, cycling or photography. Deliverables should include practical information and honest trade-offs, not only scenic footage.</w:t>
      </w:r>
    </w:p>
    <w:p>
      <w:pPr/>
      <w:r>
        <w:rPr>
          <w:rFonts w:ascii="Times New Roman" w:hAnsi="Times New Roman"/>
          <w:sz w:val="24"/>
        </w:rPr>
        <w:t>Briefs should specify disclosure, safety, First Nations cultural protocols where relevant, wildlife guidance, sustainability requirements, music and image rights, fact checking and crisis escalation. Creators should retain enough narrative freedom to remain credible. Over-scripted content can destroy the authenticity the partnership was intended to borrow.</w:t>
      </w:r>
    </w:p>
    <w:p>
      <w:pPr>
        <w:pStyle w:val="Heading2"/>
        <w:ind w:firstLine="0"/>
      </w:pPr>
      <w:r>
        <w:t>6.3 Reputation risk controls</w:t>
      </w:r>
    </w:p>
    <w:p>
      <w:pPr/>
      <w:r>
        <w:rPr>
          <w:rFonts w:ascii="Times New Roman" w:hAnsi="Times New Roman"/>
          <w:sz w:val="24"/>
        </w:rPr>
        <w:t>Digital reputation risk can emerge from a creator, a destination incident, extreme weather, service disruption or a gap between campaign imagery and visitor reality. A central social-listening team should classify issues by severity and factual certainty. Routine complaints can be routed to relevant organisations; safety incidents require fast coordination; misinformation should be corrected with sourced facts; and sensitive events should trigger paid-media review.</w:t>
      </w:r>
    </w:p>
    <w:p>
      <w:pPr/>
      <w:r>
        <w:rPr>
          <w:rFonts w:ascii="Times New Roman" w:hAnsi="Times New Roman"/>
          <w:sz w:val="24"/>
        </w:rPr>
        <w:t>A pre-approved pause protocol is necessary. The organisation should be able to stop scheduled content in affected markets without dismantling the entire campaign. The governance goal is proportionality: respond quickly without amplifying minor criticism into a larger story.</w:t>
      </w:r>
    </w:p>
    <w:p>
      <w:pPr>
        <w:pStyle w:val="Heading1"/>
        <w:ind w:firstLine="0"/>
      </w:pPr>
      <w:r>
        <w:t>7. The Extended Marketing Mix (7 Ps) for the Digital Campaign</w:t>
      </w:r>
    </w:p>
    <w:p>
      <w:pPr/>
      <w:r>
        <w:rPr>
          <w:rFonts w:ascii="Times New Roman" w:hAnsi="Times New Roman"/>
          <w:sz w:val="24"/>
        </w:rPr>
        <w:t>The seven Ps reveal whether digital communication is genuinely connected to the tourism product. Promotion alone cannot compensate for weak trip-planning processes or a mismatch between advertised experiences and visitor access.</w:t>
      </w:r>
    </w:p>
    <w:p>
      <w:pPr>
        <w:spacing w:line="240" w:lineRule="auto" w:before="120" w:after="80"/>
        <w:ind w:firstLine="0"/>
        <w:jc w:val="center"/>
      </w:pPr>
      <w:r>
        <w:rPr>
          <w:rFonts w:ascii="Times New Roman" w:hAnsi="Times New Roman"/>
          <w:b/>
          <w:sz w:val="22"/>
        </w:rPr>
        <w:t>Table 3. Digital 7Ps alignment</w:t>
      </w:r>
    </w:p>
    <w:tbl>
      <w:tblPr>
        <w:tblStyle w:val="TableGrid"/>
        <w:tblW w:type="auto" w:w="0"/>
        <w:jc w:val="center"/>
        <w:tblLayout w:type="autofit"/>
        <w:tblLook w:firstColumn="1" w:firstRow="1" w:lastColumn="0" w:lastRow="0" w:noHBand="0" w:noVBand="1" w:val="04A0"/>
      </w:tblPr>
      <w:tblGrid>
        <w:gridCol w:w="3264"/>
        <w:gridCol w:w="3264"/>
        <w:gridCol w:w="3264"/>
      </w:tblGrid>
      <w:tr>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Application to Tourism Australia digital strategy</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Required action</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Product</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The product is a portfolio of Australian destination experiences and itineraries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Package stories into clear themed and regional journey modules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Price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Tourism Australia does not set most prices, but cost perception affects choice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Use partner offers and value framing without positioning Australia as discount-led</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Place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Digital channels guide travellers to airlines, trade partners, states and operators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Build tagged referral pathways and consistent landing experiences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Promotion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Paid, owned, earned, creator and partner media must reinforce one masterbrand</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Use sequential, market-localised creative under shared brand rules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People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Creators, travel advisers, operators and local hosts personify the destination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Provide accurate briefings, cultural guidance and escalation contacts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Process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Planning should move smoothly from inspiration to itinerary and partner booking</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Reduce clicks, improve mobile speed, save itineraries and maintain campaign tagging</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Physical Evidence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Traveller imagery, maps, reviews, event schedules and verified experience content reduce uncertainty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Use credible UGC and practical proof alongside polished hero creative</w:t>
            </w:r>
          </w:p>
        </w:tc>
      </w:tr>
    </w:tbl>
    <w:p>
      <w:pPr>
        <w:spacing w:after="0"/>
      </w:pPr>
    </w:p>
    <w:p>
      <w:pPr/>
      <w:r>
        <w:rPr>
          <w:rFonts w:ascii="Times New Roman" w:hAnsi="Times New Roman"/>
          <w:sz w:val="24"/>
        </w:rPr>
        <w:t>The matrix shows that digital effectiveness partly depends on factors outside the media buy. A slow mobile page, confusing partner hand-off or outdated itinerary can waste the value created by strong advertising.</w:t>
      </w:r>
    </w:p>
    <w:p>
      <w:pPr>
        <w:pStyle w:val="Heading1"/>
        <w:ind w:firstLine="0"/>
      </w:pPr>
      <w:r>
        <w:t>8. Measurement: ROI, Conversion and Marketing Effectiveness</w:t>
      </w:r>
    </w:p>
    <w:p>
      <w:pPr>
        <w:pStyle w:val="Heading2"/>
        <w:ind w:firstLine="0"/>
      </w:pPr>
      <w:r>
        <w:t>8.1 Measurement principles</w:t>
      </w:r>
    </w:p>
    <w:p>
      <w:pPr/>
      <w:r>
        <w:rPr>
          <w:rFonts w:ascii="Times New Roman" w:hAnsi="Times New Roman"/>
          <w:sz w:val="24"/>
        </w:rPr>
        <w:t>Destination marketing has an attribution problem because Tourism Australia stimulates demand but does not transact most bookings. It would be misleading to treat every outbound partner click as a confirmed visitor. Measurement should therefore use a hierarchy of evidence: platform delivery metrics, behavioural intent signals, partner referral outcomes, brand-lift or search-lift studies and aggregate visitation/expenditure indicators.</w:t>
      </w:r>
    </w:p>
    <w:p>
      <w:pPr/>
      <w:r>
        <w:rPr>
          <w:rFonts w:ascii="Times New Roman" w:hAnsi="Times New Roman"/>
          <w:sz w:val="24"/>
        </w:rPr>
        <w:t>Conversion rate should be defined by stage. Awareness conversion may be a high-quality video completion or destination exploration. Consideration conversion may be an itinerary save, email opt-in or repeat visit. Booking-stage conversion may be a qualified click to an airline, tour or accommodation partner. Customer acquisition cost can be estimated as campaign spend divided by qualified leads or referral actions, while recognising that this is a proxy rather than a complete visitor-acquisition cost.</w:t>
      </w:r>
    </w:p>
    <w:p>
      <w:pPr/>
      <w:r>
        <w:rPr>
          <w:rFonts w:ascii="Times New Roman" w:hAnsi="Times New Roman"/>
          <w:sz w:val="24"/>
        </w:rPr>
        <w:t>Engagement rate should be interpreted carefully. Low-intent reactions can inflate performance. The campaign should prioritise meaningful engagement such as saves, shares, itinerary interactions, comment quality, map use and repeat visits. Voorveld et al. (2018) also implies that cross-platform comparisons should account for different engagement contexts.</w:t>
      </w:r>
    </w:p>
    <w:p>
      <w:pPr>
        <w:pStyle w:val="Heading2"/>
        <w:ind w:firstLine="0"/>
      </w:pPr>
      <w:r>
        <w:t>8.2 ROI framework</w:t>
      </w:r>
    </w:p>
    <w:p>
      <w:pPr/>
      <w:r>
        <w:rPr>
          <w:rFonts w:ascii="Times New Roman" w:hAnsi="Times New Roman"/>
          <w:sz w:val="24"/>
        </w:rPr>
        <w:t>A practical ROI framework should combine short- and long-term indicators. Short-term metrics include cost per completed view, cost per engaged session, paid-search conversion and partner click-through. Mid-term indicators include brand search, travel-intent surveys, route interest, remarketing audience growth and partner-reported leads. Long-term indicators include changes in visitation, dispersal and visitor expenditure, interpreted alongside external factors such as aviation capacity and exchange rates.</w:t>
      </w:r>
    </w:p>
    <w:p>
      <w:pPr/>
      <w:r>
        <w:rPr>
          <w:rFonts w:ascii="Times New Roman" w:hAnsi="Times New Roman"/>
          <w:sz w:val="24"/>
        </w:rPr>
        <w:t>Incrementality testing should be used wherever possible. Geo experiments, holdout audiences and matched-market tests can estimate whether campaigns generate additional behaviour rather than simply receiving credit for customers who would have acted anyway. Creative tests should compare distinct propositions rather than insignificant visual variations.</w:t>
      </w:r>
    </w:p>
    <w:p>
      <w:pPr>
        <w:spacing w:line="240" w:lineRule="auto" w:before="120" w:after="80"/>
        <w:ind w:firstLine="0"/>
        <w:jc w:val="center"/>
      </w:pPr>
      <w:r>
        <w:rPr>
          <w:rFonts w:ascii="Times New Roman" w:hAnsi="Times New Roman"/>
          <w:b/>
          <w:sz w:val="22"/>
        </w:rPr>
        <w:t>Table 4. Digital KPI framework</w:t>
      </w:r>
    </w:p>
    <w:tbl>
      <w:tblPr>
        <w:tblStyle w:val="TableGrid"/>
        <w:tblW w:type="auto" w:w="0"/>
        <w:jc w:val="center"/>
        <w:tblLayout w:type="autofit"/>
        <w:tblLook w:firstColumn="1" w:firstRow="1" w:lastColumn="0" w:lastRow="0" w:noHBand="0" w:noVBand="1" w:val="04A0"/>
      </w:tblPr>
      <w:tblGrid>
        <w:gridCol w:w="3264"/>
        <w:gridCol w:w="3264"/>
        <w:gridCol w:w="3264"/>
      </w:tblGrid>
      <w:tr>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Objective</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Metric</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Illustrative 12-month target</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Build qualified awareness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Completed-view rate in priority audiences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+12% versus campaign baseline</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active consideration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Engaged destination sessions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+18% year on year</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Generate planning behaviour</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Itinerary saves/map interactions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250,000 qualified actions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Improve partner hand-off</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Outbound qualified referral rate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+15% versus current benchmark</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Control acquisition efficiency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Cost per qualified referral</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Reduce by 10% after optimisation phase</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Grow advocacy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Rights-cleared high-quality UGC assets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5,000 usable assets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Strengthen demand signals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Incremental destination brand search</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Positive lift in all five priority markets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Manage reputation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High-severity digital issues with response plan activated</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100% within governance SLA</w:t>
            </w:r>
          </w:p>
        </w:tc>
      </w:tr>
    </w:tbl>
    <w:p>
      <w:pPr>
        <w:spacing w:after="0"/>
      </w:pPr>
    </w:p>
    <w:p>
      <w:pPr>
        <w:pStyle w:val="Heading1"/>
        <w:ind w:firstLine="0"/>
      </w:pPr>
      <w:r>
        <w:t>9. Twelve-Month Digital Campaign Framework</w:t>
      </w:r>
    </w:p>
    <w:p>
      <w:pPr/>
      <w:r>
        <w:rPr>
          <w:rFonts w:ascii="Times New Roman" w:hAnsi="Times New Roman"/>
          <w:sz w:val="24"/>
        </w:rPr>
        <w:t>The proposed framework runs in four quarters and complements Tourism Australia’s current masterbrand platform. The first quarter focuses on audience intelligence, creative testing and infrastructure. The second scales inspiration and creator storytelling. The third concentrates on booking acceleration and partner conversion. The fourth turns visitor stories into advocacy while optimising the next annual cycle.</w:t>
      </w:r>
    </w:p>
    <w:p>
      <w:pPr>
        <w:spacing w:line="240" w:lineRule="auto" w:before="120" w:after="80"/>
        <w:ind w:firstLine="0"/>
        <w:jc w:val="center"/>
      </w:pPr>
      <w:r>
        <w:rPr>
          <w:rFonts w:ascii="Times New Roman" w:hAnsi="Times New Roman"/>
          <w:b/>
          <w:sz w:val="22"/>
        </w:rPr>
        <w:t>Table 5. Twelve-month campaign calendar</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Period</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focus</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Major activities</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Decision gate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Months 1–3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Build and test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Audience refresh, market-specific search analysis, creator contracting, tagging audit, landing-page tests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Approve winning propositions by market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Months 4–6</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Inspire at scale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Hero video, creator journeys, PR moments, UGC prompts, sequential paid social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Shift budget toward high-quality consideration audiences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Months 7–9</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Convert intention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Search expansion, retargeting, airline/trade co-marketing, event extensions, itinerary CTAs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Optimise to qualified referral economics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Months 10–12</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Advocacy and learning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Visitor-story amplification, CRM re-engagement, incrementality studies, partner review, next-cycle creative brief</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Renew creators/channels based on incrementality and brand fit</w:t>
            </w:r>
          </w:p>
        </w:tc>
      </w:tr>
    </w:tbl>
    <w:p>
      <w:pPr>
        <w:spacing w:after="0"/>
      </w:pPr>
    </w:p>
    <w:p>
      <w:pPr/>
      <w:r>
        <w:rPr>
          <w:rFonts w:ascii="Times New Roman" w:hAnsi="Times New Roman"/>
          <w:sz w:val="24"/>
        </w:rPr>
        <w:t>Seasonality should be handled by source market and Australian region, not by one global media calendar. For example, northern-hemisphere winter can be an inspiration opportunity for Australian summer travel, while event windows create their own demand peaks. The campaign team should maintain a shared global framework but allow market teams to adjust flight availability, holiday calendars, language and creative cues.</w:t>
      </w:r>
    </w:p>
    <w:p>
      <w:pPr>
        <w:pStyle w:val="Heading1"/>
        <w:ind w:firstLine="0"/>
      </w:pPr>
      <w:r>
        <w:t>10. Budget Allocation</w:t>
      </w:r>
    </w:p>
    <w:p>
      <w:pPr/>
      <w:r>
        <w:rPr>
          <w:rFonts w:ascii="Times New Roman" w:hAnsi="Times New Roman"/>
          <w:sz w:val="24"/>
        </w:rPr>
        <w:t>The proposed A$8.4 million budget is an activation budget for this framework rather than Tourism Australia’s total marketing expenditure. It intentionally balances content, paid distribution, creators, technology and measurement.</w:t>
      </w:r>
    </w:p>
    <w:p>
      <w:pPr>
        <w:spacing w:line="240" w:lineRule="auto" w:before="120" w:after="80"/>
        <w:ind w:firstLine="0"/>
        <w:jc w:val="center"/>
      </w:pPr>
      <w:r>
        <w:rPr>
          <w:rFonts w:ascii="Times New Roman" w:hAnsi="Times New Roman"/>
          <w:b/>
          <w:sz w:val="22"/>
        </w:rPr>
        <w:t>Table 6. Proposed campaign budget</w:t>
      </w:r>
    </w:p>
    <w:tbl>
      <w:tblPr>
        <w:tblStyle w:val="TableGrid"/>
        <w:tblW w:type="auto" w:w="0"/>
        <w:jc w:val="center"/>
        <w:tblLayout w:type="autofit"/>
        <w:tblLook w:firstColumn="1" w:firstRow="1" w:lastColumn="0" w:lastRow="0" w:noHBand="0" w:noVBand="1" w:val="04A0"/>
      </w:tblPr>
      <w:tblGrid>
        <w:gridCol w:w="3264"/>
        <w:gridCol w:w="3264"/>
        <w:gridCol w:w="3264"/>
      </w:tblGrid>
      <w:tr>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Budget line</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A$</w:t>
            </w:r>
          </w:p>
        </w:tc>
        <w:tc>
          <w:tcPr>
            <w:tcW w:type="dxa" w:w="3264"/>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Rationale</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Paid social and online video</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2,350,000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Scalable reach and sequential audience building</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Paid search and intent capture</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1,150,000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Convert active travel interest and support partner referrals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Creator and influencer partnerships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1,250,000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Market-localised storytelling across reach and niche communities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Hero/hub/help content production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1,000,000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Reusable global and market-specific asset system</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UGC platform, licensing and community activation</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550,000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Rights management, prompts and advocacy content</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Website/landing-page optimisation and analytics</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700,000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Improve mobile planning, tagging and conversion</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Research, brand lift and incrementality testing</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650,000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Measure causal contribution and optimise investment</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Reputation monitoring and contingency</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400,000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Rapid response, content pauses and emerging opportunities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Partner toolkit and co-marketing support</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350,000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Improve alignment with airlines, trade and state partners</w:t>
            </w:r>
          </w:p>
        </w:tc>
      </w:tr>
      <w:tr>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Total</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8,400,000</w:t>
            </w:r>
          </w:p>
        </w:tc>
        <w:tc>
          <w:tcPr>
            <w:tcW w:type="dxa" w:w="3264"/>
            <w:tcMar>
              <w:top w:w="80" w:type="dxa"/>
              <w:start w:w="100" w:type="dxa"/>
              <w:bottom w:w="80" w:type="dxa"/>
              <w:end w:w="100" w:type="dxa"/>
            </w:tcMar>
            <w:vAlign w:val="center"/>
          </w:tcPr>
          <w:p>
            <w:pPr>
              <w:spacing w:line="240" w:lineRule="auto" w:after="0"/>
              <w:ind w:firstLine="0"/>
            </w:pPr>
            <w:r>
              <w:rPr>
                <w:rFonts w:ascii="Times New Roman" w:hAnsi="Times New Roman"/>
                <w:sz w:val="21"/>
              </w:rPr>
              <w:t>Twelve-month digital activation framework</w:t>
            </w:r>
          </w:p>
        </w:tc>
      </w:tr>
    </w:tbl>
    <w:p>
      <w:pPr>
        <w:spacing w:after="0"/>
      </w:pPr>
    </w:p>
    <w:p>
      <w:pPr/>
      <w:r>
        <w:rPr>
          <w:rFonts w:ascii="Times New Roman" w:hAnsi="Times New Roman"/>
          <w:sz w:val="24"/>
        </w:rPr>
        <w:t>Budget movement should be permitted within guardrails. Up to 15% of each quarter’s working-media budget should remain flexible for performance reallocation, major events or platform changes. However, the team should not remove investment from measurement or brand safety simply to improve short-term media metrics.</w:t>
      </w:r>
    </w:p>
    <w:p>
      <w:pPr>
        <w:pStyle w:val="Heading1"/>
        <w:ind w:firstLine="0"/>
      </w:pPr>
      <w:r>
        <w:t>11. Implementation Governance</w:t>
      </w:r>
    </w:p>
    <w:p>
      <w:pPr/>
      <w:r>
        <w:rPr>
          <w:rFonts w:ascii="Times New Roman" w:hAnsi="Times New Roman"/>
          <w:sz w:val="24"/>
        </w:rPr>
        <w:t>A cross-functional campaign unit should include brand, media, social, research, analytics, PR, partnerships and market representatives. A single campaign owner should maintain the global objective framework, while local teams adapt assets within agreed brand rules. Weekly performance reviews can address media efficiency; monthly reviews should examine journey behaviour and creative; quarterly reviews should evaluate incrementality and market strategy.</w:t>
      </w:r>
    </w:p>
    <w:p>
      <w:pPr/>
      <w:r>
        <w:rPr>
          <w:rFonts w:ascii="Times New Roman" w:hAnsi="Times New Roman"/>
          <w:sz w:val="24"/>
        </w:rPr>
        <w:t>Partner governance is equally important. Airline and trade partners should receive clear tagging standards and deadlines for returning aggregated performance data. Creator contracts should include disclosure, usage rights, safety and crisis provisions. Content approval should use a risk-tier model: routine destination content receives rapid review, while culturally sensitive, environmental or safety-related claims receive specialist review.</w:t>
      </w:r>
    </w:p>
    <w:p>
      <w:pPr/>
      <w:r>
        <w:rPr>
          <w:rFonts w:ascii="Times New Roman" w:hAnsi="Times New Roman"/>
          <w:sz w:val="24"/>
        </w:rPr>
        <w:t>Data privacy should be designed into audience strategy. First-party data collection should be permission-based, purpose-limited and minimised. Retargeting windows should be reasonable for long-consideration travel purchases, and audiences should not be built from sensitive personal categories. Trust is part of destination brand equity.</w:t>
      </w:r>
    </w:p>
    <w:p>
      <w:pPr>
        <w:pStyle w:val="Heading1"/>
        <w:ind w:firstLine="0"/>
      </w:pPr>
      <w:r>
        <w:t>12. Conclusion &amp; Recommendations</w:t>
      </w:r>
    </w:p>
    <w:p>
      <w:pPr/>
      <w:r>
        <w:rPr>
          <w:rFonts w:ascii="Times New Roman" w:hAnsi="Times New Roman"/>
          <w:sz w:val="24"/>
        </w:rPr>
        <w:t>Tourism Australia’s current campaign platform demonstrates the ability to generate substantial global attention. The next strategic task is to make that attention more useful across the full customer journey. Digital marketing should not be managed as isolated social, search, influencer and website workstreams. Travellers experience one decision process, even when the organisation sees multiple channels.</w:t>
      </w:r>
    </w:p>
    <w:p>
      <w:pPr/>
      <w:r>
        <w:rPr>
          <w:rFonts w:ascii="Times New Roman" w:hAnsi="Times New Roman"/>
          <w:sz w:val="24"/>
        </w:rPr>
        <w:t>Five recommendations follow. First, retain the emotional power of Come and Say G’day but add the "Australia, Your Next Story" activation layer so every major awareness asset leads to a planning pathway. Second, segment audiences by motivation, value and behaviour rather than demographics alone. Third, build a portfolio of creators selected for credibility and itinerary usefulness, with strong disclosure and brand-safety governance. Fourth, measure meaningful progression through the journey using itinerary actions, qualified referrals, incrementality tests and brand-search lift rather than relying on impressions and engagement totals. Fifth, use UGC as credible physical evidence of the destination while actively managing rights, safety and representation.</w:t>
      </w:r>
    </w:p>
    <w:p>
      <w:pPr/>
      <w:r>
        <w:rPr>
          <w:rFonts w:ascii="Times New Roman" w:hAnsi="Times New Roman"/>
          <w:sz w:val="24"/>
        </w:rPr>
        <w:t>The proposed twelve-month framework turns digital communication into an integrated demand system. Its strategic value lies in coordination: the right story reaches the right audience, leads to a useful planning experience, connects to a trusted booking partner and returns as advocacy after travel. In that system, content is not merely promotional material. It is the connective tissue between destination desire and visitor action.</w:t>
      </w:r>
    </w:p>
    <w:p>
      <w:pPr>
        <w:pStyle w:val="Heading1"/>
        <w:ind w:firstLine="0"/>
      </w:pPr>
      <w:r>
        <w:t>References</w:t>
      </w:r>
    </w:p>
    <w:p>
      <w:pPr>
        <w:pStyle w:val="Reference"/>
        <w:ind w:hanging="720"/>
      </w:pPr>
      <w:r>
        <w:rPr>
          <w:rFonts w:ascii="Times New Roman" w:hAnsi="Times New Roman"/>
          <w:sz w:val="24"/>
        </w:rPr>
        <w:t>Djafarova, E., &amp; Rushworth, C. (2017). Exploring the credibility of online celebrities’ Instagram profiles in influencing the purchase decisions of young female users. Computers in Human Behavior, 68, 1–7. https://doi.org/10.1016/j.chb.2016.11.009</w:t>
      </w:r>
    </w:p>
    <w:p>
      <w:pPr>
        <w:pStyle w:val="Reference"/>
        <w:ind w:hanging="720"/>
      </w:pPr>
      <w:r>
        <w:rPr>
          <w:rFonts w:ascii="Times New Roman" w:hAnsi="Times New Roman"/>
          <w:sz w:val="24"/>
        </w:rPr>
        <w:t>Kannan, P. K., &amp; Li, H. A. (2017). Digital marketing: A framework, review and research agenda. International Journal of Research in Marketing, 34(1), 22–45. https://doi.org/10.1016/j.ijresmar.2016.11.006</w:t>
      </w:r>
    </w:p>
    <w:p>
      <w:pPr>
        <w:pStyle w:val="Reference"/>
        <w:ind w:hanging="720"/>
      </w:pPr>
      <w:r>
        <w:rPr>
          <w:rFonts w:ascii="Times New Roman" w:hAnsi="Times New Roman"/>
          <w:sz w:val="24"/>
        </w:rPr>
        <w:t>Lemon, K. N., &amp; Verhoef, P. C. (2016). Understanding customer experience throughout the customer journey. Journal of Marketing, 80(6), 69–96. https://doi.org/10.1509/jm.15.0420</w:t>
      </w:r>
    </w:p>
    <w:p>
      <w:pPr>
        <w:pStyle w:val="Reference"/>
        <w:ind w:hanging="720"/>
      </w:pPr>
      <w:r>
        <w:rPr>
          <w:rFonts w:ascii="Times New Roman" w:hAnsi="Times New Roman"/>
          <w:sz w:val="24"/>
        </w:rPr>
        <w:t>Lou, C., &amp; Yuan, S. (2019). Influencer marketing: How message value and credibility affect consumer trust of branded content on social media. Journal of Interactive Advertising, 19(1), 58–73. https://doi.org/10.1080/15252019.2018.1533501</w:t>
      </w:r>
    </w:p>
    <w:p>
      <w:pPr>
        <w:pStyle w:val="Reference"/>
        <w:ind w:hanging="720"/>
      </w:pPr>
      <w:r>
        <w:rPr>
          <w:rFonts w:ascii="Times New Roman" w:hAnsi="Times New Roman"/>
          <w:sz w:val="24"/>
        </w:rPr>
        <w:t>Teangsompong, T., Sritong, C., Moonsan, N., Apirakmaneekul, P., &amp; Sawangproh, W. (2026). Social media influencers, fandom engagement, and consumer intention formation in digital tourism platforms: A stimulus–organism–response perspective. Acta Psychologica, 269, Article 107584. https://doi.org/10.1016/j.actpsy.2026.107584</w:t>
      </w:r>
    </w:p>
    <w:p>
      <w:pPr>
        <w:pStyle w:val="Reference"/>
        <w:ind w:hanging="720"/>
      </w:pPr>
      <w:r>
        <w:rPr>
          <w:rFonts w:ascii="Times New Roman" w:hAnsi="Times New Roman"/>
          <w:sz w:val="24"/>
        </w:rPr>
        <w:t>Tourism Australia. (2024, November 21). Pat Cummins inspires Indian travellers to Come and Say G’day. https://www.tourism.australia.com/</w:t>
      </w:r>
    </w:p>
    <w:p>
      <w:pPr>
        <w:pStyle w:val="Reference"/>
        <w:ind w:hanging="720"/>
      </w:pPr>
      <w:r>
        <w:rPr>
          <w:rFonts w:ascii="Times New Roman" w:hAnsi="Times New Roman"/>
          <w:sz w:val="24"/>
        </w:rPr>
        <w:t>Tourism Australia. (2025, August 4). Tourism Australia launches next chapter of Come and Say G’day. https://www.tourism.australia.com/</w:t>
      </w:r>
    </w:p>
    <w:p>
      <w:pPr>
        <w:pStyle w:val="Reference"/>
        <w:ind w:hanging="720"/>
      </w:pPr>
      <w:r>
        <w:rPr>
          <w:rFonts w:ascii="Times New Roman" w:hAnsi="Times New Roman"/>
          <w:sz w:val="24"/>
        </w:rPr>
        <w:t>Tourism Australia. (2026a, June 25). Tourism Australia appoints new media services supplier. https://www.tourism.australia.com/en/news-and-events/news/tourism-australia-appoints-new-media-services-supplier.html</w:t>
      </w:r>
    </w:p>
    <w:p>
      <w:pPr>
        <w:pStyle w:val="Reference"/>
        <w:ind w:hanging="720"/>
      </w:pPr>
      <w:r>
        <w:rPr>
          <w:rFonts w:ascii="Times New Roman" w:hAnsi="Times New Roman"/>
          <w:sz w:val="24"/>
        </w:rPr>
        <w:t>Tourism Australia. (2026b). Destination Australia 2026. https://www.tourism.australia.com/</w:t>
      </w:r>
    </w:p>
    <w:p>
      <w:pPr>
        <w:pStyle w:val="Reference"/>
        <w:ind w:hanging="720"/>
      </w:pPr>
      <w:r>
        <w:rPr>
          <w:rFonts w:ascii="Times New Roman" w:hAnsi="Times New Roman"/>
          <w:sz w:val="24"/>
        </w:rPr>
        <w:t>Voorveld, H. A. M., van Noort, G., Muntinga, D. G., &amp; Bronner, F. (2018). Engagement with social media and social media advertising: The differentiating role of platform type. Journal of Advertising, 47(1), 38–54. https://doi.org/10.1080/00913367.2017.1405754</w:t>
      </w:r>
    </w:p>
    <w:p>
      <w:pPr>
        <w:pStyle w:val="Reference"/>
        <w:ind w:hanging="720"/>
      </w:pPr>
      <w:r>
        <w:rPr>
          <w:rFonts w:ascii="Times New Roman" w:hAnsi="Times New Roman"/>
          <w:sz w:val="24"/>
        </w:rPr>
        <w:t>Xiang, Z., &amp; Gretzel, U. (2010). Role of social media in online travel information search. Tourism Management, 31(2), 179–188. https://doi.org/10.1016/j.tourman.2009.02.016</w:t>
      </w:r>
    </w:p>
    <w:p>
      <w:pPr>
        <w:pStyle w:val="Heading1"/>
        <w:ind w:firstLine="0"/>
      </w:pPr>
      <w:r>
        <w:t>Appendices</w:t>
      </w:r>
    </w:p>
    <w:p>
      <w:pPr>
        <w:pStyle w:val="Heading2"/>
        <w:ind w:firstLine="0"/>
      </w:pPr>
      <w:r>
        <w:t>Appendix A. Example Content Matrix</w:t>
      </w:r>
    </w:p>
    <w:p>
      <w:pPr/>
      <w:r>
        <w:rPr>
          <w:rFonts w:ascii="Times New Roman" w:hAnsi="Times New Roman"/>
          <w:sz w:val="24"/>
        </w:rPr>
        <w:t>Wildlife content should pair emotional close-up storytelling with responsible interaction guidance and a practical itinerary link. Food content should move from creator discovery to regional dining maps and bookable food experiences. Event content should show the event as the trigger but add two-to-four-day surrounding itineraries. Road-trip content should combine spectacular visuals with drive times, seasonal advice and rest-stop planning. This ensures that every content territory has both inspiration and utility.</w:t>
      </w:r>
    </w:p>
    <w:p>
      <w:pPr>
        <w:pStyle w:val="Heading2"/>
        <w:ind w:firstLine="0"/>
      </w:pPr>
      <w:r>
        <w:t>Appendix B. Influencer Evaluation Scorecard</w:t>
      </w:r>
    </w:p>
    <w:p>
      <w:pPr/>
      <w:r>
        <w:rPr>
          <w:rFonts w:ascii="Times New Roman" w:hAnsi="Times New Roman"/>
          <w:sz w:val="24"/>
        </w:rPr>
        <w:t>Each creator should be scored out of 100: audience-market fit (25), content quality and storytelling utility (20), engagement quality (15), demonstrated travel credibility (15), brand safety and disclosure history (15), and cost efficiency (10). A creator with a very large audience but weak destination relevance should therefore rank below a smaller creator whose followers closely match the target journey.</w:t>
      </w:r>
    </w:p>
    <w:p>
      <w:pPr>
        <w:pStyle w:val="Heading2"/>
        <w:ind w:firstLine="0"/>
      </w:pPr>
      <w:r>
        <w:t>Appendix C. Dashboard Definitions</w:t>
      </w:r>
    </w:p>
    <w:p>
      <w:pPr/>
      <w:r>
        <w:rPr>
          <w:rFonts w:ascii="Times New Roman" w:hAnsi="Times New Roman"/>
          <w:sz w:val="24"/>
        </w:rPr>
        <w:t>Qualified reach means target-market users who meet viewability and audience criteria rather than gross served impressions. Engaged destination session means a visit exceeding the agreed interaction threshold, such as multiple content views or itinerary interaction. Qualified referral means an outbound click to an approved booking or travel partner after meaningful destination engagement. UGC quality is assessed against usefulness, rights clearance, safety and brand suitability, not raw hashtag volume.</w:t>
      </w:r>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Times New Roman" w:hAnsi="Times New Roman"/>
      <w:b/>
      <w:bCs/>
      <w:color w:val="444444"/>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Times New Roman" w:hAnsi="Times New Roman"/>
      <w:b/>
      <w:bCs/>
      <w:color w:val="44444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40"/>
      <w:contextualSpacing/>
    </w:pPr>
    <w:rPr>
      <w:rFonts w:asciiTheme="majorHAnsi" w:eastAsiaTheme="majorEastAsia" w:hAnsiTheme="majorHAnsi" w:cstheme="majorBidi" w:ascii="Times New Roman" w:hAnsi="Times New Roman"/>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line="480" w:lineRule="auto" w:after="0"/>
      <w:ind w:left="720" w:hanging="72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Inspiration to Advocacy: A 12-Month Digital Engagement Strategy for Tourism Australia</dc:title>
  <dc:subject>Marketing Fundamentals detailed project report</dc:subject>
  <dc:creator>Student</dc:creator>
  <cp:keywords/>
  <dc:description>generated by python-docx</dc:description>
  <cp:lastModifiedBy/>
  <cp:revision>1</cp:revision>
  <dcterms:created xsi:type="dcterms:W3CDTF">2013-12-23T23:15:00Z</dcterms:created>
  <dcterms:modified xsi:type="dcterms:W3CDTF">2013-12-23T23:15:00Z</dcterms:modified>
  <cp:category/>
</cp:coreProperties>
</file>