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jc w:val="center"/>
      </w:pPr>
      <w:r>
        <w:drawing>
          <wp:inline xmlns:a="http://schemas.openxmlformats.org/drawingml/2006/main" xmlns:pic="http://schemas.openxmlformats.org/drawingml/2006/picture">
            <wp:extent cx="2560320" cy="3687090"/>
            <wp:docPr id="1" name="Picture 1"/>
            <wp:cNvGraphicFramePr>
              <a:graphicFrameLocks noChangeAspect="1"/>
            </wp:cNvGraphicFramePr>
            <a:graphic>
              <a:graphicData uri="http://schemas.openxmlformats.org/drawingml/2006/picture">
                <pic:pic>
                  <pic:nvPicPr>
                    <pic:cNvPr id="0" name="2ECB66A4-2661-4786-A994-721EE941E001.jpeg"/>
                    <pic:cNvPicPr/>
                  </pic:nvPicPr>
                  <pic:blipFill>
                    <a:blip r:embed="rId9"/>
                    <a:stretch>
                      <a:fillRect/>
                    </a:stretch>
                  </pic:blipFill>
                  <pic:spPr>
                    <a:xfrm>
                      <a:off x="0" y="0"/>
                      <a:ext cx="2560320" cy="3687090"/>
                    </a:xfrm>
                    <a:prstGeom prst="rect"/>
                  </pic:spPr>
                </pic:pic>
              </a:graphicData>
            </a:graphic>
          </wp:inline>
        </w:drawing>
      </w:r>
    </w:p>
    <w:p>
      <w:pPr>
        <w:pStyle w:val="Heading1"/>
        <w:jc w:val="center"/>
      </w:pPr>
      <w:r>
        <w:t>Post-Pandemic Consumer Behaviour: The Rise of Wellness and Conscious Travel</w:t>
      </w:r>
    </w:p>
    <w:p>
      <w:pPr>
        <w:jc w:val="center"/>
      </w:pPr>
      <w:r>
        <w:t>Course: Consumer Behaviour in Tourism and Hospitality</w:t>
        <w:br/>
        <w:t>Student Name: Nitin</w:t>
        <w:br/>
        <w:t>Matriculation Number: DE230246</w:t>
        <w:br/>
        <w:t>Submission Date: 24 October 2025</w:t>
        <w:br/>
      </w:r>
    </w:p>
    <w:p>
      <w:pPr>
        <w:pStyle w:val="Heading2"/>
      </w:pPr>
      <w:r>
        <w:t>Abstract</w:t>
      </w:r>
    </w:p>
    <w:p>
      <w:pPr>
        <w:spacing w:after="120"/>
      </w:pPr>
      <w:r>
        <w:t>This paper examines how the COVID‑19 pandemic reshaped consumer behaviour in global tourism and hospitality, with a particular focus on the rapid mainstreaming of wellness and conscious travel. Travel motivations have shifted from hedonic escape and convenience to eudaimonic fulfilment, restoration, and responsibility. Synthesising foundational frameworks—Maslow’s Hierarchy of Needs, Ajzen’s Theory of Planned Behaviour, Deci &amp; Ryan’s Self‑Determination Theory, and Pine &amp; Gilmore’s Experience Economy—with Behavioural Economics and Regenerative Tourism, the paper interprets post‑pandemic decision‑making through the lenses of safety, identity, and moral purpose. Using secondary data from UNWTO, WTTC, the Global Wellness Institute, Euromonitor, and McKinsey (201–2025), we identify five behavioural pivots: psychological safety; wellness as a core motivation; sustainability and regeneration; digital acceleration and digital‑detox paradox; and demographic–cultural nuances. Case snapshots (Six Senses, Aman, Costa Rica, Iceland, and Visit Finland) illustrate how brands and destinations operationalise these shifts. We argue that competitive advantage now derives from ‘techno‑empathy’—the ability to combine data‑driven personalisation with authentic care and ecological reciprocity. The study concludes that the industry’s recovery and long‑term legitimacy hinge on designing experiences that are not only memorable but meaningfully restorative for guests, host communities, and ecosystems.</w:t>
      </w:r>
    </w:p>
    <w:p>
      <w:pPr>
        <w:pStyle w:val="Heading2"/>
      </w:pPr>
      <w:r>
        <w:t>1. Introduction</w:t>
      </w:r>
    </w:p>
    <w:p>
      <w:pPr>
        <w:spacing w:after="120"/>
      </w:pPr>
      <w:r>
        <w:t>The COVID‑19 pandemic precipitated an historic contraction of tourism, disrupting mobility, destabilising supply chains, and forcing organisations and travellers to reassess the role of travel in everyday life. UNWTO (2023) estimates that international arrivals fell by roughly three‑quarters in 2020, erasing more than a decade of growth and jeopardising millions of jobs across aviation, lodging, foodservice, attractions, and the informal economy. Yet the most enduring effects have been psychological. Prolonged confinement and uncertainty brought questions of meaning, health, and connection to the foreground. As borders reopened, the decision to travel became inseparable from questions of safety, mental well‑being, purpose, and planetary responsibility.</w:t>
      </w:r>
    </w:p>
    <w:p>
      <w:pPr>
        <w:spacing w:after="120"/>
      </w:pPr>
      <w:r>
        <w:t>Pre‑pandemic, the industry’s engine was convenience: low‑cost carriers, frictionless booking, and impulse getaways optimised for price and access. In contrast, the 2020s are characterised by travellers who actively weigh wellness outcomes and ethical footprints. The Global Wellness Institute (2024) defines wellness tourism as travel to maintain or improve one’s health; ‘conscious travel’ extends the scope by prioritising ethical awareness, community benefit, and environmental care. Together, these modes signal a qualitative shift from passive consumption to intentional participation. Travellers seek itineraries that align self‑care with social care, and leisure with learning.</w:t>
      </w:r>
    </w:p>
    <w:p>
      <w:pPr>
        <w:spacing w:after="120"/>
      </w:pPr>
      <w:r>
        <w:t>This paper explores the consumer‑behaviour mechanisms that underpin this transition. It integrates classical theories of motivation and intention with contemporary insights about risk perception, identity expression, and regenerative value creation. The analysis is organised as follows: a literature review synthesising relevant theories; a methodology outlining the secondary‑data and thematic approach; findings across five behavioural pivots; a discussion connecting the evidence to theory; managerial implications for firms and destination managers; and limitations with directions for future research. We argue that sustained recovery rests on empathy‑led innovation—offering wellness and conscious travel experiences that are credible, inclusive, and net‑positive for destinations.</w:t>
      </w:r>
    </w:p>
    <w:p>
      <w:pPr>
        <w:pStyle w:val="Heading2"/>
      </w:pPr>
      <w:r>
        <w:t>2. Literature Review</w:t>
      </w:r>
    </w:p>
    <w:p>
      <w:pPr>
        <w:spacing w:after="120"/>
      </w:pPr>
      <w:r>
        <w:t>Maslow’s Hierarchy of Needs (1943) posits that behaviour is organised around a progression from physiological and safety needs to belonging, esteem, and self‑actualisation. Travel demand mirrored this model during the pandemic: immediate concerns gravitated to safety (cleanliness protocols, crowding, medical access), while higher‑order motives (self‑actualisation through exploration) re‑emerged as risk subsided. The present emphasis on wellness retreats, nature immersion, and slow travel reflects a return to growth needs—but now refracted through a heightened sensitivity to vulnerability and interdependence.</w:t>
      </w:r>
    </w:p>
    <w:p>
      <w:pPr>
        <w:spacing w:after="120"/>
      </w:pPr>
      <w:r>
        <w:t>Ajzen’s (1991) Theory of Planned Behaviour (TPB) explains intention via attitudes, subjective norms, and perceived behavioural control. Attitudes toward sustainable and wellness‑oriented travel have grown more favourable as social discourse valorises mindfulness and responsibility. Subjective norms—signals from peers, influencers, and institutions—now endorse low‑impact choices, localism, and conscious consumption. Perceived control has been enhanced by flexible booking, clear cancellation policies, and the routinisation of safety certifications, enabling travellers to commit amid residual uncertainty.</w:t>
      </w:r>
    </w:p>
    <w:p>
      <w:pPr>
        <w:spacing w:after="120"/>
      </w:pPr>
      <w:r>
        <w:t>Self‑Determination Theory (SDT; Deci &amp; Ryan, 2000) identifies autonomy, competence, and relatedness as innate psychological needs. Wellness travel is unusually well suited to satisfy all three: autonomy through self‑curated itineraries and pace; competence through skill‑building (breathwork, nutrition, meditation, forest‑bathing); and relatedness through communal rituals, nature connection, and host–guest reciprocity. SDT therefore predicts sustained demand for experiences that strengthen inner resources rather than merely stimulate pleasure.</w:t>
      </w:r>
    </w:p>
    <w:p>
      <w:pPr>
        <w:spacing w:after="120"/>
      </w:pPr>
      <w:r>
        <w:t>Pine and Gilmore’s Experience Economy (1999) frames value as staged experiences that engage guests on educational, esthetic, escapist, and entertainment dimensions. Post‑pandemic, transformative experiences—those that change the participant—carry premium value. A meditation retreat that instils lasting practices or a regenerative volunteering program that deepens environmental identity creates outcomes that persist beyond the trip, differentiating brands in crowded markets.</w:t>
      </w:r>
    </w:p>
    <w:p>
      <w:pPr>
        <w:spacing w:after="120"/>
      </w:pPr>
      <w:r>
        <w:t>Behavioural Economics (Kahneman, 2011) illuminates how uncertainty and emotion influence decisions. Heuristics like availability and affect bias the evaluation of risk and safety. Trust, therefore, becomes a decisive asset: certifications, transparent communication, and credible third‑party endorsements reduce perceived risk and support commitment. Friction costs (e.g., onerous testing rules) function as behavioural ‘taxes’ that nudge travellers toward nearby, nature‑rich, or wellness‑led options that promise high perceived control and low uncertainty.</w:t>
      </w:r>
    </w:p>
    <w:p>
      <w:pPr>
        <w:spacing w:after="120"/>
      </w:pPr>
      <w:r>
        <w:t>Regenerative Tourism extends sustainability by aiming for net‑positive outcomes—restoring ecosystems and strengthening community resilience. It reframes tourists as co‑creators rather than consumers and positions destinations as living systems rather than stages. The regenerative lens aligns with the rise of ‘conscious capitalism,’ in which consumers reward brands that balance prosperity with stewardship. In practice, regenerative models embed local ownership, circular resource flows, and measurement of social–ecological impact, providing a scaffold for value propositions that blend wellness with purpose.</w:t>
      </w:r>
    </w:p>
    <w:p>
      <w:pPr>
        <w:pStyle w:val="Heading2"/>
      </w:pPr>
      <w:r>
        <w:t>3. Methodology</w:t>
      </w:r>
    </w:p>
    <w:p>
      <w:pPr>
        <w:spacing w:after="120"/>
      </w:pPr>
      <w:r>
        <w:t>This study employs a qualitative, exploratory design based on secondary‑data synthesis from 2020–2025. Sources include peer‑reviewed journals, policy reports, and industry analyses from UNWTO, WTTC, the Global Wellness Institute, Euromonitor, and McKinsey. We used thematic analysis to identify recurrent patterns across five dimensions: (1) safety and psychological security; (2) wellness as a core motivation; (3) sustainability and regeneration; (4) digital acceleration and the detox counter‑trend; and (5) demographic and cultural variation. Coding proceeded iteratively to refine categories and surface relationships among drivers, barriers, and outcomes.</w:t>
      </w:r>
    </w:p>
    <w:p>
      <w:pPr>
        <w:spacing w:after="120"/>
      </w:pPr>
      <w:r>
        <w:t>Validity was strengthened through triangulation with case snapshots of firms and destinations known for wellness and conscious travel propositions, including Six Senses, Aman Resorts, Banyan Tree, Costa Rica’s national ecotourism model, Iceland’s geothermal wellness strategies, Airbnb’s flexible‑stay programs, and Visit Finland’s ‘Sustainable Happiness’ platform. We interpret these cases not as exhaustive evidence but as illustrative mechanisms through which theory is operationalised in practice. The approach is appropriate given the study’s objective: to develop a theory‑informed narrative that can guide managerial action during an evolving recovery.</w:t>
      </w:r>
    </w:p>
    <w:p>
      <w:pPr>
        <w:pStyle w:val="Heading2"/>
      </w:pPr>
      <w:r>
        <w:t>4. Findings</w:t>
      </w:r>
    </w:p>
    <w:p>
      <w:pPr>
        <w:spacing w:after="120"/>
      </w:pPr>
      <w:r>
        <w:t>Finding 1: Safety as Emotional Value. Travellers now appraise safety as a feeling, not just a checklist. Communication tone—empathetic, transparent, and specific—creates a sense of psychological security that reduces perceived risk. Brands that institutionalised flexible policies, visible hygiene, and staff empowerment reported faster demand rebound. For destinations, consistent signalling (e.g., WTTC Safe Travels stamps, health dashboards) functions as social proof, particularly for first‑time or long‑haul trips.</w:t>
      </w:r>
    </w:p>
    <w:p>
      <w:pPr>
        <w:spacing w:after="120"/>
      </w:pPr>
      <w:r>
        <w:t>Finding 2: Wellness as Primary Motivation. Wellness has expanded from spa add‑ons to holistic itineraries centred on sleep quality, nutrition, movement, nature immersion, and mind training. Demand spans budget tiers: urban micro‑retreats, nature‑based cabins, and high‑end integrative resorts. Crucially, travellers increasingly view wellness as a preventive investment—mitigating burnout and building resilience—rather than a discretionary luxury. Experiences that fuse science‑backed methods (breathwork, circadian design) with culturally rooted practices (sauna, onsen, Ayurveda) signal credibility and authenticity.</w:t>
      </w:r>
    </w:p>
    <w:p>
      <w:pPr>
        <w:spacing w:after="120"/>
      </w:pPr>
      <w:r>
        <w:t>Finding 3: Sustainability to Regeneration. Consumers reward brands that move beyond ‘do no harm’ to measurable positive impact. Programmes that enable guests to participate in habitat restoration, rewilding, coral gardening, or community wellness projects deliver both meaning and memory. This participatory model converts sustainability from a backstage operation into a core guest experience, narrowing the intention–behaviour gap by translating values into action during the stay itself.</w:t>
      </w:r>
    </w:p>
    <w:p>
      <w:pPr>
        <w:spacing w:after="120"/>
      </w:pPr>
      <w:r>
        <w:t>Finding 4: Digital Acceleration and the Detox Paradox. Digital tools now mediate discovery, booking, and personalisation (AI trip planning, biometric sleep tracking, virtual previews). Yet the same travellers crave periodic disconnection. Successful operators design for both: seamless, low‑friction journeys pre‑arrival and ‘designed absence’ on site—tech‑free zones, analog rituals, and nature immersion that down‑regulates cognitive load. This duality—connected planning, mindful presence—has become a hallmark of modern wellness brands.</w:t>
      </w:r>
    </w:p>
    <w:p>
      <w:pPr>
        <w:spacing w:after="120"/>
      </w:pPr>
      <w:r>
        <w:t>Finding 5: Demographic and Cultural Nuance. Gen Z and Millennials foreground ethics and identity expression (plant‑forward dining, low‑impact transport, volunteerism), while Boomers emphasise longevity and medical wellness. Cultural frames shape modalities: Nordic traditions valorise sauna‑cold‑plunge cycles and outdoor friluftsliv; Japan integrates onsen etiquette and forest therapy; South Asia blends Ayurveda and yoga with community healing; Latin America ties well‑being to biodiversity and indigenous knowledge. Destinations that respect these nuances avoid ‘one‑size‑fits‑all’ wellness.</w:t>
      </w:r>
    </w:p>
    <w:p>
      <w:pPr>
        <w:pStyle w:val="Heading2"/>
      </w:pPr>
      <w:r>
        <w:t>5. Discussion</w:t>
      </w:r>
    </w:p>
    <w:p>
      <w:pPr>
        <w:spacing w:after="120"/>
      </w:pPr>
      <w:r>
        <w:t>Linking Findings to Theory. The re‑centring of wellness maps directly to SDT’s autonomy–competence–relatedness triad: self‑paced itineraries, skill‑building workshops, and communal or nature‑based experiences. TPB explains how favourable attitudes and supportive norms, combined with high perceived control (flexible policies, clear guidance), convert latent desire into action. Maslow clarifies why recovery began at the base—safety—before advancing toward growth motives like meaning and mastery. The Experience Economy illuminates why guests pay premiums for transformative arcs that continue post‑stay.</w:t>
      </w:r>
    </w:p>
    <w:p>
      <w:pPr>
        <w:spacing w:after="120"/>
      </w:pPr>
      <w:r>
        <w:t>Trust as Competitive Moat. Behavioural Economics suggests that in uncertainty, affect and heuristics dominate. Repeated, credible signals—certifications, third‑party audits, and transparent impact metrics—become shortcuts that reduce cognitive load. Storytelling that centres staff care, local partnerships, and guest agency generates ‘warm glow’ effects that reinforce loyalty and word‑of‑mouth. Luxury thereby evolves from scarcity to sincerity: scarcity of distraction, abundance of meaning.</w:t>
      </w:r>
    </w:p>
    <w:p>
      <w:pPr>
        <w:spacing w:after="120"/>
      </w:pPr>
      <w:r>
        <w:t>Regeneration as Strategy. Moving from sustainability to regeneration reframes operations and experience design. Rather than offsetting harm, properties can stage activities that leave places healthier and communities stronger. This creates multi‑capital value: natural (biodiversity), social (skills, cohesion), and human (resilience, knowledge). For consumers, participation transforms identity—‘I am the kind of person who restores what I enjoy’—which in turn anchors repeat visitation and advocacy.</w:t>
      </w:r>
    </w:p>
    <w:p>
      <w:pPr>
        <w:spacing w:after="120"/>
      </w:pPr>
      <w:r>
        <w:t>Culture and Inclusion. Wellness is culturally coded; therefore inclusion requires localisation and humility. Co‑design with community practitioners, fair compensation for knowledge holders, and multilingual interpretation prevent cultural appropriation and improve guest outcomes. Accessibility—financial and physical—matters too. Tiered offerings (day passes, community rates, virtual prep) broaden participation and strengthen destination legitimacy.</w:t>
      </w:r>
    </w:p>
    <w:p>
      <w:pPr>
        <w:pStyle w:val="Heading2"/>
      </w:pPr>
      <w:r>
        <w:t>6. Managerial Implications</w:t>
      </w:r>
    </w:p>
    <w:p>
      <w:pPr>
        <w:spacing w:after="120"/>
      </w:pPr>
      <w:r>
        <w:t>Design for Techno‑Empathy. Pair data intelligence with human warmth. Use analytics to time communications, personalise sleep and nutrition nudges, and anticipate accessibility needs—then deliver with compassionate service. Empower staff with well‑being training (active listening, boundaries, trauma‑informed hospitality) so the guest journey feels safe and dignified.</w:t>
      </w:r>
    </w:p>
    <w:p>
      <w:pPr>
        <w:spacing w:after="120"/>
      </w:pPr>
      <w:r>
        <w:t>Operationalise Regeneration. Shift from back‑of‑house sustainability to front‑stage participation. Offer opt‑in activities (reef gardening, trail restoration, citizen science, community wellness classes) that are guided, measurable, and fun. Report outcomes in simple dashboards (hectares restored, kilos of waste diverted, hours of community teaching) to convert impact into tangible guest pride.</w:t>
      </w:r>
    </w:p>
    <w:p>
      <w:pPr>
        <w:spacing w:after="120"/>
      </w:pPr>
      <w:r>
        <w:t>Wellness Architecture &amp; Programming. Incorporate biophilic design, natural materials, circadian lighting, acoustic comfort, and thermal variety (hot–cold contrast) to support recovery. Curate daily rhythms—morning movement, midday learning, evening reflection—that reduce decision fatigue and create narrative coherence. Small properties can start with low‑cost interventions: guided nature walks, sleep‑friendly housekeeping, and nourishing, locally sourced menus.</w:t>
      </w:r>
    </w:p>
    <w:p>
      <w:pPr>
        <w:spacing w:after="120"/>
      </w:pPr>
      <w:r>
        <w:t>Transparent Storytelling. Replace grand claims with verifiable specifics: supplier maps, ingredient provenance, energy mix, and wage standards. Invite third‑party audits and publish corrective actions. Use narrative to honour local partners and knowledge keepers; credit them visibly in‑property and online.</w:t>
      </w:r>
    </w:p>
    <w:p>
      <w:pPr>
        <w:spacing w:after="120"/>
      </w:pPr>
      <w:r>
        <w:t>Portfolio &amp; Policy. DMOs should cluster wellness assets into coherent routes (thermal circuits, forest‑therapy networks, culinary‑nutrition trails) and coordinate transport options that minimise emissions. Governments can support with incentives for retrofits, nature‑positive investments, and workforce upskilling in wellness competencies. Public‑health partnerships can align travel with prevention agendas to broaden social value.</w:t>
      </w:r>
    </w:p>
    <w:p>
      <w:pPr>
        <w:pStyle w:val="Heading2"/>
      </w:pPr>
      <w:r>
        <w:t>7. Limitations and Future Research</w:t>
      </w:r>
    </w:p>
    <w:p>
      <w:pPr>
        <w:spacing w:after="120"/>
      </w:pPr>
      <w:r>
        <w:t>This synthesis is constrained by its reliance on secondary sources and by heterogeneity in how wellness and conscious travel are defined across studies. Consequently, effect sizes and growth estimates should be interpreted cautiously. Future research would benefit from longitudinal, cross‑cultural designs that track the durability of wellness motivations, segmentation by psychographic profiles, and the causal links between specific wellness interventions (sleep programmes, breathwork, nature exposure) and measurable outcomes (stress biomarkers, creativity, pro‑social behaviour).</w:t>
      </w:r>
    </w:p>
    <w:p>
      <w:pPr>
        <w:spacing w:after="120"/>
      </w:pPr>
      <w:r>
        <w:t>Further inquiry is also needed into equity and access: who is excluded from wellness travel by cost, geography, disability, or cultural barriers? Mixed‑methods research could test sliding‑scale models, community pricing, and universal design to evaluate both business viability and social impact. Finally, the ethics of data‑driven personalisation warrant scrutiny—particularly around health data, consent, and algorithmic bias—in order to sustain trust.</w:t>
      </w:r>
    </w:p>
    <w:p>
      <w:pPr>
        <w:pStyle w:val="Heading2"/>
      </w:pPr>
      <w:r>
        <w:t>8. Conclusion</w:t>
      </w:r>
    </w:p>
    <w:p>
      <w:pPr>
        <w:spacing w:after="120"/>
      </w:pPr>
      <w:r>
        <w:t>The pandemic catalysed a structural and psychological reorientation of tourism. Travellers now prioritise safety as an emotion, wellness as a practice, and regeneration as a promise. Theories of motivation, intention, and experience help explain why: people seek autonomy, competence, and relatedness; they act when norms support them and control feels attainable; and they value transformations that endure. For businesses and destinations, advantage accrues to those that combine credible science, cultural humility, and emotionally intelligent service—what we call techno‑empathy.</w:t>
      </w:r>
    </w:p>
    <w:p>
      <w:pPr>
        <w:spacing w:after="120"/>
      </w:pPr>
      <w:r>
        <w:t>If the 2010s optimised for frictionless volume, the 2020s will reward thoughtful depth. The most resilient brands will choreograph journeys that are quieter, kinder, and more consequential—leaving guests restored, communities strengthened, and ecosystems healthier. In that future, travel is not an escape from life but a practice for living it well.</w:t>
      </w:r>
    </w:p>
    <w:p>
      <w:pPr>
        <w:pStyle w:val="Heading2"/>
      </w:pPr>
      <w:r>
        <w:t>References</w:t>
      </w:r>
    </w:p>
    <w:p>
      <w:pPr>
        <w:spacing w:after="120"/>
      </w:pPr>
      <w:r>
        <w:t>Ajzen, I. (1991). The theory of planned behavior. Organizational Behavior and Human Decision Processes, 50(2), 179–211.</w:t>
      </w:r>
    </w:p>
    <w:p>
      <w:pPr>
        <w:spacing w:after="120"/>
      </w:pPr>
      <w:r>
        <w:t>Deci, E. L., &amp; Ryan, R. M. (2000). The 'what' and 'why' of goal pursuits: Human needs and the self-determination of behavior. Psychological Inquiry, 11(4), 227–268.</w:t>
      </w:r>
    </w:p>
    <w:p>
      <w:pPr>
        <w:spacing w:after="120"/>
      </w:pPr>
      <w:r>
        <w:t>Euromonitor International. (2024). Wellness and sustainable tourism trends post‑COVID‑19.</w:t>
      </w:r>
    </w:p>
    <w:p>
      <w:pPr>
        <w:spacing w:after="120"/>
      </w:pPr>
      <w:r>
        <w:t>Global Wellness Institute. (2024). Global wellness economy: Country rankings report.</w:t>
      </w:r>
    </w:p>
    <w:p>
      <w:pPr>
        <w:spacing w:after="120"/>
      </w:pPr>
      <w:r>
        <w:t>Kahneman, D. (2011). Thinking, Fast and Slow. Farrar, Straus and Giroux.</w:t>
      </w:r>
    </w:p>
    <w:p>
      <w:pPr>
        <w:spacing w:after="120"/>
      </w:pPr>
      <w:r>
        <w:t>McKinsey &amp; Company. (2025). The future of wellness travel: Consumer insights and recovery trends.</w:t>
      </w:r>
    </w:p>
    <w:p>
      <w:pPr>
        <w:spacing w:after="120"/>
      </w:pPr>
      <w:r>
        <w:t>Pine, B. J., &amp; Gilmore, J. H. (1999). The Experience Economy. Harvard Business School Press.</w:t>
      </w:r>
    </w:p>
    <w:p>
      <w:pPr>
        <w:spacing w:after="120"/>
      </w:pPr>
      <w:r>
        <w:t>UNWTO. (2023). Tourism and COVID‑19 recovery report.</w:t>
      </w:r>
    </w:p>
    <w:p>
      <w:pPr>
        <w:spacing w:after="120"/>
      </w:pPr>
      <w:r>
        <w:t>WTTC. (2023). Safe Travels and global tourism health &amp; hygiene guidance.</w:t>
      </w:r>
    </w:p>
    <w:p>
      <w:pPr>
        <w:pStyle w:val="Heading2"/>
      </w:pPr>
      <w:r>
        <w:t>Appendix A: Illustrative Wellness Journey Blueprint</w:t>
      </w:r>
    </w:p>
    <w:p>
      <w:pPr>
        <w:spacing w:after="120"/>
      </w:pPr>
      <w:r>
        <w:t>A three‑day micro‑retreat: Day 1—arrival screening, circadian‑friendly check‑in, grounding walk, breathwork. Day 2—guided forest therapy, local farm lunch, community class (craft or cooking), sauna‑cold cycle, evening journaling. Day 3—sunrise movement, reflection session, impact briefing with options to donate or return as a volunteer.</w:t>
      </w:r>
    </w:p>
    <w:p>
      <w:pPr>
        <w:pStyle w:val="Heading2"/>
      </w:pPr>
      <w:r>
        <w:t>Appendix B: Destination Snapshots (Costa Rica, Iceland, Finland)</w:t>
      </w:r>
    </w:p>
    <w:p>
      <w:pPr>
        <w:spacing w:after="120"/>
      </w:pPr>
      <w:r>
        <w:t>Costa Rica leverages biodiversity and community co‑ops for regenerative tourism; Iceland integrates geothermal wellness and low‑carbon energy; Finland’s ‘Sustainable Happiness’ connects nature routines with mental well‑being and national identity.</w:t>
      </w:r>
    </w:p>
    <w:p>
      <w:pPr>
        <w:pStyle w:val="Heading2"/>
      </w:pPr>
      <w:r>
        <w:t>Appendix C: Sample Impact Dashboard Metrics</w:t>
      </w:r>
    </w:p>
    <w:p>
      <w:pPr>
        <w:spacing w:after="120"/>
      </w:pPr>
      <w:r>
        <w:t>Guest participation hours; reefs or trails restored; local supplier share; fair‑wage compliance; guest sleep‑quality improvement; carbon per guest‑night; repeat‑visit intent; and community revenue share.</w:t>
      </w:r>
    </w:p>
    <w:p>
      <w:pPr>
        <w:pStyle w:val="Heading3"/>
      </w:pPr>
      <w:r>
        <w:t>2.1 Comparative and Emerging Theories (Extended)</w:t>
      </w:r>
    </w:p>
    <w:p>
      <w:r>
        <w:t>Prospect Theory refines Behavioural Economics by explaining how travellers evaluate gains versus losses asymmetrically. In pandemic recovery, loss aversion magnifies the pain of a disrupted trip or quarantine, nudging consumers toward options with generous guarantees and low downside risk (e.g., refundable fares, ‘book now—decide later’ windows).</w:t>
      </w:r>
    </w:p>
    <w:p>
      <w:r>
        <w:t>Protection Motivation Theory (PMT) complements TPB by modelling how threat appraisal (severity, vulnerability) and coping appraisal (response efficacy, self‑efficacy) shape protective behaviours. Messaging that specifies protective actions—ventilation, outdoor programming, small‑group formats—elevates response efficacy and supports intention formation without inducing paralysis.</w:t>
      </w:r>
    </w:p>
    <w:p>
      <w:r>
        <w:t>Affordance Theory from ecological psychology adds that environments suggest possible actions: trails afford walking; hot‑cold facilities afford contrast therapy; communal tables afford conversation. Designers can therefore ‘nudge’ wellness by making healthy actions the path of least resistance—water refill points, visible stairs, shaded seating, and contemplative micro‑spaces.</w:t>
      </w:r>
    </w:p>
    <w:p>
      <w:r>
        <w:t>Identity Economics emphasises that people act in line with identities they value. Wellness and conscious travel become platforms for signalling ‘who I am’: an environmentally responsible citizen, a mindful parent, a resilient leader. Products that help guests rehearse and display these identities (journal prompts, impact badges, community certificates) amplify motivation and loyalty.</w:t>
      </w:r>
    </w:p>
    <w:p>
      <w:r>
        <w:t>Service‑Dominant Logic (SDL) reframes value as co‑created through interactions among actors. In this view, a guest’s well‑being emerges from resources (staff expertise, local knowledge, nature assets) combined with the guest’s operant resources (attention, openness, habits). This frames the property as a facilitator of transformations rather than a provider of commodities.</w:t>
      </w:r>
    </w:p>
    <w:p>
      <w:pPr>
        <w:pStyle w:val="Heading3"/>
      </w:pPr>
      <w:r>
        <w:t>3.1 Data Handling and Quality Assurance</w:t>
      </w:r>
    </w:p>
    <w:p>
      <w:r>
        <w:t>To mitigate publication bias in industry reports, sources were sampled across public bodies (UNWTO, WTTC), independent research (Euromonitor), and consulting perspectives (McKinsey). Where estimates diverged, we privileged conservative figures and triangulated with academic meta‑reviews. The coding scheme was piloted on a subset of documents to calibrate construct definitions (e.g., distinguishing ‘sustainability’ from ‘regeneration’). Inter‑coder reliability was simulated by re‑coding after a one‑week gap, with discrepancies reconciled via an audit trail.</w:t>
      </w:r>
    </w:p>
    <w:p>
      <w:r>
        <w:t>Case selection followed theoretical sampling: brands and destinations were chosen because they illustrate mechanisms (regenerative design, sleep programming, flexible policy) rather than because they are market leaders. This increases analytical transferability—readers can map mechanisms to their context even if they lack the same scale or resources.</w:t>
      </w:r>
    </w:p>
    <w:p>
      <w:pPr>
        <w:pStyle w:val="Heading3"/>
      </w:pPr>
      <w:r>
        <w:t>4.1 Case Illustrations</w:t>
      </w:r>
    </w:p>
    <w:p>
      <w:r>
        <w:t>Six Senses (Multiple Regions). Six Senses operationalises regeneration through locally anchored experiences—organic gardens, on‑site Earth Labs, and community education—while offering evidence‑informed wellness diagnostics (sleep consultations, movement screens). The guest journey is choreographed around circadian hygiene: soft arrival lighting, quiet hours, and bedtime rituals. Success rests on staff capability: hosts trained in active listening and personalised coaching convert amenities into outcomes. The lesson is that hardware without ‘heartware’ under‑delivers; people translate design into transformation.</w:t>
      </w:r>
    </w:p>
    <w:p>
      <w:r>
        <w:t>Aman Resorts (Global). Aman positions ‘quiet luxury’ as emotional safety—a promise of predictability, serenity, and discretion. Post‑pandemic, Aman expanded integrative wellness with medical‑adjacent programs and extended‑stay formats for restoration. The brand’s sparse aesthetic functions as cognitive uncluttering, allowing attention to settle. This design thesis—fewer, better, calmer—speaks directly to recovery from digital overload.</w:t>
      </w:r>
    </w:p>
    <w:p>
      <w:r>
        <w:t>Costa Rica (National Model). For three decades, Costa Rica invested in protected areas, payments for ecosystem services, and community participation. Post‑pandemic, this foundation enabled low‑density nature experiences to meet demand for open‑air, low‑risk travel. Wellness here is environmental: biodiversity as a mental‑health resource. The policy insight is that pre‑crisis conservation compounds as post‑crisis resilience.</w:t>
      </w:r>
    </w:p>
    <w:p>
      <w:r>
        <w:t>Iceland (Geothermal Wellness). Iceland links geothermal pools and saunas with low‑carbon electricity and a strong safety culture. The ‘hot‑cold‑rest’ ritual blends tradition with physiology (vasodilation–constriction cycles), offering a credible, accessible wellness narrative for residents and visitors. The infrastructure doubles as social cohesion assets, strengthening community well‑being alongside tourism appeal.</w:t>
      </w:r>
    </w:p>
    <w:p>
      <w:r>
        <w:t>Visit Finland (Sustainable Happiness). Finland’s campaigns foreground everyday nature routines—moss walks, lakeside saunas, berry picking—inviting guests to adopt habits that travel home with them. By framing happiness as a practice rather than a place, the destination avoids overtourism ‘bucket‑list’ dynamics and emphasises repeatable micro‑skills.</w:t>
      </w:r>
    </w:p>
    <w:p>
      <w:pPr>
        <w:pStyle w:val="Heading3"/>
      </w:pPr>
      <w:r>
        <w:t>5.1 Measuring What Matters</w:t>
      </w:r>
    </w:p>
    <w:p>
      <w:r>
        <w:t>Traditional KPIs (ADR, RevPAR, arrivals) are necessary but insufficient for wellness and conscious travel. A balanced scorecard should track guest‑level outcomes (sleep quality self‑ratings, stress reduction, nature‑connectedness), community outcomes (local procurement share, living‑wage coverage, skills transfer), and ecosystem outcomes (biodiversity indicators, water use intensity). Measurement converts aspirations into accountability and improves storytelling credibility.</w:t>
      </w:r>
    </w:p>
    <w:p>
      <w:r>
        <w:t>Randomised A/B testing can evaluate the efficacy of light‑touch interventions—e.g., whether a pre‑sleep tea plus dimmed corridor lighting improves sleep scores versus tea alone. Behavioural insights teams within DMOs could test message framing (‘join us to restore’ vs. ‘offset your stay’) to reduce intention–behaviour gaps.</w:t>
      </w:r>
    </w:p>
    <w:p>
      <w:pPr>
        <w:pStyle w:val="Heading3"/>
      </w:pPr>
      <w:r>
        <w:t>5.2 Ethics and Inclusion</w:t>
      </w:r>
    </w:p>
    <w:p>
      <w:r>
        <w:t>Wellness should not become a privilege. Sliding‑scale pricing, resident passes, and community days widen access while building local goodwill. Universal design—step‑free access, sensory‑friendly spaces, clear signage—ensures guests with disabilities benefit fully. Data ethics require explicit consent for any health‑adjacent personalisation, with clear opt‑outs and strong data minimisation practices.</w:t>
      </w:r>
    </w:p>
    <w:p>
      <w:pPr>
        <w:pStyle w:val="Heading3"/>
      </w:pPr>
      <w:r>
        <w:t>6.1 Implementation Roadmap</w:t>
      </w:r>
    </w:p>
    <w:p>
      <w:r>
        <w:t>Phase 1—Baseline &amp; Quick Wins (0–3 months): audit guest journey for friction; introduce flexible policies; publish a simple impact page; add low‑cost wellness touchpoints (hydration stations, quiet zones, sleep‑friendly housekeeping). Train staff in empathic micro‑skills (names, pacing, consent).</w:t>
      </w:r>
    </w:p>
    <w:p>
      <w:r>
        <w:t>Phase 2—Programming &amp; Partnerships (3–12 months): co‑create experiences with local practitioners (yoga, breathwork, crafts), set up quarterly community classes, and pilot nature‑positive activities. Negotiate supplier improvements (local, seasonal, lower‑carbon).</w:t>
      </w:r>
    </w:p>
    <w:p>
      <w:r>
        <w:t>Phase 3—Regenerative Platforms (12–24 months): invest in habitat restoration projects, establish a citizen‑science program, deploy an impact dashboard, and link loyalty rewards to participation rather than spend. Embed continuous learning loops via guest feedback and staff retrospectives.</w:t>
      </w:r>
    </w:p>
    <w:p>
      <w:pPr>
        <w:pStyle w:val="Heading3"/>
      </w:pPr>
      <w:r>
        <w:t>6.2 Risk Management</w:t>
      </w:r>
    </w:p>
    <w:p>
      <w:r>
        <w:t>Key risks include wellness‑washing (claims outpacing reality), cultural insensitivity, and data breaches. Mitigations: third‑party verification, community advisory boards, robust cybersecurity, and transparent incident response. Operational risks—seasonality, staff burnout—can be reduced through cross‑training, rotating programming, and realistic capacity caps to protect quality.</w:t>
      </w:r>
    </w:p>
    <w:p>
      <w:pPr>
        <w:pStyle w:val="Heading3"/>
      </w:pPr>
      <w:r>
        <w:t>7.1 Future Research Priorities (Extended)</w:t>
      </w:r>
    </w:p>
    <w:p>
      <w:r>
        <w:t>Priority areas include the neurophysiology of nature exposure in travel contexts; dose–response curves for hot‑cold therapy; and longitudinal impacts of travel‑learned habits on home well‑being. Economically, research should quantify the premium guests are willing to pay for verified regenerative impact, and whether participation increases lifetime value. Policy studies could compare DMO governance models that best align tourism with public‑health outcomes.</w:t>
      </w:r>
    </w:p>
    <w:p>
      <w:pPr>
        <w:pStyle w:val="Heading2"/>
      </w:pPr>
      <w:r>
        <w:t>Appendix D: Operator Checklist (Practical)</w:t>
      </w:r>
    </w:p>
    <w:p>
      <w:r>
        <w:t>• Pre‑arrival: send health and accessibility preferences form; share packing list and light‑exposure tips.</w:t>
        <w:br/>
        <w:t>• Arrival: low‑stimulus check‑in; hydration; orientation to quiet spaces; staff introduction.</w:t>
        <w:br/>
        <w:t>• Daily rhythm: morning movement; midday learning; afternoon nature immersion; evening reflection.</w:t>
        <w:br/>
        <w:t>• Food &amp; beverage: plant‑forward menus; provenance boards; caffeine cut‑off cues.</w:t>
        <w:br/>
        <w:t>• Sleep: dim corridors; blackout options; temperature guidance; pillow menu; digital sunset.</w:t>
        <w:br/>
        <w:t>• Community: invite to local class; fair‑wage transparency; crafts marketplace.</w:t>
        <w:br/>
        <w:t>• Regeneration: guest‑friendly restoration tasks; impact briefing; return pathways.</w:t>
        <w:br/>
        <w:t>• Departure: personalised habit plan; gratitude ritual; survey with outcome metrics.</w:t>
      </w:r>
    </w:p>
    <w:p>
      <w:pPr>
        <w:pStyle w:val="Heading3"/>
      </w:pPr>
      <w:r>
        <w:t>Additional References</w:t>
      </w:r>
    </w:p>
    <w:p>
      <w:r>
        <w:t>Bauer, I., &amp; McKercher, B. (2024). Health security and travel behaviour: Lessons from COVID‑19. Journal of Travel Research.</w:t>
      </w:r>
    </w:p>
    <w:p>
      <w:r>
        <w:t>GWI. (2025). Wellness Tourism Economy Update.</w:t>
      </w:r>
    </w:p>
    <w:p>
      <w:r>
        <w:t>Euromonitor. (2025). Global Consumer Trends: Wellness Edition.</w:t>
      </w:r>
    </w:p>
    <w:p>
      <w:r>
        <w:t>WTTC. (2024). Travel &amp; Tourism Economic Impact—Recovery Pathways.</w:t>
      </w:r>
    </w:p>
    <w:p>
      <w:r>
        <w:t>UNWTO. (2024). International Tourism Highlights.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