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57ED7" w14:textId="77777777" w:rsidR="000E68B1" w:rsidRPr="00B53C4F" w:rsidRDefault="000E68B1" w:rsidP="000E68B1">
      <w:pPr>
        <w:rPr>
          <w:rFonts w:asciiTheme="majorBidi" w:hAnsiTheme="majorBidi" w:cstheme="majorBidi"/>
          <w:b/>
          <w:bCs/>
          <w:lang w:val="en-US"/>
        </w:rPr>
      </w:pPr>
      <w:r w:rsidRPr="00B53C4F">
        <w:rPr>
          <w:rFonts w:asciiTheme="majorBidi" w:hAnsiTheme="majorBidi" w:cstheme="majorBidi"/>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BF9FFA" w14:textId="77777777" w:rsidR="000E68B1" w:rsidRPr="00B53C4F" w:rsidRDefault="000E68B1" w:rsidP="000E68B1">
      <w:pPr>
        <w:rPr>
          <w:rFonts w:asciiTheme="majorBidi" w:hAnsiTheme="majorBidi" w:cstheme="majorBidi"/>
          <w:b/>
          <w:bCs/>
          <w:lang w:val="en-US"/>
        </w:rPr>
      </w:pPr>
    </w:p>
    <w:p w14:paraId="4F68F131" w14:textId="77777777" w:rsidR="000E68B1" w:rsidRPr="00B53C4F" w:rsidRDefault="000E68B1" w:rsidP="000E68B1">
      <w:pPr>
        <w:rPr>
          <w:rFonts w:asciiTheme="majorBidi" w:hAnsiTheme="majorBidi" w:cstheme="majorBidi"/>
          <w:b/>
          <w:bCs/>
          <w:lang w:val="en-US"/>
        </w:rPr>
      </w:pPr>
      <w:r w:rsidRPr="00B53C4F">
        <w:rPr>
          <w:rFonts w:asciiTheme="majorBidi" w:hAnsiTheme="majorBidi" w:cstheme="majorBidi"/>
          <w:b/>
          <w:bCs/>
          <w:lang w:val="en-US"/>
        </w:rPr>
        <w:t>Introduction to the Hospitality Industry</w:t>
      </w:r>
    </w:p>
    <w:p w14:paraId="07F9C78F" w14:textId="77777777" w:rsidR="000E68B1" w:rsidRPr="00B53C4F" w:rsidRDefault="000E68B1" w:rsidP="000E68B1">
      <w:pPr>
        <w:rPr>
          <w:rFonts w:asciiTheme="majorBidi" w:hAnsiTheme="majorBidi" w:cstheme="majorBidi"/>
          <w:lang w:val="en-US"/>
        </w:rPr>
      </w:pPr>
      <w:r w:rsidRPr="00B53C4F">
        <w:rPr>
          <w:rFonts w:asciiTheme="majorBidi" w:hAnsiTheme="majorBidi" w:cstheme="majorBidi"/>
          <w:lang w:val="en-US"/>
        </w:rPr>
        <w:t xml:space="preserve">Assignment </w:t>
      </w:r>
      <w:r w:rsidR="001674E1" w:rsidRPr="00B53C4F">
        <w:rPr>
          <w:rFonts w:asciiTheme="majorBidi" w:hAnsiTheme="majorBidi" w:cstheme="majorBidi"/>
          <w:lang w:val="en-US"/>
        </w:rPr>
        <w:t>8</w:t>
      </w:r>
    </w:p>
    <w:p w14:paraId="14697BDD" w14:textId="77777777" w:rsidR="000E68B1" w:rsidRPr="00B53C4F" w:rsidRDefault="001674E1" w:rsidP="000E68B1">
      <w:pPr>
        <w:rPr>
          <w:rFonts w:asciiTheme="majorBidi" w:hAnsiTheme="majorBidi" w:cstheme="majorBidi"/>
          <w:lang w:val="en-US"/>
        </w:rPr>
      </w:pPr>
      <w:r w:rsidRPr="00B53C4F">
        <w:rPr>
          <w:rFonts w:asciiTheme="majorBidi" w:hAnsiTheme="majorBidi" w:cstheme="majorBidi"/>
          <w:lang w:val="en-US"/>
        </w:rPr>
        <w:t>03</w:t>
      </w:r>
      <w:r w:rsidR="000E68B1" w:rsidRPr="00B53C4F">
        <w:rPr>
          <w:rFonts w:asciiTheme="majorBidi" w:hAnsiTheme="majorBidi" w:cstheme="majorBidi"/>
          <w:lang w:val="en-US"/>
        </w:rPr>
        <w:t>.0</w:t>
      </w:r>
      <w:r w:rsidRPr="00B53C4F">
        <w:rPr>
          <w:rFonts w:asciiTheme="majorBidi" w:hAnsiTheme="majorBidi" w:cstheme="majorBidi"/>
          <w:lang w:val="en-US"/>
        </w:rPr>
        <w:t>6</w:t>
      </w:r>
      <w:r w:rsidR="000E68B1" w:rsidRPr="00B53C4F">
        <w:rPr>
          <w:rFonts w:asciiTheme="majorBidi" w:hAnsiTheme="majorBidi" w:cstheme="majorBidi"/>
          <w:lang w:val="en-US"/>
        </w:rPr>
        <w:t>.2026</w:t>
      </w:r>
    </w:p>
    <w:p w14:paraId="2DC188A1" w14:textId="77777777" w:rsidR="00426865" w:rsidRPr="00B53C4F" w:rsidRDefault="00426865">
      <w:pPr>
        <w:rPr>
          <w:rFonts w:asciiTheme="majorBidi" w:hAnsiTheme="majorBidi" w:cstheme="majorBidi"/>
        </w:rPr>
      </w:pPr>
    </w:p>
    <w:p w14:paraId="74A35CEE" w14:textId="77777777" w:rsidR="000E68B1" w:rsidRPr="00B53C4F" w:rsidRDefault="000E68B1">
      <w:pPr>
        <w:rPr>
          <w:rFonts w:asciiTheme="majorBidi" w:hAnsiTheme="majorBidi" w:cstheme="majorBidi"/>
        </w:rPr>
      </w:pPr>
    </w:p>
    <w:p w14:paraId="3A310B80" w14:textId="77777777" w:rsidR="000E68B1" w:rsidRPr="00B53C4F" w:rsidRDefault="000E68B1">
      <w:pPr>
        <w:rPr>
          <w:rFonts w:asciiTheme="majorBidi" w:hAnsiTheme="majorBidi" w:cstheme="majorBidi"/>
        </w:rPr>
      </w:pPr>
    </w:p>
    <w:p w14:paraId="0692FCDA" w14:textId="77777777" w:rsidR="000E68B1" w:rsidRPr="00B53C4F" w:rsidRDefault="000E68B1">
      <w:pPr>
        <w:rPr>
          <w:rFonts w:asciiTheme="majorBidi" w:hAnsiTheme="majorBidi" w:cstheme="majorBidi"/>
        </w:rPr>
      </w:pPr>
    </w:p>
    <w:p w14:paraId="4FFAF862" w14:textId="77777777" w:rsidR="000E68B1" w:rsidRPr="00B53C4F" w:rsidRDefault="000E68B1">
      <w:pPr>
        <w:rPr>
          <w:rFonts w:asciiTheme="majorBidi" w:hAnsiTheme="majorBidi" w:cstheme="majorBidi"/>
        </w:rPr>
      </w:pPr>
    </w:p>
    <w:p w14:paraId="6A17A27D" w14:textId="77777777" w:rsidR="000E68B1" w:rsidRPr="00B53C4F" w:rsidRDefault="000E68B1">
      <w:pPr>
        <w:rPr>
          <w:rFonts w:asciiTheme="majorBidi" w:hAnsiTheme="majorBidi" w:cstheme="majorBidi"/>
        </w:rPr>
      </w:pPr>
    </w:p>
    <w:p w14:paraId="27C17BEA" w14:textId="77777777" w:rsidR="000E68B1" w:rsidRPr="00B53C4F" w:rsidRDefault="000E68B1">
      <w:pPr>
        <w:rPr>
          <w:rFonts w:asciiTheme="majorBidi" w:hAnsiTheme="majorBidi" w:cstheme="majorBidi"/>
        </w:rPr>
      </w:pPr>
    </w:p>
    <w:p w14:paraId="44BB8611" w14:textId="77777777" w:rsidR="000E68B1" w:rsidRPr="00B53C4F" w:rsidRDefault="000E68B1">
      <w:pPr>
        <w:rPr>
          <w:rFonts w:asciiTheme="majorBidi" w:hAnsiTheme="majorBidi" w:cstheme="majorBidi"/>
        </w:rPr>
      </w:pPr>
    </w:p>
    <w:p w14:paraId="69130DA5" w14:textId="77777777" w:rsidR="000E68B1" w:rsidRPr="00B53C4F" w:rsidRDefault="000E68B1">
      <w:pPr>
        <w:rPr>
          <w:rFonts w:asciiTheme="majorBidi" w:hAnsiTheme="majorBidi" w:cstheme="majorBidi"/>
        </w:rPr>
      </w:pPr>
    </w:p>
    <w:p w14:paraId="1AFF5A1F" w14:textId="77777777" w:rsidR="000E68B1" w:rsidRPr="00B53C4F" w:rsidRDefault="000E68B1">
      <w:pPr>
        <w:rPr>
          <w:rFonts w:asciiTheme="majorBidi" w:hAnsiTheme="majorBidi" w:cstheme="majorBidi"/>
        </w:rPr>
      </w:pPr>
    </w:p>
    <w:p w14:paraId="51310F4F" w14:textId="77777777" w:rsidR="000E68B1" w:rsidRPr="00B53C4F" w:rsidRDefault="000E68B1">
      <w:pPr>
        <w:rPr>
          <w:rFonts w:asciiTheme="majorBidi" w:hAnsiTheme="majorBidi" w:cstheme="majorBidi"/>
        </w:rPr>
      </w:pPr>
    </w:p>
    <w:p w14:paraId="62251E71" w14:textId="77777777" w:rsidR="000E68B1" w:rsidRPr="00B53C4F" w:rsidRDefault="000E68B1" w:rsidP="000E68B1">
      <w:pPr>
        <w:spacing w:line="276" w:lineRule="auto"/>
        <w:rPr>
          <w:rFonts w:asciiTheme="majorBidi" w:hAnsiTheme="majorBidi" w:cstheme="majorBidi"/>
          <w:b/>
          <w:bCs/>
          <w:lang w:val="en-US"/>
        </w:rPr>
      </w:pPr>
      <w:r w:rsidRPr="00B53C4F">
        <w:rPr>
          <w:rFonts w:asciiTheme="majorBidi" w:hAnsiTheme="majorBidi" w:cstheme="majorBidi"/>
          <w:b/>
          <w:bCs/>
          <w:lang w:val="en-US"/>
        </w:rPr>
        <w:t>In no more than 500 words</w:t>
      </w:r>
      <w:r w:rsidR="00794642" w:rsidRPr="00B53C4F">
        <w:rPr>
          <w:rFonts w:asciiTheme="majorBidi" w:hAnsiTheme="majorBidi" w:cstheme="majorBidi"/>
          <w:b/>
          <w:bCs/>
          <w:lang w:val="en-US"/>
        </w:rPr>
        <w:t xml:space="preserve"> </w:t>
      </w:r>
      <w:r w:rsidRPr="00B53C4F">
        <w:rPr>
          <w:rFonts w:asciiTheme="majorBidi" w:hAnsiTheme="majorBidi" w:cstheme="majorBidi"/>
          <w:b/>
          <w:bCs/>
          <w:lang w:val="en-US"/>
        </w:rPr>
        <w:t>each and 2-4 references</w:t>
      </w:r>
      <w:r w:rsidR="001674E1" w:rsidRPr="00B53C4F">
        <w:rPr>
          <w:rFonts w:asciiTheme="majorBidi" w:hAnsiTheme="majorBidi" w:cstheme="majorBidi"/>
          <w:b/>
          <w:bCs/>
          <w:lang w:val="en-US"/>
        </w:rPr>
        <w:t>, explain</w:t>
      </w:r>
      <w:r w:rsidRPr="00B53C4F">
        <w:rPr>
          <w:rFonts w:asciiTheme="majorBidi" w:hAnsiTheme="majorBidi" w:cstheme="majorBidi"/>
          <w:b/>
          <w:bCs/>
          <w:lang w:val="en-US"/>
        </w:rPr>
        <w:t>:</w:t>
      </w:r>
    </w:p>
    <w:p w14:paraId="450DBF99" w14:textId="77777777" w:rsidR="001674E1" w:rsidRPr="00B53C4F" w:rsidRDefault="001674E1" w:rsidP="001674E1">
      <w:pPr>
        <w:rPr>
          <w:rFonts w:asciiTheme="majorBidi" w:hAnsiTheme="majorBidi" w:cstheme="majorBidi"/>
          <w:lang w:val="en-US"/>
        </w:rPr>
      </w:pPr>
    </w:p>
    <w:p w14:paraId="3B7C35A9" w14:textId="77777777" w:rsidR="001674E1" w:rsidRPr="00B53C4F" w:rsidRDefault="001674E1" w:rsidP="001674E1">
      <w:pPr>
        <w:pStyle w:val="ListParagraph"/>
        <w:numPr>
          <w:ilvl w:val="0"/>
          <w:numId w:val="9"/>
        </w:numPr>
        <w:rPr>
          <w:rFonts w:asciiTheme="majorBidi" w:hAnsiTheme="majorBidi" w:cstheme="majorBidi"/>
          <w:b/>
          <w:bCs/>
          <w:lang w:val="en-US"/>
        </w:rPr>
      </w:pPr>
      <w:r w:rsidRPr="00B53C4F">
        <w:rPr>
          <w:rFonts w:asciiTheme="majorBidi" w:hAnsiTheme="majorBidi" w:cstheme="majorBidi"/>
          <w:b/>
          <w:bCs/>
          <w:lang w:val="en-US"/>
        </w:rPr>
        <w:t>1- What are the main responsibilities of the Director of Food and Beverage?</w:t>
      </w:r>
    </w:p>
    <w:p w14:paraId="27236F82" w14:textId="77777777" w:rsidR="001674E1" w:rsidRPr="00B53C4F" w:rsidRDefault="001674E1" w:rsidP="001674E1">
      <w:pPr>
        <w:pStyle w:val="ListParagraph"/>
        <w:rPr>
          <w:rFonts w:asciiTheme="majorBidi" w:hAnsiTheme="majorBidi" w:cstheme="majorBidi"/>
          <w:b/>
          <w:bCs/>
          <w:lang w:val="en-US"/>
        </w:rPr>
      </w:pPr>
    </w:p>
    <w:p w14:paraId="1579A346" w14:textId="77777777" w:rsidR="001674E1" w:rsidRPr="00B53C4F" w:rsidRDefault="001674E1" w:rsidP="001674E1">
      <w:pPr>
        <w:pStyle w:val="ListParagraph"/>
        <w:numPr>
          <w:ilvl w:val="0"/>
          <w:numId w:val="9"/>
        </w:numPr>
        <w:rPr>
          <w:rFonts w:asciiTheme="majorBidi" w:hAnsiTheme="majorBidi" w:cstheme="majorBidi"/>
          <w:b/>
          <w:bCs/>
          <w:lang w:val="en-US"/>
        </w:rPr>
      </w:pPr>
      <w:r w:rsidRPr="00B53C4F">
        <w:rPr>
          <w:rFonts w:asciiTheme="majorBidi" w:hAnsiTheme="majorBidi" w:cstheme="majorBidi"/>
          <w:b/>
          <w:bCs/>
          <w:lang w:val="en-US"/>
        </w:rPr>
        <w:t>2- Explain the concept of "right-sizing" in hotel food and beverage operations.</w:t>
      </w:r>
    </w:p>
    <w:p w14:paraId="76796E1F" w14:textId="77777777" w:rsidR="001674E1" w:rsidRPr="00B53C4F" w:rsidRDefault="001674E1" w:rsidP="001674E1">
      <w:pPr>
        <w:rPr>
          <w:rFonts w:asciiTheme="majorBidi" w:hAnsiTheme="majorBidi" w:cstheme="majorBidi"/>
          <w:b/>
          <w:bCs/>
          <w:lang w:val="en-US"/>
        </w:rPr>
      </w:pPr>
    </w:p>
    <w:p w14:paraId="2B829638" w14:textId="77777777" w:rsidR="001674E1" w:rsidRPr="00B53C4F" w:rsidRDefault="001674E1" w:rsidP="001674E1">
      <w:pPr>
        <w:pStyle w:val="ListParagraph"/>
        <w:numPr>
          <w:ilvl w:val="0"/>
          <w:numId w:val="9"/>
        </w:numPr>
        <w:rPr>
          <w:rFonts w:asciiTheme="majorBidi" w:hAnsiTheme="majorBidi" w:cstheme="majorBidi"/>
          <w:b/>
          <w:bCs/>
          <w:lang w:val="en-US"/>
        </w:rPr>
      </w:pPr>
      <w:r w:rsidRPr="00B53C4F">
        <w:rPr>
          <w:rFonts w:asciiTheme="majorBidi" w:hAnsiTheme="majorBidi" w:cstheme="majorBidi"/>
          <w:b/>
          <w:bCs/>
          <w:lang w:val="en-US"/>
        </w:rPr>
        <w:t>3- Compare the following meeting room setups:</w:t>
      </w:r>
    </w:p>
    <w:p w14:paraId="4BC9BF08" w14:textId="77777777" w:rsidR="001674E1" w:rsidRPr="00B53C4F" w:rsidRDefault="001674E1" w:rsidP="001674E1">
      <w:pPr>
        <w:pStyle w:val="ListParagraph"/>
        <w:numPr>
          <w:ilvl w:val="0"/>
          <w:numId w:val="11"/>
        </w:numPr>
        <w:rPr>
          <w:rFonts w:asciiTheme="majorBidi" w:hAnsiTheme="majorBidi" w:cstheme="majorBidi"/>
          <w:lang w:val="en-US"/>
        </w:rPr>
      </w:pPr>
      <w:r w:rsidRPr="00B53C4F">
        <w:rPr>
          <w:rFonts w:asciiTheme="majorBidi" w:hAnsiTheme="majorBidi" w:cstheme="majorBidi"/>
          <w:lang w:val="en-US"/>
        </w:rPr>
        <w:t>Theater Style</w:t>
      </w:r>
    </w:p>
    <w:p w14:paraId="15B263D6" w14:textId="77777777" w:rsidR="001674E1" w:rsidRPr="00B53C4F" w:rsidRDefault="001674E1" w:rsidP="001674E1">
      <w:pPr>
        <w:pStyle w:val="ListParagraph"/>
        <w:numPr>
          <w:ilvl w:val="0"/>
          <w:numId w:val="11"/>
        </w:numPr>
        <w:rPr>
          <w:rFonts w:asciiTheme="majorBidi" w:hAnsiTheme="majorBidi" w:cstheme="majorBidi"/>
          <w:lang w:val="en-US"/>
        </w:rPr>
      </w:pPr>
      <w:r w:rsidRPr="00B53C4F">
        <w:rPr>
          <w:rFonts w:asciiTheme="majorBidi" w:hAnsiTheme="majorBidi" w:cstheme="majorBidi"/>
          <w:lang w:val="en-US"/>
        </w:rPr>
        <w:t>Classroom Style</w:t>
      </w:r>
    </w:p>
    <w:p w14:paraId="77ACB89E" w14:textId="77777777" w:rsidR="001674E1" w:rsidRPr="00B53C4F" w:rsidRDefault="001674E1" w:rsidP="001674E1">
      <w:pPr>
        <w:pStyle w:val="ListParagraph"/>
        <w:numPr>
          <w:ilvl w:val="0"/>
          <w:numId w:val="11"/>
        </w:numPr>
        <w:rPr>
          <w:rFonts w:asciiTheme="majorBidi" w:hAnsiTheme="majorBidi" w:cstheme="majorBidi"/>
          <w:lang w:val="en-US"/>
        </w:rPr>
      </w:pPr>
      <w:r w:rsidRPr="00B53C4F">
        <w:rPr>
          <w:rFonts w:asciiTheme="majorBidi" w:hAnsiTheme="majorBidi" w:cstheme="majorBidi"/>
          <w:lang w:val="en-US"/>
        </w:rPr>
        <w:t>Horseshoe Style</w:t>
      </w:r>
    </w:p>
    <w:p w14:paraId="38338839" w14:textId="77777777" w:rsidR="001674E1" w:rsidRPr="00B53C4F" w:rsidRDefault="001674E1" w:rsidP="001674E1">
      <w:pPr>
        <w:pStyle w:val="ListParagraph"/>
        <w:numPr>
          <w:ilvl w:val="0"/>
          <w:numId w:val="10"/>
        </w:numPr>
        <w:rPr>
          <w:rFonts w:asciiTheme="majorBidi" w:hAnsiTheme="majorBidi" w:cstheme="majorBidi"/>
          <w:b/>
          <w:bCs/>
          <w:lang w:val="en-US"/>
        </w:rPr>
      </w:pPr>
      <w:r w:rsidRPr="00B53C4F">
        <w:rPr>
          <w:rFonts w:asciiTheme="majorBidi" w:hAnsiTheme="majorBidi" w:cstheme="majorBidi"/>
          <w:b/>
          <w:bCs/>
          <w:lang w:val="en-US"/>
        </w:rPr>
        <w:t>Consider:</w:t>
      </w:r>
    </w:p>
    <w:p w14:paraId="2BFDD23E" w14:textId="77777777" w:rsidR="001674E1" w:rsidRPr="00B53C4F" w:rsidRDefault="001674E1" w:rsidP="001674E1">
      <w:pPr>
        <w:pStyle w:val="ListParagraph"/>
        <w:numPr>
          <w:ilvl w:val="0"/>
          <w:numId w:val="12"/>
        </w:numPr>
        <w:rPr>
          <w:rFonts w:asciiTheme="majorBidi" w:hAnsiTheme="majorBidi" w:cstheme="majorBidi"/>
          <w:lang w:val="en-US"/>
        </w:rPr>
      </w:pPr>
      <w:r w:rsidRPr="00B53C4F">
        <w:rPr>
          <w:rFonts w:asciiTheme="majorBidi" w:hAnsiTheme="majorBidi" w:cstheme="majorBidi"/>
          <w:lang w:val="en-US"/>
        </w:rPr>
        <w:t>Seating arrangement</w:t>
      </w:r>
    </w:p>
    <w:p w14:paraId="43775EB4" w14:textId="77777777" w:rsidR="001674E1" w:rsidRPr="00B53C4F" w:rsidRDefault="001674E1" w:rsidP="001674E1">
      <w:pPr>
        <w:pStyle w:val="ListParagraph"/>
        <w:numPr>
          <w:ilvl w:val="0"/>
          <w:numId w:val="12"/>
        </w:numPr>
        <w:rPr>
          <w:rFonts w:asciiTheme="majorBidi" w:hAnsiTheme="majorBidi" w:cstheme="majorBidi"/>
          <w:lang w:val="en-US"/>
        </w:rPr>
      </w:pPr>
      <w:r w:rsidRPr="00B53C4F">
        <w:rPr>
          <w:rFonts w:asciiTheme="majorBidi" w:hAnsiTheme="majorBidi" w:cstheme="majorBidi"/>
          <w:lang w:val="en-US"/>
        </w:rPr>
        <w:t>Advantages</w:t>
      </w:r>
    </w:p>
    <w:p w14:paraId="5578F27C" w14:textId="77777777" w:rsidR="001674E1" w:rsidRPr="00B53C4F" w:rsidRDefault="001674E1" w:rsidP="001674E1">
      <w:pPr>
        <w:pStyle w:val="ListParagraph"/>
        <w:numPr>
          <w:ilvl w:val="0"/>
          <w:numId w:val="12"/>
        </w:numPr>
        <w:rPr>
          <w:rFonts w:asciiTheme="majorBidi" w:hAnsiTheme="majorBidi" w:cstheme="majorBidi"/>
          <w:lang w:val="en-US"/>
        </w:rPr>
      </w:pPr>
      <w:r w:rsidRPr="00B53C4F">
        <w:rPr>
          <w:rFonts w:asciiTheme="majorBidi" w:hAnsiTheme="majorBidi" w:cstheme="majorBidi"/>
          <w:lang w:val="en-US"/>
        </w:rPr>
        <w:t>Typical uses</w:t>
      </w:r>
    </w:p>
    <w:p w14:paraId="1BFB69BF" w14:textId="77777777" w:rsidR="001674E1" w:rsidRPr="00B53C4F" w:rsidRDefault="001674E1" w:rsidP="001674E1">
      <w:pPr>
        <w:pStyle w:val="ListParagraph"/>
        <w:numPr>
          <w:ilvl w:val="0"/>
          <w:numId w:val="12"/>
        </w:numPr>
        <w:rPr>
          <w:rFonts w:asciiTheme="majorBidi" w:hAnsiTheme="majorBidi" w:cstheme="majorBidi"/>
          <w:lang w:val="en-US"/>
        </w:rPr>
      </w:pPr>
      <w:r w:rsidRPr="00B53C4F">
        <w:rPr>
          <w:rFonts w:asciiTheme="majorBidi" w:hAnsiTheme="majorBidi" w:cstheme="majorBidi"/>
          <w:lang w:val="en-US"/>
        </w:rPr>
        <w:t>Space requirements</w:t>
      </w:r>
    </w:p>
    <w:p w14:paraId="72B72EB3" w14:textId="77777777" w:rsidR="00B53C4F" w:rsidRPr="00B53C4F" w:rsidRDefault="00B53C4F" w:rsidP="00B53C4F">
      <w:pPr>
        <w:pStyle w:val="ListParagraph"/>
        <w:ind w:left="0"/>
        <w:rPr>
          <w:rFonts w:asciiTheme="majorBidi" w:hAnsiTheme="majorBidi" w:cstheme="majorBidi"/>
          <w:lang w:val="en-US"/>
        </w:rPr>
      </w:pPr>
    </w:p>
    <w:p w14:paraId="1FCE9542" w14:textId="77777777" w:rsidR="00B53C4F" w:rsidRPr="00B53C4F" w:rsidRDefault="00B53C4F" w:rsidP="00B53C4F">
      <w:pPr>
        <w:pStyle w:val="ListParagraph"/>
        <w:ind w:left="0"/>
        <w:rPr>
          <w:rFonts w:asciiTheme="majorBidi" w:hAnsiTheme="majorBidi" w:cstheme="majorBidi"/>
          <w:lang w:val="en-US"/>
        </w:rPr>
      </w:pPr>
    </w:p>
    <w:p w14:paraId="77D0EAB4" w14:textId="77777777" w:rsidR="00B53C4F" w:rsidRPr="00B53C4F" w:rsidRDefault="00B53C4F" w:rsidP="00B53C4F">
      <w:pPr>
        <w:pStyle w:val="ListParagraph"/>
        <w:ind w:left="0"/>
        <w:rPr>
          <w:rFonts w:asciiTheme="majorBidi" w:hAnsiTheme="majorBidi" w:cstheme="majorBidi"/>
          <w:lang w:val="en-US"/>
        </w:rPr>
      </w:pPr>
    </w:p>
    <w:p w14:paraId="4A77A9D9" w14:textId="77777777" w:rsidR="00B53C4F" w:rsidRPr="00B53C4F" w:rsidRDefault="00B53C4F" w:rsidP="00B53C4F">
      <w:pPr>
        <w:pStyle w:val="ListParagraph"/>
        <w:ind w:left="0"/>
        <w:rPr>
          <w:rFonts w:asciiTheme="majorBidi" w:hAnsiTheme="majorBidi" w:cstheme="majorBidi"/>
          <w:lang w:val="en-US"/>
        </w:rPr>
      </w:pPr>
    </w:p>
    <w:p w14:paraId="1F1D3A56" w14:textId="77777777" w:rsidR="00B53C4F" w:rsidRPr="00B53C4F" w:rsidRDefault="00B53C4F" w:rsidP="00B53C4F">
      <w:pPr>
        <w:pStyle w:val="ListParagraph"/>
        <w:ind w:left="0"/>
        <w:rPr>
          <w:rFonts w:asciiTheme="majorBidi" w:hAnsiTheme="majorBidi" w:cstheme="majorBidi"/>
          <w:lang w:val="en-US"/>
        </w:rPr>
      </w:pPr>
    </w:p>
    <w:p w14:paraId="0B7BBE7B" w14:textId="77777777" w:rsidR="00B53C4F" w:rsidRPr="00B53C4F" w:rsidRDefault="00B53C4F" w:rsidP="00B53C4F">
      <w:pPr>
        <w:pStyle w:val="ListParagraph"/>
        <w:ind w:left="0"/>
        <w:rPr>
          <w:rFonts w:asciiTheme="majorBidi" w:hAnsiTheme="majorBidi" w:cstheme="majorBidi"/>
          <w:lang w:val="en-US"/>
        </w:rPr>
      </w:pPr>
    </w:p>
    <w:p w14:paraId="3466CF61" w14:textId="77777777" w:rsidR="00B53C4F" w:rsidRPr="00B53C4F" w:rsidRDefault="00B53C4F" w:rsidP="00B53C4F">
      <w:pPr>
        <w:pStyle w:val="ListParagraph"/>
        <w:ind w:left="0"/>
        <w:rPr>
          <w:rFonts w:asciiTheme="majorBidi" w:hAnsiTheme="majorBidi" w:cstheme="majorBidi"/>
          <w:lang w:val="en-US"/>
        </w:rPr>
      </w:pPr>
    </w:p>
    <w:p w14:paraId="00FB520C" w14:textId="77777777" w:rsidR="00B53C4F" w:rsidRPr="00B53C4F" w:rsidRDefault="00B53C4F" w:rsidP="00B53C4F">
      <w:pPr>
        <w:pStyle w:val="ListParagraph"/>
        <w:ind w:left="0"/>
        <w:rPr>
          <w:rFonts w:asciiTheme="majorBidi" w:hAnsiTheme="majorBidi" w:cstheme="majorBidi"/>
          <w:lang w:val="en-US"/>
        </w:rPr>
      </w:pPr>
    </w:p>
    <w:p w14:paraId="12AA4521" w14:textId="77777777" w:rsidR="00B53C4F" w:rsidRPr="00B53C4F" w:rsidRDefault="00B53C4F" w:rsidP="00B53C4F">
      <w:pPr>
        <w:pStyle w:val="ListParagraph"/>
        <w:ind w:left="0"/>
        <w:rPr>
          <w:rFonts w:asciiTheme="majorBidi" w:hAnsiTheme="majorBidi" w:cstheme="majorBidi"/>
          <w:lang w:val="en-US"/>
        </w:rPr>
      </w:pPr>
    </w:p>
    <w:p w14:paraId="676D1BFA" w14:textId="77777777" w:rsidR="00B53C4F" w:rsidRPr="00B53C4F" w:rsidRDefault="00B53C4F" w:rsidP="00B53C4F">
      <w:pPr>
        <w:pStyle w:val="ListParagraph"/>
        <w:ind w:left="0"/>
        <w:rPr>
          <w:rFonts w:asciiTheme="majorBidi" w:hAnsiTheme="majorBidi" w:cstheme="majorBidi"/>
          <w:lang w:val="en-US"/>
        </w:rPr>
      </w:pPr>
    </w:p>
    <w:p w14:paraId="5E3661EA" w14:textId="77777777" w:rsidR="00B53C4F" w:rsidRPr="00B53C4F" w:rsidRDefault="00B53C4F" w:rsidP="00B53C4F">
      <w:pPr>
        <w:pStyle w:val="ListParagraph"/>
        <w:ind w:left="0"/>
        <w:rPr>
          <w:rFonts w:asciiTheme="majorBidi" w:hAnsiTheme="majorBidi" w:cstheme="majorBidi"/>
          <w:lang w:val="en-US"/>
        </w:rPr>
      </w:pPr>
    </w:p>
    <w:p w14:paraId="17584DB8" w14:textId="77777777" w:rsidR="00B53C4F" w:rsidRPr="00B53C4F" w:rsidRDefault="00B53C4F" w:rsidP="00B53C4F">
      <w:pPr>
        <w:pStyle w:val="ListParagraph"/>
        <w:ind w:left="0"/>
        <w:rPr>
          <w:rFonts w:asciiTheme="majorBidi" w:hAnsiTheme="majorBidi" w:cstheme="majorBidi"/>
          <w:lang w:val="en-US"/>
        </w:rPr>
      </w:pPr>
    </w:p>
    <w:p w14:paraId="6E7979DC" w14:textId="77777777" w:rsidR="00B53C4F" w:rsidRDefault="00B53C4F" w:rsidP="00B53C4F">
      <w:pPr>
        <w:pStyle w:val="ListParagraph"/>
        <w:ind w:left="0"/>
        <w:rPr>
          <w:rFonts w:asciiTheme="majorBidi" w:hAnsiTheme="majorBidi" w:cstheme="majorBidi"/>
          <w:lang w:val="en-US"/>
        </w:rPr>
      </w:pPr>
    </w:p>
    <w:p w14:paraId="709914E1" w14:textId="77777777" w:rsidR="00B53C4F" w:rsidRDefault="00B53C4F" w:rsidP="00B53C4F">
      <w:pPr>
        <w:pStyle w:val="ListParagraph"/>
        <w:ind w:left="0"/>
        <w:rPr>
          <w:rFonts w:asciiTheme="majorBidi" w:hAnsiTheme="majorBidi" w:cstheme="majorBidi"/>
          <w:lang w:val="en-US"/>
        </w:rPr>
      </w:pPr>
    </w:p>
    <w:p w14:paraId="416DA820" w14:textId="77777777" w:rsidR="00B53C4F" w:rsidRDefault="00B53C4F" w:rsidP="00B53C4F">
      <w:pPr>
        <w:pStyle w:val="ListParagraph"/>
        <w:ind w:left="0"/>
        <w:rPr>
          <w:rFonts w:asciiTheme="majorBidi" w:hAnsiTheme="majorBidi" w:cstheme="majorBidi"/>
          <w:lang w:val="en-US"/>
        </w:rPr>
      </w:pPr>
    </w:p>
    <w:p w14:paraId="3D1209CA" w14:textId="77777777" w:rsidR="00B53C4F" w:rsidRPr="00B53C4F" w:rsidRDefault="00B53C4F" w:rsidP="00B53C4F">
      <w:pPr>
        <w:pStyle w:val="ListParagraph"/>
        <w:ind w:left="0"/>
        <w:rPr>
          <w:rFonts w:asciiTheme="majorBidi" w:hAnsiTheme="majorBidi" w:cstheme="majorBidi"/>
          <w:lang w:val="en-US"/>
        </w:rPr>
      </w:pPr>
    </w:p>
    <w:p w14:paraId="7DEB3195" w14:textId="77777777" w:rsidR="00B53C4F" w:rsidRPr="00B53C4F" w:rsidRDefault="00B53C4F" w:rsidP="00B53C4F">
      <w:pPr>
        <w:pStyle w:val="ListParagraph"/>
        <w:ind w:left="0"/>
        <w:rPr>
          <w:rFonts w:asciiTheme="majorBidi" w:hAnsiTheme="majorBidi" w:cstheme="majorBidi"/>
          <w:lang w:val="en-US"/>
        </w:rPr>
      </w:pPr>
    </w:p>
    <w:p w14:paraId="4340C297" w14:textId="77777777" w:rsidR="00B53C4F" w:rsidRPr="00B53C4F" w:rsidRDefault="00B53C4F" w:rsidP="00B53C4F">
      <w:pPr>
        <w:pStyle w:val="ListParagraph"/>
        <w:ind w:left="0"/>
        <w:rPr>
          <w:rFonts w:asciiTheme="majorBidi" w:hAnsiTheme="majorBidi" w:cstheme="majorBidi"/>
          <w:lang w:val="en-US"/>
        </w:rPr>
      </w:pPr>
    </w:p>
    <w:p w14:paraId="1852AA28" w14:textId="77777777" w:rsidR="00B53C4F" w:rsidRPr="00B53C4F" w:rsidRDefault="00B53C4F" w:rsidP="00B53C4F">
      <w:pPr>
        <w:pStyle w:val="ListParagraph"/>
        <w:ind w:left="0"/>
        <w:rPr>
          <w:rFonts w:asciiTheme="majorBidi" w:hAnsiTheme="majorBidi" w:cstheme="majorBidi"/>
          <w:lang w:val="en-US"/>
        </w:rPr>
      </w:pPr>
    </w:p>
    <w:p w14:paraId="7FFD74C1" w14:textId="77777777" w:rsidR="00B53C4F" w:rsidRPr="00B53C4F" w:rsidRDefault="00B53C4F" w:rsidP="00B53C4F">
      <w:pPr>
        <w:pStyle w:val="ListParagraph"/>
        <w:rPr>
          <w:rFonts w:asciiTheme="majorBidi" w:hAnsiTheme="majorBidi" w:cstheme="majorBidi"/>
          <w:b/>
          <w:bCs/>
          <w:lang w:val="en-GB"/>
        </w:rPr>
      </w:pPr>
      <w:r w:rsidRPr="00B53C4F">
        <w:rPr>
          <w:rFonts w:asciiTheme="majorBidi" w:hAnsiTheme="majorBidi" w:cstheme="majorBidi"/>
          <w:b/>
          <w:bCs/>
          <w:lang w:val="en-GB"/>
        </w:rPr>
        <w:lastRenderedPageBreak/>
        <w:t>1. What are the Main Responsibilities of the Director of Food and Beverage?</w:t>
      </w:r>
    </w:p>
    <w:p w14:paraId="39750C7F"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The Director of Food and Beverage (F&amp;B Director) </w:t>
      </w:r>
      <w:proofErr w:type="gramStart"/>
      <w:r w:rsidRPr="00B53C4F">
        <w:rPr>
          <w:rFonts w:asciiTheme="majorBidi" w:hAnsiTheme="majorBidi" w:cstheme="majorBidi"/>
          <w:lang w:val="en-GB"/>
        </w:rPr>
        <w:t>is</w:t>
      </w:r>
      <w:proofErr w:type="gramEnd"/>
      <w:r w:rsidRPr="00B53C4F">
        <w:rPr>
          <w:rFonts w:asciiTheme="majorBidi" w:hAnsiTheme="majorBidi" w:cstheme="majorBidi"/>
          <w:lang w:val="en-GB"/>
        </w:rPr>
        <w:t xml:space="preserve"> a senior manager responsible for overseeing all food and beverage operations within a hotel. These operations may include restaurants, bars, room service, banquet facilities, catering services, and special events. The primary objective of the F&amp;B Director is to ensure high-quality guest experiences while maximizing profitability and maintaining operational efficiency.</w:t>
      </w:r>
    </w:p>
    <w:p w14:paraId="5A6D2BB1"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One of the key responsibilities is </w:t>
      </w:r>
      <w:r w:rsidRPr="00B53C4F">
        <w:rPr>
          <w:rFonts w:asciiTheme="majorBidi" w:hAnsiTheme="majorBidi" w:cstheme="majorBidi"/>
          <w:b/>
          <w:bCs/>
          <w:lang w:val="en-GB"/>
        </w:rPr>
        <w:t>financial management</w:t>
      </w:r>
      <w:r w:rsidRPr="00B53C4F">
        <w:rPr>
          <w:rFonts w:asciiTheme="majorBidi" w:hAnsiTheme="majorBidi" w:cstheme="majorBidi"/>
          <w:lang w:val="en-GB"/>
        </w:rPr>
        <w:t xml:space="preserve">. The F&amp;B Director prepares budgets, forecasts revenue, controls costs, and monitors departmental performance. Food costs, beverage costs, and </w:t>
      </w:r>
      <w:proofErr w:type="spellStart"/>
      <w:r w:rsidRPr="00B53C4F">
        <w:rPr>
          <w:rFonts w:asciiTheme="majorBidi" w:hAnsiTheme="majorBidi" w:cstheme="majorBidi"/>
          <w:lang w:val="en-GB"/>
        </w:rPr>
        <w:t>labor</w:t>
      </w:r>
      <w:proofErr w:type="spellEnd"/>
      <w:r w:rsidRPr="00B53C4F">
        <w:rPr>
          <w:rFonts w:asciiTheme="majorBidi" w:hAnsiTheme="majorBidi" w:cstheme="majorBidi"/>
          <w:lang w:val="en-GB"/>
        </w:rPr>
        <w:t xml:space="preserve"> expenses must be carefully managed to ensure profitability. Effective inventory management and purchasing strategies help reduce waste and improve financial performance.</w:t>
      </w:r>
    </w:p>
    <w:p w14:paraId="2932110D"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Another major responsibility is </w:t>
      </w:r>
      <w:r w:rsidRPr="00B53C4F">
        <w:rPr>
          <w:rFonts w:asciiTheme="majorBidi" w:hAnsiTheme="majorBidi" w:cstheme="majorBidi"/>
          <w:b/>
          <w:bCs/>
          <w:lang w:val="en-GB"/>
        </w:rPr>
        <w:t>staff management and leadership</w:t>
      </w:r>
      <w:r w:rsidRPr="00B53C4F">
        <w:rPr>
          <w:rFonts w:asciiTheme="majorBidi" w:hAnsiTheme="majorBidi" w:cstheme="majorBidi"/>
          <w:lang w:val="en-GB"/>
        </w:rPr>
        <w:t>. The Director recruits, trains, supervises, and evaluates employees working in food and beverage outlets. Employee motivation and professional development are important because service quality directly influences guest satisfaction. The Director also ensures that employees comply with food safety regulations, hygiene standards, and company policies.</w:t>
      </w:r>
    </w:p>
    <w:p w14:paraId="00C4DAD8"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The F&amp;B Director is responsible for </w:t>
      </w:r>
      <w:r w:rsidRPr="00B53C4F">
        <w:rPr>
          <w:rFonts w:asciiTheme="majorBidi" w:hAnsiTheme="majorBidi" w:cstheme="majorBidi"/>
          <w:b/>
          <w:bCs/>
          <w:lang w:val="en-GB"/>
        </w:rPr>
        <w:t>maintaining quality standards</w:t>
      </w:r>
      <w:r w:rsidRPr="00B53C4F">
        <w:rPr>
          <w:rFonts w:asciiTheme="majorBidi" w:hAnsiTheme="majorBidi" w:cstheme="majorBidi"/>
          <w:lang w:val="en-GB"/>
        </w:rPr>
        <w:t xml:space="preserve"> in food preparation, beverage service, and customer service. This includes developing menus, monitoring product quality, handling guest complaints, and ensuring consistency across all outlets. Guest feedback is regularly reviewed to identify areas for improvement.</w:t>
      </w:r>
    </w:p>
    <w:p w14:paraId="1B0C5003"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In addition, the Director coordinates with other hotel departments such as sales, marketing, housekeeping, and front office. Collaboration is essential when organizing conferences, weddings, banquets, and corporate events. The Director also develops promotional activities and marketing strategies to attract customers and increase revenue.</w:t>
      </w:r>
    </w:p>
    <w:p w14:paraId="426637C4"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Finally, the F&amp;B Director ensures compliance with health, safety, and legal requirements. This includes maintaining sanitation standards, implementing food safety procedures, and following local regulations related to hospitality operations. Through effective leadership and planning, the Director contributes significantly to the hotel's reputation, guest satisfaction, and financial success.</w:t>
      </w:r>
    </w:p>
    <w:p w14:paraId="667633C7" w14:textId="2065E27D" w:rsidR="00B53C4F" w:rsidRPr="00B53C4F" w:rsidRDefault="00B53C4F" w:rsidP="00B53C4F">
      <w:pPr>
        <w:pStyle w:val="ListParagraph"/>
        <w:rPr>
          <w:rFonts w:asciiTheme="majorBidi" w:hAnsiTheme="majorBidi" w:cstheme="majorBidi"/>
          <w:lang w:val="en-GB"/>
        </w:rPr>
      </w:pPr>
    </w:p>
    <w:p w14:paraId="5FAD4C15" w14:textId="77777777" w:rsidR="00B53C4F" w:rsidRPr="00B53C4F" w:rsidRDefault="00B53C4F" w:rsidP="00B53C4F">
      <w:pPr>
        <w:pStyle w:val="ListParagraph"/>
        <w:rPr>
          <w:rFonts w:asciiTheme="majorBidi" w:hAnsiTheme="majorBidi" w:cstheme="majorBidi"/>
          <w:b/>
          <w:bCs/>
          <w:lang w:val="en-GB"/>
        </w:rPr>
      </w:pPr>
      <w:r w:rsidRPr="00B53C4F">
        <w:rPr>
          <w:rFonts w:asciiTheme="majorBidi" w:hAnsiTheme="majorBidi" w:cstheme="majorBidi"/>
          <w:b/>
          <w:bCs/>
          <w:lang w:val="en-GB"/>
        </w:rPr>
        <w:t>2. Explain the Concept of “Right-Sizing” in Hotel Food and Beverage Operations</w:t>
      </w:r>
    </w:p>
    <w:p w14:paraId="164CA5F6"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“Right-sizing” in hotel food and beverage operations refers to aligning resources, staffing levels, inventory, menu offerings, and operational capacity with actual customer demand. The purpose is to maximize efficiency and profitability while maintaining high standards of service and guest satisfaction.</w:t>
      </w:r>
    </w:p>
    <w:p w14:paraId="15878A2A"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In hospitality businesses, demand often changes according to seasons, occupancy rates, events, and customer preferences. Right-sizing helps managers adjust resources accordingly. For example, during low-demand periods, staffing levels can be reduced to control </w:t>
      </w:r>
      <w:proofErr w:type="spellStart"/>
      <w:r w:rsidRPr="00B53C4F">
        <w:rPr>
          <w:rFonts w:asciiTheme="majorBidi" w:hAnsiTheme="majorBidi" w:cstheme="majorBidi"/>
          <w:lang w:val="en-GB"/>
        </w:rPr>
        <w:t>labor</w:t>
      </w:r>
      <w:proofErr w:type="spellEnd"/>
      <w:r w:rsidRPr="00B53C4F">
        <w:rPr>
          <w:rFonts w:asciiTheme="majorBidi" w:hAnsiTheme="majorBidi" w:cstheme="majorBidi"/>
          <w:lang w:val="en-GB"/>
        </w:rPr>
        <w:t xml:space="preserve"> costs. During peak seasons, additional staff may be scheduled to ensure efficient service and customer satisfaction.</w:t>
      </w:r>
    </w:p>
    <w:p w14:paraId="0BCC1ECA"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A significant aspect of </w:t>
      </w:r>
      <w:proofErr w:type="gramStart"/>
      <w:r w:rsidRPr="00B53C4F">
        <w:rPr>
          <w:rFonts w:asciiTheme="majorBidi" w:hAnsiTheme="majorBidi" w:cstheme="majorBidi"/>
          <w:lang w:val="en-GB"/>
        </w:rPr>
        <w:t>right-sizing</w:t>
      </w:r>
      <w:proofErr w:type="gramEnd"/>
      <w:r w:rsidRPr="00B53C4F">
        <w:rPr>
          <w:rFonts w:asciiTheme="majorBidi" w:hAnsiTheme="majorBidi" w:cstheme="majorBidi"/>
          <w:lang w:val="en-GB"/>
        </w:rPr>
        <w:t xml:space="preserve"> is </w:t>
      </w:r>
      <w:r w:rsidRPr="00B53C4F">
        <w:rPr>
          <w:rFonts w:asciiTheme="majorBidi" w:hAnsiTheme="majorBidi" w:cstheme="majorBidi"/>
          <w:b/>
          <w:bCs/>
          <w:lang w:val="en-GB"/>
        </w:rPr>
        <w:t>inventory management</w:t>
      </w:r>
      <w:r w:rsidRPr="00B53C4F">
        <w:rPr>
          <w:rFonts w:asciiTheme="majorBidi" w:hAnsiTheme="majorBidi" w:cstheme="majorBidi"/>
          <w:lang w:val="en-GB"/>
        </w:rPr>
        <w:t xml:space="preserve">. Hotels </w:t>
      </w:r>
      <w:proofErr w:type="spellStart"/>
      <w:r w:rsidRPr="00B53C4F">
        <w:rPr>
          <w:rFonts w:asciiTheme="majorBidi" w:hAnsiTheme="majorBidi" w:cstheme="majorBidi"/>
          <w:lang w:val="en-GB"/>
        </w:rPr>
        <w:t>analyze</w:t>
      </w:r>
      <w:proofErr w:type="spellEnd"/>
      <w:r w:rsidRPr="00B53C4F">
        <w:rPr>
          <w:rFonts w:asciiTheme="majorBidi" w:hAnsiTheme="majorBidi" w:cstheme="majorBidi"/>
          <w:lang w:val="en-GB"/>
        </w:rPr>
        <w:t xml:space="preserve"> purchasing patterns and consumption rates to avoid overstocking or understocking. Excess inventory increases storage costs and food waste, while insufficient inventory can result in service disruptions. Effective forecasting helps maintain optimal stock levels.</w:t>
      </w:r>
    </w:p>
    <w:p w14:paraId="30C5E155"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lastRenderedPageBreak/>
        <w:t>Menu engineering also supports right-sizing. Managers evaluate menu items based on popularity and profitability. Low-performing dishes may be removed, while high-demand and profitable items are emphasized. This process helps reduce waste, simplify operations, and improve revenue generation.</w:t>
      </w:r>
    </w:p>
    <w:p w14:paraId="32624B54"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Technology plays an important role in </w:t>
      </w:r>
      <w:proofErr w:type="gramStart"/>
      <w:r w:rsidRPr="00B53C4F">
        <w:rPr>
          <w:rFonts w:asciiTheme="majorBidi" w:hAnsiTheme="majorBidi" w:cstheme="majorBidi"/>
          <w:lang w:val="en-GB"/>
        </w:rPr>
        <w:t>right-sizing</w:t>
      </w:r>
      <w:proofErr w:type="gramEnd"/>
      <w:r w:rsidRPr="00B53C4F">
        <w:rPr>
          <w:rFonts w:asciiTheme="majorBidi" w:hAnsiTheme="majorBidi" w:cstheme="majorBidi"/>
          <w:lang w:val="en-GB"/>
        </w:rPr>
        <w:t>. Modern hotel management systems provide real-time information about sales, customer preferences, occupancy rates, and inventory levels. Managers use this information to make informed decisions regarding staffing, purchasing, and production planning.</w:t>
      </w:r>
    </w:p>
    <w:p w14:paraId="7FF099FF"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The benefits of </w:t>
      </w:r>
      <w:proofErr w:type="gramStart"/>
      <w:r w:rsidRPr="00B53C4F">
        <w:rPr>
          <w:rFonts w:asciiTheme="majorBidi" w:hAnsiTheme="majorBidi" w:cstheme="majorBidi"/>
          <w:lang w:val="en-GB"/>
        </w:rPr>
        <w:t>right-sizing</w:t>
      </w:r>
      <w:proofErr w:type="gramEnd"/>
      <w:r w:rsidRPr="00B53C4F">
        <w:rPr>
          <w:rFonts w:asciiTheme="majorBidi" w:hAnsiTheme="majorBidi" w:cstheme="majorBidi"/>
          <w:lang w:val="en-GB"/>
        </w:rPr>
        <w:t xml:space="preserve"> include reduced operational costs, improved productivity, better resource utilization, lower food waste, and increased profitability. However, hotels must avoid excessive cost-cutting measures because insufficient staffing or limited menu choices may negatively affect service quality and guest satisfaction.</w:t>
      </w:r>
    </w:p>
    <w:p w14:paraId="4C50CC96"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Therefore, right-sizing is a strategic management approach that balances operational efficiency with customer service excellence, ensuring that hotel food and beverage operations remain competitive and profitable.</w:t>
      </w:r>
    </w:p>
    <w:p w14:paraId="52C5878F" w14:textId="7FAE94CC" w:rsidR="00B53C4F" w:rsidRPr="00B53C4F" w:rsidRDefault="00B53C4F" w:rsidP="00B53C4F">
      <w:pPr>
        <w:pStyle w:val="ListParagraph"/>
        <w:rPr>
          <w:rFonts w:asciiTheme="majorBidi" w:hAnsiTheme="majorBidi" w:cstheme="majorBidi"/>
          <w:lang w:val="en-GB"/>
        </w:rPr>
      </w:pPr>
    </w:p>
    <w:p w14:paraId="7EEE5675" w14:textId="77777777" w:rsidR="00B53C4F" w:rsidRPr="00B53C4F" w:rsidRDefault="00B53C4F" w:rsidP="00B53C4F">
      <w:pPr>
        <w:pStyle w:val="ListParagraph"/>
        <w:rPr>
          <w:rFonts w:asciiTheme="majorBidi" w:hAnsiTheme="majorBidi" w:cstheme="majorBidi"/>
          <w:b/>
          <w:bCs/>
          <w:lang w:val="en-GB"/>
        </w:rPr>
      </w:pPr>
      <w:r w:rsidRPr="00B53C4F">
        <w:rPr>
          <w:rFonts w:asciiTheme="majorBidi" w:hAnsiTheme="majorBidi" w:cstheme="majorBidi"/>
          <w:b/>
          <w:bCs/>
          <w:lang w:val="en-GB"/>
        </w:rPr>
        <w:t>3. Compare the Following Meeting Room Setups</w:t>
      </w:r>
    </w:p>
    <w:p w14:paraId="1877BAB8"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Meeting room setup selection depends on the event's objectives, audience size, interaction level, and available space. Three commonly used arrangements are </w:t>
      </w:r>
      <w:proofErr w:type="spellStart"/>
      <w:r w:rsidRPr="00B53C4F">
        <w:rPr>
          <w:rFonts w:asciiTheme="majorBidi" w:hAnsiTheme="majorBidi" w:cstheme="majorBidi"/>
          <w:lang w:val="en-GB"/>
        </w:rPr>
        <w:t>Theater</w:t>
      </w:r>
      <w:proofErr w:type="spellEnd"/>
      <w:r w:rsidRPr="00B53C4F">
        <w:rPr>
          <w:rFonts w:asciiTheme="majorBidi" w:hAnsiTheme="majorBidi" w:cstheme="majorBidi"/>
          <w:lang w:val="en-GB"/>
        </w:rPr>
        <w:t xml:space="preserve"> Style, Classroom Style, and Horseshoe Style.</w:t>
      </w:r>
    </w:p>
    <w:p w14:paraId="4442F431" w14:textId="77777777" w:rsidR="00B53C4F" w:rsidRPr="00B53C4F" w:rsidRDefault="00B53C4F" w:rsidP="00B53C4F">
      <w:pPr>
        <w:pStyle w:val="ListParagraph"/>
        <w:rPr>
          <w:rFonts w:asciiTheme="majorBidi" w:hAnsiTheme="majorBidi" w:cstheme="majorBidi"/>
          <w:lang w:val="en-GB"/>
        </w:rPr>
      </w:pPr>
      <w:proofErr w:type="spellStart"/>
      <w:r w:rsidRPr="00B53C4F">
        <w:rPr>
          <w:rFonts w:asciiTheme="majorBidi" w:hAnsiTheme="majorBidi" w:cstheme="majorBidi"/>
          <w:b/>
          <w:bCs/>
          <w:lang w:val="en-GB"/>
        </w:rPr>
        <w:t>Theater</w:t>
      </w:r>
      <w:proofErr w:type="spellEnd"/>
      <w:r w:rsidRPr="00B53C4F">
        <w:rPr>
          <w:rFonts w:asciiTheme="majorBidi" w:hAnsiTheme="majorBidi" w:cstheme="majorBidi"/>
          <w:b/>
          <w:bCs/>
          <w:lang w:val="en-GB"/>
        </w:rPr>
        <w:t xml:space="preserve"> Style</w:t>
      </w:r>
      <w:r w:rsidRPr="00B53C4F">
        <w:rPr>
          <w:rFonts w:asciiTheme="majorBidi" w:hAnsiTheme="majorBidi" w:cstheme="majorBidi"/>
          <w:lang w:val="en-GB"/>
        </w:rPr>
        <w:t xml:space="preserve"> consists of chairs arranged in rows facing a stage, screen, or speaker. This layout maximizes seating capacity and is ideal for conferences, seminars, presentations, and keynote speeches. Since tables are not used, it requires the least amount of space per participant. However, attendee interaction is </w:t>
      </w:r>
      <w:proofErr w:type="gramStart"/>
      <w:r w:rsidRPr="00B53C4F">
        <w:rPr>
          <w:rFonts w:asciiTheme="majorBidi" w:hAnsiTheme="majorBidi" w:cstheme="majorBidi"/>
          <w:lang w:val="en-GB"/>
        </w:rPr>
        <w:t>limited, and</w:t>
      </w:r>
      <w:proofErr w:type="gramEnd"/>
      <w:r w:rsidRPr="00B53C4F">
        <w:rPr>
          <w:rFonts w:asciiTheme="majorBidi" w:hAnsiTheme="majorBidi" w:cstheme="majorBidi"/>
          <w:lang w:val="en-GB"/>
        </w:rPr>
        <w:t xml:space="preserve"> note-taking can be difficult.</w:t>
      </w:r>
    </w:p>
    <w:p w14:paraId="579EE35A"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b/>
          <w:bCs/>
          <w:lang w:val="en-GB"/>
        </w:rPr>
        <w:t>Classroom Style</w:t>
      </w:r>
      <w:r w:rsidRPr="00B53C4F">
        <w:rPr>
          <w:rFonts w:asciiTheme="majorBidi" w:hAnsiTheme="majorBidi" w:cstheme="majorBidi"/>
          <w:lang w:val="en-GB"/>
        </w:rPr>
        <w:t xml:space="preserve"> includes rows of tables and chairs facing the presenter. This arrangement allows participants to take notes, use laptops, and engage in training activities. It is commonly used for workshops, training sessions, and educational programs. While it supports learning more effectively than </w:t>
      </w:r>
      <w:proofErr w:type="spellStart"/>
      <w:r w:rsidRPr="00B53C4F">
        <w:rPr>
          <w:rFonts w:asciiTheme="majorBidi" w:hAnsiTheme="majorBidi" w:cstheme="majorBidi"/>
          <w:lang w:val="en-GB"/>
        </w:rPr>
        <w:t>theater</w:t>
      </w:r>
      <w:proofErr w:type="spellEnd"/>
      <w:r w:rsidRPr="00B53C4F">
        <w:rPr>
          <w:rFonts w:asciiTheme="majorBidi" w:hAnsiTheme="majorBidi" w:cstheme="majorBidi"/>
          <w:lang w:val="en-GB"/>
        </w:rPr>
        <w:t xml:space="preserve"> style, it requires more floor space due to the presence of tables and offers only moderate participant interaction.</w:t>
      </w:r>
    </w:p>
    <w:p w14:paraId="0584CE96"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b/>
          <w:bCs/>
          <w:lang w:val="en-GB"/>
        </w:rPr>
        <w:t>Horseshoe Style</w:t>
      </w:r>
      <w:r w:rsidRPr="00B53C4F">
        <w:rPr>
          <w:rFonts w:asciiTheme="majorBidi" w:hAnsiTheme="majorBidi" w:cstheme="majorBidi"/>
          <w:lang w:val="en-GB"/>
        </w:rPr>
        <w:t xml:space="preserve"> features tables arranged in a U-shape with participants seated around the outside. The open </w:t>
      </w:r>
      <w:proofErr w:type="spellStart"/>
      <w:r w:rsidRPr="00B53C4F">
        <w:rPr>
          <w:rFonts w:asciiTheme="majorBidi" w:hAnsiTheme="majorBidi" w:cstheme="majorBidi"/>
          <w:lang w:val="en-GB"/>
        </w:rPr>
        <w:t>center</w:t>
      </w:r>
      <w:proofErr w:type="spellEnd"/>
      <w:r w:rsidRPr="00B53C4F">
        <w:rPr>
          <w:rFonts w:asciiTheme="majorBidi" w:hAnsiTheme="majorBidi" w:cstheme="majorBidi"/>
          <w:lang w:val="en-GB"/>
        </w:rPr>
        <w:t xml:space="preserve"> allows the presenter to move freely and engage with attendees. This setup encourages communication, discussion, and collaboration among participants. It is commonly used for board meetings, management meetings, workshops, and strategy sessions. However, it accommodates fewer participants and requires the largest amount of floor space.</w:t>
      </w:r>
    </w:p>
    <w:p w14:paraId="52F610A1"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In terms of space requirements, </w:t>
      </w:r>
      <w:proofErr w:type="spellStart"/>
      <w:r w:rsidRPr="00B53C4F">
        <w:rPr>
          <w:rFonts w:asciiTheme="majorBidi" w:hAnsiTheme="majorBidi" w:cstheme="majorBidi"/>
          <w:lang w:val="en-GB"/>
        </w:rPr>
        <w:t>Theater</w:t>
      </w:r>
      <w:proofErr w:type="spellEnd"/>
      <w:r w:rsidRPr="00B53C4F">
        <w:rPr>
          <w:rFonts w:asciiTheme="majorBidi" w:hAnsiTheme="majorBidi" w:cstheme="majorBidi"/>
          <w:lang w:val="en-GB"/>
        </w:rPr>
        <w:t xml:space="preserve"> Style is the most efficient, Classroom Style requires moderate space, and Horseshoe Style requires the most space. Regarding interaction, </w:t>
      </w:r>
      <w:proofErr w:type="spellStart"/>
      <w:r w:rsidRPr="00B53C4F">
        <w:rPr>
          <w:rFonts w:asciiTheme="majorBidi" w:hAnsiTheme="majorBidi" w:cstheme="majorBidi"/>
          <w:lang w:val="en-GB"/>
        </w:rPr>
        <w:t>Theater</w:t>
      </w:r>
      <w:proofErr w:type="spellEnd"/>
      <w:r w:rsidRPr="00B53C4F">
        <w:rPr>
          <w:rFonts w:asciiTheme="majorBidi" w:hAnsiTheme="majorBidi" w:cstheme="majorBidi"/>
          <w:lang w:val="en-GB"/>
        </w:rPr>
        <w:t xml:space="preserve"> Style offers the least interaction, Classroom Style provides moderate interaction, and Horseshoe Style promotes the highest level of participant engagement. The appropriate choice depends on the goals of the meeting and the desired level of audience participation.</w:t>
      </w:r>
    </w:p>
    <w:p w14:paraId="44E8DCE9" w14:textId="678F4992" w:rsidR="00B53C4F" w:rsidRDefault="00B53C4F" w:rsidP="00B53C4F">
      <w:pPr>
        <w:pStyle w:val="ListParagraph"/>
        <w:rPr>
          <w:rFonts w:asciiTheme="majorBidi" w:hAnsiTheme="majorBidi" w:cstheme="majorBidi"/>
          <w:lang w:val="en-GB"/>
        </w:rPr>
      </w:pPr>
    </w:p>
    <w:p w14:paraId="58F72999" w14:textId="77777777" w:rsidR="00B53C4F" w:rsidRDefault="00B53C4F" w:rsidP="00B53C4F">
      <w:pPr>
        <w:pStyle w:val="ListParagraph"/>
        <w:rPr>
          <w:rFonts w:asciiTheme="majorBidi" w:hAnsiTheme="majorBidi" w:cstheme="majorBidi"/>
          <w:lang w:val="en-GB"/>
        </w:rPr>
      </w:pPr>
    </w:p>
    <w:p w14:paraId="309E810C" w14:textId="77777777" w:rsidR="00B53C4F" w:rsidRDefault="00B53C4F" w:rsidP="00B53C4F">
      <w:pPr>
        <w:pStyle w:val="ListParagraph"/>
        <w:rPr>
          <w:rFonts w:asciiTheme="majorBidi" w:hAnsiTheme="majorBidi" w:cstheme="majorBidi"/>
          <w:lang w:val="en-GB"/>
        </w:rPr>
      </w:pPr>
    </w:p>
    <w:p w14:paraId="096DF33A" w14:textId="77777777" w:rsidR="00B53C4F" w:rsidRDefault="00B53C4F" w:rsidP="00B53C4F">
      <w:pPr>
        <w:pStyle w:val="ListParagraph"/>
        <w:rPr>
          <w:rFonts w:asciiTheme="majorBidi" w:hAnsiTheme="majorBidi" w:cstheme="majorBidi"/>
          <w:lang w:val="en-GB"/>
        </w:rPr>
      </w:pPr>
    </w:p>
    <w:p w14:paraId="7D0187FB" w14:textId="77777777" w:rsidR="00B53C4F" w:rsidRDefault="00B53C4F" w:rsidP="00B53C4F">
      <w:pPr>
        <w:pStyle w:val="ListParagraph"/>
        <w:rPr>
          <w:rFonts w:asciiTheme="majorBidi" w:hAnsiTheme="majorBidi" w:cstheme="majorBidi"/>
          <w:lang w:val="en-GB"/>
        </w:rPr>
      </w:pPr>
    </w:p>
    <w:p w14:paraId="7D7D08CC" w14:textId="77777777" w:rsidR="00B53C4F" w:rsidRPr="00B53C4F" w:rsidRDefault="00B53C4F" w:rsidP="00B53C4F">
      <w:pPr>
        <w:pStyle w:val="ListParagraph"/>
        <w:rPr>
          <w:rFonts w:asciiTheme="majorBidi" w:hAnsiTheme="majorBidi" w:cstheme="majorBidi"/>
          <w:lang w:val="en-GB"/>
        </w:rPr>
      </w:pPr>
    </w:p>
    <w:p w14:paraId="3308F025" w14:textId="77777777" w:rsidR="00B53C4F" w:rsidRPr="00B53C4F" w:rsidRDefault="00B53C4F" w:rsidP="00B53C4F">
      <w:pPr>
        <w:pStyle w:val="ListParagraph"/>
        <w:rPr>
          <w:rFonts w:asciiTheme="majorBidi" w:hAnsiTheme="majorBidi" w:cstheme="majorBidi"/>
          <w:lang w:val="en-GB"/>
        </w:rPr>
      </w:pPr>
    </w:p>
    <w:p w14:paraId="346FAA1E" w14:textId="77777777" w:rsidR="00B53C4F" w:rsidRPr="00B53C4F" w:rsidRDefault="00B53C4F" w:rsidP="00B53C4F">
      <w:pPr>
        <w:pStyle w:val="ListParagraph"/>
        <w:rPr>
          <w:rFonts w:asciiTheme="majorBidi" w:hAnsiTheme="majorBidi" w:cstheme="majorBidi"/>
          <w:b/>
          <w:bCs/>
          <w:lang w:val="en-GB"/>
        </w:rPr>
      </w:pPr>
      <w:r w:rsidRPr="00B53C4F">
        <w:rPr>
          <w:rFonts w:asciiTheme="majorBidi" w:hAnsiTheme="majorBidi" w:cstheme="majorBidi"/>
          <w:b/>
          <w:bCs/>
          <w:lang w:val="en-GB"/>
        </w:rPr>
        <w:lastRenderedPageBreak/>
        <w:t>References</w:t>
      </w:r>
    </w:p>
    <w:p w14:paraId="3ADE01B6"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Dopson, L. R., &amp; Hayes, D. K. (2019). </w:t>
      </w:r>
      <w:r w:rsidRPr="00B53C4F">
        <w:rPr>
          <w:rFonts w:asciiTheme="majorBidi" w:hAnsiTheme="majorBidi" w:cstheme="majorBidi"/>
          <w:i/>
          <w:iCs/>
          <w:lang w:val="en-GB"/>
        </w:rPr>
        <w:t>Food and Beverage Cost Control</w:t>
      </w:r>
      <w:r w:rsidRPr="00B53C4F">
        <w:rPr>
          <w:rFonts w:asciiTheme="majorBidi" w:hAnsiTheme="majorBidi" w:cstheme="majorBidi"/>
          <w:lang w:val="en-GB"/>
        </w:rPr>
        <w:t xml:space="preserve"> (7th ed.). Wiley.</w:t>
      </w:r>
    </w:p>
    <w:p w14:paraId="71F48186"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Hayes, D. K., </w:t>
      </w:r>
      <w:proofErr w:type="spellStart"/>
      <w:r w:rsidRPr="00B53C4F">
        <w:rPr>
          <w:rFonts w:asciiTheme="majorBidi" w:hAnsiTheme="majorBidi" w:cstheme="majorBidi"/>
          <w:lang w:val="en-GB"/>
        </w:rPr>
        <w:t>Ninemeier</w:t>
      </w:r>
      <w:proofErr w:type="spellEnd"/>
      <w:r w:rsidRPr="00B53C4F">
        <w:rPr>
          <w:rFonts w:asciiTheme="majorBidi" w:hAnsiTheme="majorBidi" w:cstheme="majorBidi"/>
          <w:lang w:val="en-GB"/>
        </w:rPr>
        <w:t xml:space="preserve">, J. D., &amp; Miller, A. A. (2021). </w:t>
      </w:r>
      <w:r w:rsidRPr="00B53C4F">
        <w:rPr>
          <w:rFonts w:asciiTheme="majorBidi" w:hAnsiTheme="majorBidi" w:cstheme="majorBidi"/>
          <w:i/>
          <w:iCs/>
          <w:lang w:val="en-GB"/>
        </w:rPr>
        <w:t>Restaurant Operations Management</w:t>
      </w:r>
      <w:r w:rsidRPr="00B53C4F">
        <w:rPr>
          <w:rFonts w:asciiTheme="majorBidi" w:hAnsiTheme="majorBidi" w:cstheme="majorBidi"/>
          <w:lang w:val="en-GB"/>
        </w:rPr>
        <w:t>. Pearson.</w:t>
      </w:r>
    </w:p>
    <w:p w14:paraId="4C19ECC9"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Jones, P., &amp; Lockwood, A. (2004). </w:t>
      </w:r>
      <w:r w:rsidRPr="00B53C4F">
        <w:rPr>
          <w:rFonts w:asciiTheme="majorBidi" w:hAnsiTheme="majorBidi" w:cstheme="majorBidi"/>
          <w:i/>
          <w:iCs/>
          <w:lang w:val="en-GB"/>
        </w:rPr>
        <w:t>The Management of Hotel Operations</w:t>
      </w:r>
      <w:r w:rsidRPr="00B53C4F">
        <w:rPr>
          <w:rFonts w:asciiTheme="majorBidi" w:hAnsiTheme="majorBidi" w:cstheme="majorBidi"/>
          <w:lang w:val="en-GB"/>
        </w:rPr>
        <w:t>. Wiley.</w:t>
      </w:r>
    </w:p>
    <w:p w14:paraId="199DC5A5" w14:textId="77777777" w:rsidR="00B53C4F" w:rsidRPr="00B53C4F" w:rsidRDefault="00B53C4F" w:rsidP="00B53C4F">
      <w:pPr>
        <w:pStyle w:val="ListParagraph"/>
        <w:rPr>
          <w:rFonts w:asciiTheme="majorBidi" w:hAnsiTheme="majorBidi" w:cstheme="majorBidi"/>
          <w:lang w:val="en-GB"/>
        </w:rPr>
      </w:pPr>
      <w:proofErr w:type="spellStart"/>
      <w:r w:rsidRPr="00B53C4F">
        <w:rPr>
          <w:rFonts w:asciiTheme="majorBidi" w:hAnsiTheme="majorBidi" w:cstheme="majorBidi"/>
          <w:lang w:val="en-GB"/>
        </w:rPr>
        <w:t>Kansakar</w:t>
      </w:r>
      <w:proofErr w:type="spellEnd"/>
      <w:r w:rsidRPr="00B53C4F">
        <w:rPr>
          <w:rFonts w:asciiTheme="majorBidi" w:hAnsiTheme="majorBidi" w:cstheme="majorBidi"/>
          <w:lang w:val="en-GB"/>
        </w:rPr>
        <w:t xml:space="preserve">, P., Munir, A., &amp; Shabani, N. (2017). Technology in Hospitality Industry: Prospects and Challenges. </w:t>
      </w:r>
      <w:proofErr w:type="spellStart"/>
      <w:r w:rsidRPr="00B53C4F">
        <w:rPr>
          <w:rFonts w:asciiTheme="majorBidi" w:hAnsiTheme="majorBidi" w:cstheme="majorBidi"/>
          <w:i/>
          <w:iCs/>
          <w:lang w:val="en-GB"/>
        </w:rPr>
        <w:t>arXiv</w:t>
      </w:r>
      <w:proofErr w:type="spellEnd"/>
      <w:r w:rsidRPr="00B53C4F">
        <w:rPr>
          <w:rFonts w:asciiTheme="majorBidi" w:hAnsiTheme="majorBidi" w:cstheme="majorBidi"/>
          <w:lang w:val="en-GB"/>
        </w:rPr>
        <w:t>. https://doi.org/10.48550/arXiv.1709.00105</w:t>
      </w:r>
    </w:p>
    <w:p w14:paraId="54B410A0"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Riley, M. (2005). Food and beverage management: A review of change. </w:t>
      </w:r>
      <w:r w:rsidRPr="00B53C4F">
        <w:rPr>
          <w:rFonts w:asciiTheme="majorBidi" w:hAnsiTheme="majorBidi" w:cstheme="majorBidi"/>
          <w:i/>
          <w:iCs/>
          <w:lang w:val="en-GB"/>
        </w:rPr>
        <w:t>International Journal of Contemporary Hospitality Management</w:t>
      </w:r>
      <w:r w:rsidRPr="00B53C4F">
        <w:rPr>
          <w:rFonts w:asciiTheme="majorBidi" w:hAnsiTheme="majorBidi" w:cstheme="majorBidi"/>
          <w:lang w:val="en-GB"/>
        </w:rPr>
        <w:t>, 17(1), 88–93. https://doi.org/10.1108/09596110510577668</w:t>
      </w:r>
    </w:p>
    <w:p w14:paraId="1AEEA11F" w14:textId="77777777" w:rsidR="00B53C4F" w:rsidRPr="00B53C4F" w:rsidRDefault="00B53C4F" w:rsidP="00B53C4F">
      <w:pPr>
        <w:pStyle w:val="ListParagraph"/>
        <w:rPr>
          <w:rFonts w:asciiTheme="majorBidi" w:hAnsiTheme="majorBidi" w:cstheme="majorBidi"/>
          <w:lang w:val="en-GB"/>
        </w:rPr>
      </w:pPr>
      <w:r w:rsidRPr="00B53C4F">
        <w:rPr>
          <w:rFonts w:asciiTheme="majorBidi" w:hAnsiTheme="majorBidi" w:cstheme="majorBidi"/>
          <w:lang w:val="en-GB"/>
        </w:rPr>
        <w:t xml:space="preserve">Rutherford, D. G., &amp; O’Fallon, M. J. (2016). </w:t>
      </w:r>
      <w:r w:rsidRPr="00B53C4F">
        <w:rPr>
          <w:rFonts w:asciiTheme="majorBidi" w:hAnsiTheme="majorBidi" w:cstheme="majorBidi"/>
          <w:i/>
          <w:iCs/>
          <w:lang w:val="en-GB"/>
        </w:rPr>
        <w:t>Hotel Management and Operations</w:t>
      </w:r>
      <w:r w:rsidRPr="00B53C4F">
        <w:rPr>
          <w:rFonts w:asciiTheme="majorBidi" w:hAnsiTheme="majorBidi" w:cstheme="majorBidi"/>
          <w:lang w:val="en-GB"/>
        </w:rPr>
        <w:t xml:space="preserve"> (5th ed.). Wiley.</w:t>
      </w:r>
    </w:p>
    <w:p w14:paraId="7DF1154B" w14:textId="77777777" w:rsidR="00B53C4F" w:rsidRPr="00B53C4F" w:rsidRDefault="00B53C4F" w:rsidP="00B53C4F">
      <w:pPr>
        <w:pStyle w:val="ListParagraph"/>
        <w:ind w:left="0"/>
        <w:rPr>
          <w:rFonts w:asciiTheme="majorBidi" w:hAnsiTheme="majorBidi" w:cstheme="majorBidi"/>
          <w:lang w:val="en-US"/>
        </w:rPr>
      </w:pPr>
    </w:p>
    <w:sectPr w:rsidR="00B53C4F" w:rsidRPr="00B53C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D3E581E3-3A34-443B-9B43-E8A908057D7B}"/>
    <w:embedBold r:id="rId2" w:fontKey="{DD7C64B4-526E-4E90-9E13-9E2B59F6BAE1}"/>
    <w:embedItalic r:id="rId3" w:fontKey="{268DEB12-059A-4FB9-8FFB-C311A903E5B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2BEF73C-C5D7-4C95-8272-3F23B8D5495A}"/>
  </w:font>
  <w:font w:name="Calibri Light">
    <w:panose1 w:val="020F0302020204030204"/>
    <w:charset w:val="00"/>
    <w:family w:val="swiss"/>
    <w:pitch w:val="variable"/>
    <w:sig w:usb0="E4002EFF" w:usb1="C000247B" w:usb2="00000009" w:usb3="00000000" w:csb0="000001FF" w:csb1="00000000"/>
    <w:embedRegular r:id="rId5" w:fontKey="{7E01025E-92AE-45B2-935C-6F4C2DE9F5D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6"/>
  </w:num>
  <w:num w:numId="2" w16cid:durableId="1012683535">
    <w:abstractNumId w:val="1"/>
  </w:num>
  <w:num w:numId="3" w16cid:durableId="1882092387">
    <w:abstractNumId w:val="7"/>
  </w:num>
  <w:num w:numId="4" w16cid:durableId="1544052912">
    <w:abstractNumId w:val="0"/>
  </w:num>
  <w:num w:numId="5" w16cid:durableId="1976175921">
    <w:abstractNumId w:val="4"/>
  </w:num>
  <w:num w:numId="6" w16cid:durableId="1741564058">
    <w:abstractNumId w:val="5"/>
  </w:num>
  <w:num w:numId="7" w16cid:durableId="192623156">
    <w:abstractNumId w:val="3"/>
  </w:num>
  <w:num w:numId="8" w16cid:durableId="378478015">
    <w:abstractNumId w:val="11"/>
  </w:num>
  <w:num w:numId="9" w16cid:durableId="982736017">
    <w:abstractNumId w:val="8"/>
  </w:num>
  <w:num w:numId="10" w16cid:durableId="1321621996">
    <w:abstractNumId w:val="9"/>
  </w:num>
  <w:num w:numId="11" w16cid:durableId="646325083">
    <w:abstractNumId w:val="2"/>
  </w:num>
  <w:num w:numId="12" w16cid:durableId="1195771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4FD9"/>
    <w:rsid w:val="002F4AE0"/>
    <w:rsid w:val="00384E8A"/>
    <w:rsid w:val="003D1074"/>
    <w:rsid w:val="00426865"/>
    <w:rsid w:val="00477CAA"/>
    <w:rsid w:val="004C5A76"/>
    <w:rsid w:val="00502E29"/>
    <w:rsid w:val="005949FB"/>
    <w:rsid w:val="005E458B"/>
    <w:rsid w:val="00794642"/>
    <w:rsid w:val="007C4F78"/>
    <w:rsid w:val="00844EC2"/>
    <w:rsid w:val="008516FE"/>
    <w:rsid w:val="009C1D0A"/>
    <w:rsid w:val="00A044F7"/>
    <w:rsid w:val="00A16DE0"/>
    <w:rsid w:val="00A8150E"/>
    <w:rsid w:val="00AA0062"/>
    <w:rsid w:val="00B20343"/>
    <w:rsid w:val="00B53C4F"/>
    <w:rsid w:val="00B72487"/>
    <w:rsid w:val="00B85EA7"/>
    <w:rsid w:val="00BE65DD"/>
    <w:rsid w:val="00C612A4"/>
    <w:rsid w:val="00CC6AD1"/>
    <w:rsid w:val="00E6778A"/>
    <w:rsid w:val="00ED2F39"/>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87F0C"/>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1157</Words>
  <Characters>6599</Characters>
  <Application>Microsoft Office Word</Application>
  <DocSecurity>0</DocSecurity>
  <Lines>54</Lines>
  <Paragraphs>15</Paragraphs>
  <ScaleCrop>false</ScaleCrop>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2026-06-11T18:01:00Z</dcterms:created>
  <dcterms:modified xsi:type="dcterms:W3CDTF">2026-06-11T18:01:00Z</dcterms:modified>
</cp:coreProperties>
</file>