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rFonts w:ascii="Times New Roman" w:hAnsi="Times New Roman"/>
          <w:b/>
          <w:color w:val="1F4E79"/>
          <w:sz w:val="36"/>
        </w:rPr>
        <w:t>Planning and Management of Sustainable Tourism Spaces</w:t>
      </w:r>
    </w:p>
    <w:p/>
    <w:p/>
    <w:p/>
    <w:p>
      <w:pPr>
        <w:jc w:val="center"/>
      </w:pPr>
      <w:r>
        <w:rPr>
          <w:rFonts w:ascii="Times New Roman" w:hAnsi="Times New Roman"/>
          <w:b/>
          <w:sz w:val="40"/>
        </w:rPr>
        <w:t>Tourism on a Moving Shoreline: A Regenerative Climate-Resilience Plan for the Maldives</w:t>
      </w:r>
    </w:p>
    <w:p>
      <w:pPr>
        <w:jc w:val="center"/>
      </w:pPr>
      <w:r>
        <w:rPr>
          <w:rFonts w:ascii="Times New Roman" w:hAnsi="Times New Roman"/>
          <w:i/>
          <w:color w:val="505050"/>
          <w:sz w:val="26"/>
        </w:rPr>
        <w:t>Coral health, island adaptation and circular resort systems</w:t>
      </w:r>
    </w:p>
    <w:p/>
    <w:tbl>
      <w:tblPr>
        <w:tblW w:type="auto" w:w="0"/>
        <w:jc w:val="center"/>
        <w:tblLayout w:type="fixed"/>
        <w:tblLook w:firstColumn="1" w:firstRow="1" w:lastColumn="0" w:lastRow="0" w:noHBand="0" w:noVBand="1" w:val="04A0"/>
      </w:tblPr>
      <w:tblGrid>
        <w:gridCol w:w="4680"/>
        <w:gridCol w:w="4680"/>
      </w:tblGrid>
      <w:tr>
        <w:tc>
          <w:tcPr>
            <w:tcW w:type="dxa" w:w="2376"/>
            <w:shd w:fill="D9EAF7"/>
            <w:tcMar>
              <w:top w:w="120" w:type="dxa"/>
              <w:start w:w="120" w:type="dxa"/>
              <w:bottom w:w="120" w:type="dxa"/>
              <w:end w:w="120" w:type="dxa"/>
            </w:tcMar>
            <w:vAlign w:val="center"/>
          </w:tcPr>
          <w:p>
            <w:pPr>
              <w:spacing w:line="276" w:lineRule="auto"/>
            </w:pPr>
            <w:r>
              <w:rPr>
                <w:rFonts w:ascii="Times New Roman" w:hAnsi="Times New Roman"/>
                <w:b/>
                <w:sz w:val="22"/>
              </w:rPr>
              <w:t>Assessment type</w:t>
            </w:r>
          </w:p>
        </w:tc>
        <w:tc>
          <w:tcPr>
            <w:tcW w:type="dxa" w:w="7056"/>
            <w:tcMar>
              <w:top w:w="120" w:type="dxa"/>
              <w:start w:w="120" w:type="dxa"/>
              <w:bottom w:w="120" w:type="dxa"/>
              <w:end w:w="120" w:type="dxa"/>
            </w:tcMar>
            <w:vAlign w:val="center"/>
          </w:tcPr>
          <w:p>
            <w:pPr>
              <w:spacing w:line="276" w:lineRule="auto"/>
            </w:pPr>
            <w:r>
              <w:rPr>
                <w:rFonts w:ascii="Times New Roman" w:hAnsi="Times New Roman"/>
                <w:b w:val="0"/>
                <w:sz w:val="22"/>
              </w:rPr>
              <w:t>Sustainable Project Plan (Final Project Report)</w:t>
            </w:r>
          </w:p>
        </w:tc>
      </w:tr>
      <w:tr>
        <w:tc>
          <w:tcPr>
            <w:tcW w:type="dxa" w:w="2376"/>
            <w:shd w:fill="D9EAF7"/>
            <w:tcMar>
              <w:top w:w="120" w:type="dxa"/>
              <w:start w:w="120" w:type="dxa"/>
              <w:bottom w:w="120" w:type="dxa"/>
              <w:end w:w="120" w:type="dxa"/>
            </w:tcMar>
            <w:vAlign w:val="center"/>
          </w:tcPr>
          <w:p>
            <w:pPr>
              <w:spacing w:line="276" w:lineRule="auto"/>
            </w:pPr>
            <w:r>
              <w:rPr>
                <w:rFonts w:ascii="Times New Roman" w:hAnsi="Times New Roman"/>
                <w:b/>
                <w:sz w:val="22"/>
              </w:rPr>
              <w:t>Selected assignment</w:t>
            </w:r>
          </w:p>
        </w:tc>
        <w:tc>
          <w:tcPr>
            <w:tcW w:type="dxa" w:w="7056"/>
            <w:tcMar>
              <w:top w:w="120" w:type="dxa"/>
              <w:start w:w="120" w:type="dxa"/>
              <w:bottom w:w="120" w:type="dxa"/>
              <w:end w:w="120" w:type="dxa"/>
            </w:tcMar>
            <w:vAlign w:val="center"/>
          </w:tcPr>
          <w:p>
            <w:pPr>
              <w:spacing w:line="276" w:lineRule="auto"/>
            </w:pPr>
            <w:r>
              <w:rPr>
                <w:rFonts w:ascii="Times New Roman" w:hAnsi="Times New Roman"/>
                <w:b w:val="0"/>
                <w:sz w:val="22"/>
              </w:rPr>
              <w:t>Option 3: Climate Resilience, Heritage Conservation, and Eco-Destination Regeneration</w:t>
            </w:r>
          </w:p>
        </w:tc>
      </w:tr>
      <w:tr>
        <w:tc>
          <w:tcPr>
            <w:tcW w:type="dxa" w:w="2376"/>
            <w:shd w:fill="D9EAF7"/>
            <w:tcMar>
              <w:top w:w="120" w:type="dxa"/>
              <w:start w:w="120" w:type="dxa"/>
              <w:bottom w:w="120" w:type="dxa"/>
              <w:end w:w="120" w:type="dxa"/>
            </w:tcMar>
            <w:vAlign w:val="center"/>
          </w:tcPr>
          <w:p>
            <w:pPr>
              <w:spacing w:line="276" w:lineRule="auto"/>
            </w:pPr>
            <w:r>
              <w:rPr>
                <w:rFonts w:ascii="Times New Roman" w:hAnsi="Times New Roman"/>
                <w:b/>
                <w:sz w:val="22"/>
              </w:rPr>
              <w:t>Destination</w:t>
            </w:r>
          </w:p>
        </w:tc>
        <w:tc>
          <w:tcPr>
            <w:tcW w:type="dxa" w:w="7056"/>
            <w:tcMar>
              <w:top w:w="120" w:type="dxa"/>
              <w:start w:w="120" w:type="dxa"/>
              <w:bottom w:w="120" w:type="dxa"/>
              <w:end w:w="120" w:type="dxa"/>
            </w:tcMar>
            <w:vAlign w:val="center"/>
          </w:tcPr>
          <w:p>
            <w:pPr>
              <w:spacing w:line="276" w:lineRule="auto"/>
            </w:pPr>
            <w:r>
              <w:rPr>
                <w:rFonts w:ascii="Times New Roman" w:hAnsi="Times New Roman"/>
                <w:b w:val="0"/>
                <w:sz w:val="22"/>
              </w:rPr>
              <w:t>Maldives</w:t>
            </w:r>
          </w:p>
        </w:tc>
      </w:tr>
      <w:tr>
        <w:tc>
          <w:tcPr>
            <w:tcW w:type="dxa" w:w="2376"/>
            <w:shd w:fill="D9EAF7"/>
            <w:tcMar>
              <w:top w:w="120" w:type="dxa"/>
              <w:start w:w="120" w:type="dxa"/>
              <w:bottom w:w="120" w:type="dxa"/>
              <w:end w:w="120" w:type="dxa"/>
            </w:tcMar>
            <w:vAlign w:val="center"/>
          </w:tcPr>
          <w:p>
            <w:pPr>
              <w:spacing w:line="276" w:lineRule="auto"/>
            </w:pPr>
            <w:r>
              <w:rPr>
                <w:rFonts w:ascii="Times New Roman" w:hAnsi="Times New Roman"/>
                <w:b/>
                <w:sz w:val="22"/>
              </w:rPr>
              <w:t>Student</w:t>
            </w:r>
          </w:p>
        </w:tc>
        <w:tc>
          <w:tcPr>
            <w:tcW w:type="dxa" w:w="7056"/>
            <w:tcMar>
              <w:top w:w="120" w:type="dxa"/>
              <w:start w:w="120" w:type="dxa"/>
              <w:bottom w:w="120" w:type="dxa"/>
              <w:end w:w="120" w:type="dxa"/>
            </w:tcMar>
            <w:vAlign w:val="center"/>
          </w:tcPr>
          <w:p>
            <w:pPr>
              <w:spacing w:line="276" w:lineRule="auto"/>
            </w:pPr>
            <w:r>
              <w:rPr>
                <w:rFonts w:ascii="Times New Roman" w:hAnsi="Times New Roman"/>
                <w:b w:val="0"/>
                <w:sz w:val="22"/>
              </w:rPr>
              <w:t>[Insert Student Name]</w:t>
            </w:r>
          </w:p>
        </w:tc>
      </w:tr>
      <w:tr>
        <w:tc>
          <w:tcPr>
            <w:tcW w:type="dxa" w:w="2376"/>
            <w:shd w:fill="D9EAF7"/>
            <w:tcMar>
              <w:top w:w="120" w:type="dxa"/>
              <w:start w:w="120" w:type="dxa"/>
              <w:bottom w:w="120" w:type="dxa"/>
              <w:end w:w="120" w:type="dxa"/>
            </w:tcMar>
            <w:vAlign w:val="center"/>
          </w:tcPr>
          <w:p>
            <w:pPr>
              <w:spacing w:line="276" w:lineRule="auto"/>
            </w:pPr>
            <w:r>
              <w:rPr>
                <w:rFonts w:ascii="Times New Roman" w:hAnsi="Times New Roman"/>
                <w:b/>
                <w:sz w:val="22"/>
              </w:rPr>
              <w:t>Student ID</w:t>
            </w:r>
          </w:p>
        </w:tc>
        <w:tc>
          <w:tcPr>
            <w:tcW w:type="dxa" w:w="7056"/>
            <w:tcMar>
              <w:top w:w="120" w:type="dxa"/>
              <w:start w:w="120" w:type="dxa"/>
              <w:bottom w:w="120" w:type="dxa"/>
              <w:end w:w="120" w:type="dxa"/>
            </w:tcMar>
            <w:vAlign w:val="center"/>
          </w:tcPr>
          <w:p>
            <w:pPr>
              <w:spacing w:line="276" w:lineRule="auto"/>
            </w:pPr>
            <w:r>
              <w:rPr>
                <w:rFonts w:ascii="Times New Roman" w:hAnsi="Times New Roman"/>
                <w:b w:val="0"/>
                <w:sz w:val="22"/>
              </w:rPr>
              <w:t>[Insert Student ID]</w:t>
            </w:r>
          </w:p>
        </w:tc>
      </w:tr>
    </w:tbl>
    <w:p>
      <w:r>
        <w:br w:type="page"/>
      </w:r>
    </w:p>
    <w:p>
      <w:pPr>
        <w:pStyle w:val="TOCHeading"/>
        <w:spacing w:before="0" w:after="240" w:line="240" w:lineRule="auto"/>
        <w:jc w:val="center"/>
      </w:pPr>
      <w:r>
        <w:rPr>
          <w:rFonts w:ascii="Times New Roman" w:hAnsi="Times New Roman" w:eastAsia="Times New Roman" w:cs="Times New Roman"/>
          <w:b/>
          <w:color w:val="000000"/>
          <w:sz w:val="28"/>
        </w:rPr>
        <w:t>Table of Contents</w:t>
      </w:r>
    </w:p>
    <w:p>
      <w:pPr>
        <w:pStyle w:val="TOC1"/>
        <w:keepNext w:val="0"/>
        <w:keepLines/>
        <w:tabs>
          <w:tab w:pos="9302" w:val="right" w:leader="dot"/>
        </w:tabs>
        <w:spacing w:before="0" w:after="0" w:line="480" w:lineRule="auto"/>
        <w:ind w:left="0" w:right="0" w:firstLine="0"/>
      </w:pPr>
      <w:r>
        <w:rPr>
          <w:rFonts w:ascii="Times New Roman" w:hAnsi="Times New Roman" w:eastAsia="Times New Roman"/>
          <w:b w:val="0"/>
          <w:color w:val="000000"/>
          <w:sz w:val="24"/>
        </w:rPr>
        <w:t>Executive Summary</w:t>
      </w:r>
      <w:r>
        <w:rPr>
          <w:rFonts w:ascii="Times New Roman" w:hAnsi="Times New Roman" w:eastAsia="Times New Roman"/>
          <w:b w:val="0"/>
          <w:color w:val="000000"/>
          <w:sz w:val="24"/>
        </w:rPr>
        <w:tab/>
      </w:r>
      <w:r>
        <w:rPr>
          <w:rFonts w:ascii="Times New Roman" w:hAnsi="Times New Roman" w:eastAsia="Times New Roman"/>
          <w:b w:val="0"/>
          <w:color w:val="000000"/>
          <w:sz w:val="24"/>
        </w:rPr>
        <w:t>3</w:t>
      </w:r>
    </w:p>
    <w:p>
      <w:pPr>
        <w:pStyle w:val="TOC1"/>
        <w:keepNext w:val="0"/>
        <w:keepLines/>
        <w:tabs>
          <w:tab w:pos="9302" w:val="right" w:leader="dot"/>
        </w:tabs>
        <w:spacing w:before="0" w:after="0" w:line="480" w:lineRule="auto"/>
        <w:ind w:left="0" w:right="0" w:firstLine="0"/>
      </w:pPr>
      <w:r>
        <w:rPr>
          <w:rFonts w:ascii="Times New Roman" w:hAnsi="Times New Roman" w:eastAsia="Times New Roman"/>
          <w:b w:val="0"/>
          <w:color w:val="000000"/>
          <w:sz w:val="24"/>
        </w:rPr>
        <w:t>Introduction</w:t>
      </w:r>
      <w:r>
        <w:rPr>
          <w:rFonts w:ascii="Times New Roman" w:hAnsi="Times New Roman" w:eastAsia="Times New Roman"/>
          <w:b w:val="0"/>
          <w:color w:val="000000"/>
          <w:sz w:val="24"/>
        </w:rPr>
        <w:tab/>
      </w:r>
      <w:r>
        <w:rPr>
          <w:rFonts w:ascii="Times New Roman" w:hAnsi="Times New Roman" w:eastAsia="Times New Roman"/>
          <w:b w:val="0"/>
          <w:color w:val="000000"/>
          <w:sz w:val="24"/>
        </w:rPr>
        <w:t>4</w:t>
      </w:r>
    </w:p>
    <w:p>
      <w:pPr>
        <w:pStyle w:val="TOC1"/>
        <w:keepNext w:val="0"/>
        <w:keepLines/>
        <w:tabs>
          <w:tab w:pos="9302" w:val="right" w:leader="dot"/>
        </w:tabs>
        <w:spacing w:before="0" w:after="0" w:line="480" w:lineRule="auto"/>
        <w:ind w:left="0" w:right="0" w:firstLine="0"/>
      </w:pPr>
      <w:r>
        <w:rPr>
          <w:rFonts w:ascii="Times New Roman" w:hAnsi="Times New Roman" w:eastAsia="Times New Roman"/>
          <w:b w:val="0"/>
          <w:color w:val="000000"/>
          <w:sz w:val="24"/>
        </w:rPr>
        <w:t>Destination Baseline &amp; Impact Assessment</w:t>
      </w:r>
      <w:r>
        <w:rPr>
          <w:rFonts w:ascii="Times New Roman" w:hAnsi="Times New Roman" w:eastAsia="Times New Roman"/>
          <w:b w:val="0"/>
          <w:color w:val="000000"/>
          <w:sz w:val="24"/>
        </w:rPr>
        <w:tab/>
      </w:r>
      <w:r>
        <w:rPr>
          <w:rFonts w:ascii="Times New Roman" w:hAnsi="Times New Roman" w:eastAsia="Times New Roman"/>
          <w:b w:val="0"/>
          <w:color w:val="000000"/>
          <w:sz w:val="24"/>
        </w:rPr>
        <w:t>6</w:t>
      </w:r>
    </w:p>
    <w:p>
      <w:pPr>
        <w:pStyle w:val="TOC1"/>
        <w:keepNext w:val="0"/>
        <w:keepLines/>
        <w:tabs>
          <w:tab w:pos="9302" w:val="right" w:leader="dot"/>
        </w:tabs>
        <w:spacing w:before="0" w:after="0" w:line="480" w:lineRule="auto"/>
        <w:ind w:left="0" w:right="0" w:firstLine="0"/>
      </w:pPr>
      <w:r>
        <w:rPr>
          <w:rFonts w:ascii="Times New Roman" w:hAnsi="Times New Roman" w:eastAsia="Times New Roman"/>
          <w:b w:val="0"/>
          <w:color w:val="000000"/>
          <w:sz w:val="24"/>
        </w:rPr>
        <w:t>Theoretical &amp; Spatial Planning Framework</w:t>
      </w:r>
      <w:r>
        <w:rPr>
          <w:rFonts w:ascii="Times New Roman" w:hAnsi="Times New Roman" w:eastAsia="Times New Roman"/>
          <w:b w:val="0"/>
          <w:color w:val="000000"/>
          <w:sz w:val="24"/>
        </w:rPr>
        <w:tab/>
      </w:r>
      <w:r>
        <w:rPr>
          <w:rFonts w:ascii="Times New Roman" w:hAnsi="Times New Roman" w:eastAsia="Times New Roman"/>
          <w:b w:val="0"/>
          <w:color w:val="000000"/>
          <w:sz w:val="24"/>
        </w:rPr>
        <w:t>8</w:t>
      </w:r>
    </w:p>
    <w:p>
      <w:pPr>
        <w:pStyle w:val="TOC1"/>
        <w:keepNext w:val="0"/>
        <w:keepLines/>
        <w:tabs>
          <w:tab w:pos="9302" w:val="right" w:leader="dot"/>
        </w:tabs>
        <w:spacing w:before="0" w:after="0" w:line="480" w:lineRule="auto"/>
        <w:ind w:left="0" w:right="0" w:firstLine="0"/>
      </w:pPr>
      <w:r>
        <w:rPr>
          <w:rFonts w:ascii="Times New Roman" w:hAnsi="Times New Roman" w:eastAsia="Times New Roman"/>
          <w:b w:val="0"/>
          <w:color w:val="000000"/>
          <w:sz w:val="24"/>
        </w:rPr>
        <w:t>Critical Comparison</w:t>
      </w:r>
      <w:r>
        <w:rPr>
          <w:rFonts w:ascii="Times New Roman" w:hAnsi="Times New Roman" w:eastAsia="Times New Roman"/>
          <w:b w:val="0"/>
          <w:color w:val="000000"/>
          <w:sz w:val="24"/>
        </w:rPr>
        <w:tab/>
      </w:r>
      <w:r>
        <w:rPr>
          <w:rFonts w:ascii="Times New Roman" w:hAnsi="Times New Roman" w:eastAsia="Times New Roman"/>
          <w:b w:val="0"/>
          <w:color w:val="000000"/>
          <w:sz w:val="24"/>
        </w:rPr>
        <w:t>10</w:t>
      </w:r>
    </w:p>
    <w:p>
      <w:pPr>
        <w:pStyle w:val="TOC1"/>
        <w:keepNext w:val="0"/>
        <w:keepLines/>
        <w:tabs>
          <w:tab w:pos="9302" w:val="right" w:leader="dot"/>
        </w:tabs>
        <w:spacing w:before="0" w:after="0" w:line="480" w:lineRule="auto"/>
        <w:ind w:left="0" w:right="0" w:firstLine="0"/>
      </w:pPr>
      <w:r>
        <w:rPr>
          <w:rFonts w:ascii="Times New Roman" w:hAnsi="Times New Roman" w:eastAsia="Times New Roman"/>
          <w:b w:val="0"/>
          <w:color w:val="000000"/>
          <w:sz w:val="24"/>
        </w:rPr>
        <w:t>Stakeholder &amp; Policy Analysis</w:t>
      </w:r>
      <w:r>
        <w:rPr>
          <w:rFonts w:ascii="Times New Roman" w:hAnsi="Times New Roman" w:eastAsia="Times New Roman"/>
          <w:b w:val="0"/>
          <w:color w:val="000000"/>
          <w:sz w:val="24"/>
        </w:rPr>
        <w:tab/>
      </w:r>
      <w:r>
        <w:rPr>
          <w:rFonts w:ascii="Times New Roman" w:hAnsi="Times New Roman" w:eastAsia="Times New Roman"/>
          <w:b w:val="0"/>
          <w:color w:val="000000"/>
          <w:sz w:val="24"/>
        </w:rPr>
        <w:t>11</w:t>
      </w:r>
    </w:p>
    <w:p>
      <w:pPr>
        <w:pStyle w:val="TOC1"/>
        <w:keepNext w:val="0"/>
        <w:keepLines/>
        <w:tabs>
          <w:tab w:pos="9302" w:val="right" w:leader="dot"/>
        </w:tabs>
        <w:spacing w:before="0" w:after="0" w:line="480" w:lineRule="auto"/>
        <w:ind w:left="0" w:right="0" w:firstLine="0"/>
      </w:pPr>
      <w:r>
        <w:rPr>
          <w:rFonts w:ascii="Times New Roman" w:hAnsi="Times New Roman" w:eastAsia="Times New Roman"/>
          <w:b w:val="0"/>
          <w:color w:val="000000"/>
          <w:sz w:val="24"/>
        </w:rPr>
        <w:t>Strategic Sustainable Planning Proposal</w:t>
      </w:r>
      <w:r>
        <w:rPr>
          <w:rFonts w:ascii="Times New Roman" w:hAnsi="Times New Roman" w:eastAsia="Times New Roman"/>
          <w:b w:val="0"/>
          <w:color w:val="000000"/>
          <w:sz w:val="24"/>
        </w:rPr>
        <w:tab/>
      </w:r>
      <w:r>
        <w:rPr>
          <w:rFonts w:ascii="Times New Roman" w:hAnsi="Times New Roman" w:eastAsia="Times New Roman"/>
          <w:b w:val="0"/>
          <w:color w:val="000000"/>
          <w:sz w:val="24"/>
        </w:rPr>
        <w:t>13</w:t>
      </w:r>
    </w:p>
    <w:p>
      <w:pPr>
        <w:pStyle w:val="TOC1"/>
        <w:keepNext w:val="0"/>
        <w:keepLines/>
        <w:tabs>
          <w:tab w:pos="9302" w:val="right" w:leader="dot"/>
        </w:tabs>
        <w:spacing w:before="0" w:after="0" w:line="480" w:lineRule="auto"/>
        <w:ind w:left="0" w:right="0" w:firstLine="0"/>
      </w:pPr>
      <w:r>
        <w:rPr>
          <w:rFonts w:ascii="Times New Roman" w:hAnsi="Times New Roman" w:eastAsia="Times New Roman"/>
          <w:b w:val="0"/>
          <w:color w:val="000000"/>
          <w:sz w:val="24"/>
        </w:rPr>
        <w:t>Action Plan, Monitoring &amp; KPIs</w:t>
      </w:r>
      <w:r>
        <w:rPr>
          <w:rFonts w:ascii="Times New Roman" w:hAnsi="Times New Roman" w:eastAsia="Times New Roman"/>
          <w:b w:val="0"/>
          <w:color w:val="000000"/>
          <w:sz w:val="24"/>
        </w:rPr>
        <w:tab/>
      </w:r>
      <w:r>
        <w:rPr>
          <w:rFonts w:ascii="Times New Roman" w:hAnsi="Times New Roman" w:eastAsia="Times New Roman"/>
          <w:b w:val="0"/>
          <w:color w:val="000000"/>
          <w:sz w:val="24"/>
        </w:rPr>
        <w:t>16</w:t>
      </w:r>
    </w:p>
    <w:p>
      <w:pPr>
        <w:pStyle w:val="TOC1"/>
        <w:keepNext w:val="0"/>
        <w:keepLines/>
        <w:tabs>
          <w:tab w:pos="9302" w:val="right" w:leader="dot"/>
        </w:tabs>
        <w:spacing w:before="0" w:after="0" w:line="480" w:lineRule="auto"/>
        <w:ind w:left="0" w:right="0" w:firstLine="0"/>
      </w:pPr>
      <w:r>
        <w:rPr>
          <w:rFonts w:ascii="Times New Roman" w:hAnsi="Times New Roman" w:eastAsia="Times New Roman"/>
          <w:b w:val="0"/>
          <w:color w:val="000000"/>
          <w:sz w:val="24"/>
        </w:rPr>
        <w:t>Conclusion &amp; Recommendations</w:t>
      </w:r>
      <w:r>
        <w:rPr>
          <w:rFonts w:ascii="Times New Roman" w:hAnsi="Times New Roman" w:eastAsia="Times New Roman"/>
          <w:b w:val="0"/>
          <w:color w:val="000000"/>
          <w:sz w:val="24"/>
        </w:rPr>
        <w:tab/>
      </w:r>
      <w:r>
        <w:rPr>
          <w:rFonts w:ascii="Times New Roman" w:hAnsi="Times New Roman" w:eastAsia="Times New Roman"/>
          <w:b w:val="0"/>
          <w:color w:val="000000"/>
          <w:sz w:val="24"/>
        </w:rPr>
        <w:t>18</w:t>
      </w:r>
    </w:p>
    <w:p>
      <w:pPr>
        <w:pStyle w:val="TOC1"/>
        <w:keepNext w:val="0"/>
        <w:keepLines/>
        <w:tabs>
          <w:tab w:pos="9302" w:val="right" w:leader="dot"/>
        </w:tabs>
        <w:spacing w:before="0" w:after="0" w:line="480" w:lineRule="auto"/>
        <w:ind w:left="0" w:right="0" w:firstLine="0"/>
      </w:pPr>
      <w:r>
        <w:rPr>
          <w:rFonts w:ascii="Times New Roman" w:hAnsi="Times New Roman" w:eastAsia="Times New Roman"/>
          <w:b w:val="0"/>
          <w:color w:val="000000"/>
          <w:sz w:val="24"/>
        </w:rPr>
        <w:t>References</w:t>
      </w:r>
      <w:r>
        <w:rPr>
          <w:rFonts w:ascii="Times New Roman" w:hAnsi="Times New Roman" w:eastAsia="Times New Roman"/>
          <w:b w:val="0"/>
          <w:color w:val="000000"/>
          <w:sz w:val="24"/>
        </w:rPr>
        <w:tab/>
      </w:r>
      <w:r>
        <w:rPr>
          <w:rFonts w:ascii="Times New Roman" w:hAnsi="Times New Roman" w:eastAsia="Times New Roman"/>
          <w:b w:val="0"/>
          <w:color w:val="000000"/>
          <w:sz w:val="24"/>
        </w:rPr>
        <w:t>20</w:t>
      </w:r>
    </w:p>
    <w:p>
      <w:pPr>
        <w:pStyle w:val="TOC1"/>
        <w:keepNext w:val="0"/>
        <w:keepLines/>
        <w:tabs>
          <w:tab w:pos="9302" w:val="right" w:leader="dot"/>
        </w:tabs>
        <w:spacing w:before="0" w:after="0" w:line="480" w:lineRule="auto"/>
        <w:ind w:left="0" w:right="0" w:firstLine="0"/>
      </w:pPr>
      <w:r>
        <w:rPr>
          <w:rFonts w:ascii="Times New Roman" w:hAnsi="Times New Roman" w:eastAsia="Times New Roman"/>
          <w:b w:val="0"/>
          <w:color w:val="000000"/>
          <w:sz w:val="24"/>
        </w:rPr>
        <w:t>Appendix A - Spatial Zoning and Governance Notes</w:t>
      </w:r>
      <w:r>
        <w:rPr>
          <w:rFonts w:ascii="Times New Roman" w:hAnsi="Times New Roman" w:eastAsia="Times New Roman"/>
          <w:b w:val="0"/>
          <w:color w:val="000000"/>
          <w:sz w:val="24"/>
        </w:rPr>
        <w:tab/>
      </w:r>
      <w:r>
        <w:rPr>
          <w:rFonts w:ascii="Times New Roman" w:hAnsi="Times New Roman" w:eastAsia="Times New Roman"/>
          <w:b w:val="0"/>
          <w:color w:val="000000"/>
          <w:sz w:val="24"/>
        </w:rPr>
        <w:t>21</w:t>
      </w:r>
    </w:p>
    <w:p>
      <w:r>
        <w:br w:type="page"/>
      </w:r>
    </w:p>
    <w:p>
      <w:pPr>
        <w:pStyle w:val="Heading1"/>
        <w:keepNext/>
        <w:spacing w:before="240" w:after="120"/>
        <w:jc w:val="left"/>
      </w:pPr>
      <w:r>
        <w:rPr>
          <w:rFonts w:ascii="Times New Roman" w:hAnsi="Times New Roman"/>
          <w:b/>
          <w:color w:val="1F4E79"/>
          <w:sz w:val="30"/>
        </w:rPr>
        <w:t>Executive Summary - Coral health, island adaptation and circular resort systems</w:t>
      </w:r>
    </w:p>
    <w:p>
      <w:pPr>
        <w:spacing w:line="480" w:lineRule="auto" w:after="120"/>
        <w:ind w:firstLine="432"/>
        <w:jc w:val="both"/>
      </w:pPr>
      <w:r>
        <w:rPr>
          <w:rFonts w:ascii="Times New Roman" w:hAnsi="Times New Roman"/>
          <w:sz w:val="24"/>
        </w:rPr>
        <w:t>This sustainable project plan addresses Maldives through a sustainable-adaptation and regenerative-tourism framework integrating climate-risk screening, ecosystem-based adaptation, circular resource flows and island-typology planning. The central diagnosis is a tourism-dependent coral archipelago exposed to sea-level rise, erosion, storm surge, coral bleaching, freshwater stress and the ecological effects of resort construction, reclamation, waste and energy systems. The report treats sustainability as a destination-management problem rather than a marketing label: environmental limits, resident or community wellbeing, visitor experience, economic viability and institutional capacity must be managed together. Evidence relevant to the destination shows that unmanaged or poorly distributed tourism pressure can erode the very ecological or cultural assets that create demand, while narrow numerical caps can miss important differences in time, place and stakeholder impact (Galli et al., 2025; Cowburn et al., 2018).</w:t>
      </w:r>
    </w:p>
    <w:p>
      <w:pPr>
        <w:spacing w:line="480" w:lineRule="auto" w:after="120"/>
        <w:ind w:firstLine="432"/>
        <w:jc w:val="both"/>
      </w:pPr>
      <w:r>
        <w:rPr>
          <w:rFonts w:ascii="Times New Roman" w:hAnsi="Times New Roman"/>
          <w:sz w:val="24"/>
        </w:rPr>
        <w:t>The proposed intervention, the Maldives Regenerative Atoll Resilience Standard (M-RARS), combines spatial zoning with adaptive management. Its purpose is to move decision making from reactive crisis response to measurable thresholds and pre-agreed actions. Instead of assuming that one annual visitor number can define sustainability, the plan uses place-specific indicators for congestion or ecological condition, stakeholder outcomes, service loading and visitor quality. This approach reflects the broader principle that carrying capacity is multidimensional and that acceptable conditions must be defined through objectives, monitoring and management response rather than through volume alone (Duvat, 2020; Aslam &amp; Kench, 2017).</w:t>
      </w:r>
    </w:p>
    <w:p>
      <w:pPr>
        <w:spacing w:line="480" w:lineRule="auto" w:after="120"/>
        <w:ind w:firstLine="432"/>
        <w:jc w:val="both"/>
      </w:pPr>
      <w:r>
        <w:rPr>
          <w:rFonts w:ascii="Times New Roman" w:hAnsi="Times New Roman"/>
          <w:sz w:val="24"/>
        </w:rPr>
        <w:t>Implementation is organised around five strategic pillars: Classify resort islands by geomorphic and climate-risk typology before approving adaptation works; Prioritise reef, seagrass and sediment-process protection as ecosystem-based coastal defence; Require circular water, waste and energy plans with measurable per-guest resource targets; Create a resilience levy or ring-fenced fund for reef restoration, monitoring and shared atoll infrastructure; and Mandate climate-risk disclosure and post-construction monitoring for reclamation and coastal-engineering projects. A three-zone spatial structure distinguishes the most sensitive or congested areas from managed transition spaces and wider dispersal or community zones. The action plan pairs every intervention with a responsible actor, an implementation horizon and a measurable KPI. Success is defined as improved ecological or heritage condition, fairer distribution of tourism benefits and costs, lower peak pressure, stronger compliance and a higher-quality visitor experience - not simply continuing growth in arrivals.</w:t>
      </w:r>
    </w:p>
    <w:p>
      <w:pPr>
        <w:spacing w:line="480" w:lineRule="auto" w:after="120"/>
        <w:ind w:firstLine="432"/>
        <w:jc w:val="both"/>
      </w:pPr>
      <w:r>
        <w:rPr>
          <w:rFonts w:ascii="Times New Roman" w:hAnsi="Times New Roman"/>
          <w:sz w:val="24"/>
        </w:rPr>
        <w:t>The recommended governance model is deliberately transparent and adaptive. Monitoring results should be published, thresholds reviewed with affected stakeholders, and management measures tightened or relaxed according to evidence. That feedback loop is essential because destination systems change: markets shift, climate and weather conditions vary, infrastructure capacity evolves and community tolerance can rise or fall. Sustainable management therefore requires institutional learning as well as technical controls (Njoroge, 2014; Lam-González et al., 2022).</w:t>
      </w:r>
    </w:p>
    <w:p>
      <w:pPr>
        <w:pStyle w:val="Heading1"/>
        <w:keepNext/>
        <w:spacing w:before="240" w:after="120"/>
        <w:jc w:val="left"/>
      </w:pPr>
      <w:r>
        <w:rPr>
          <w:rFonts w:ascii="Times New Roman" w:hAnsi="Times New Roman"/>
          <w:b/>
          <w:color w:val="1F4E79"/>
          <w:sz w:val="30"/>
        </w:rPr>
        <w:t>Introduction - Framing the Planning Challenge</w:t>
      </w:r>
    </w:p>
    <w:p>
      <w:pPr>
        <w:spacing w:line="480" w:lineRule="auto" w:after="120"/>
        <w:ind w:firstLine="432"/>
        <w:jc w:val="both"/>
      </w:pPr>
      <w:r>
        <w:rPr>
          <w:rFonts w:ascii="Times New Roman" w:hAnsi="Times New Roman"/>
          <w:sz w:val="24"/>
        </w:rPr>
        <w:t>Tourism planning in Maldives illustrates a central tension in sustainable destination management. Tourism can support employment, public revenue, conservation finance and cultural exchange, yet the same demand can become damaging when visitor activity is concentrated in fragile places or when benefits and decision-making power are unevenly distributed. The assignment requires a project plan that integrates environmental, socio-cultural and economic impacts with spatial planning, policy and measurable implementation. This report responds by defining the destination as a system of places, users, resources and institutions rather than as a single attraction.</w:t>
      </w:r>
    </w:p>
    <w:p>
      <w:pPr>
        <w:spacing w:line="480" w:lineRule="auto" w:after="120"/>
        <w:ind w:firstLine="432"/>
        <w:jc w:val="both"/>
      </w:pPr>
      <w:r>
        <w:rPr>
          <w:rFonts w:ascii="Times New Roman" w:hAnsi="Times New Roman"/>
          <w:sz w:val="24"/>
        </w:rPr>
        <w:t>The planning problem is specifically a tourism-dependent coral archipelago exposed to sea-level rise, erosion, storm surge, coral bleaching, freshwater stress and the ecological effects of resort construction, reclamation, waste and energy systems. That wording is important because it avoids reducing the issue to 'too many tourists'. The more useful question is where pressure occurs, at what times, on which resources, who bears the cost, and what condition managers want to maintain. Research on tourism capacity and destination change has long shown that pressure is mediated by spatial form, infrastructure, behaviour and management choices; destinations can therefore reach social or ecological limits before they reach a simple physical maximum (Duvat, 2020; Lam-González et al., 2022).</w:t>
      </w:r>
    </w:p>
    <w:p>
      <w:pPr>
        <w:spacing w:line="480" w:lineRule="auto" w:after="120"/>
        <w:ind w:firstLine="432"/>
        <w:jc w:val="both"/>
      </w:pPr>
      <w:r>
        <w:rPr>
          <w:rFonts w:ascii="Times New Roman" w:hAnsi="Times New Roman"/>
          <w:sz w:val="24"/>
        </w:rPr>
        <w:t>The aim of the project is to establish a practical management system that keeps tourism within agreed environmental and social limits while maintaining a viable visitor economy. Four objectives follow: first, diagnose the current impact pathway; second, select a theoretical and spatial framework suited to the destination; third, design a governance and policy package that allocates responsibilities and incentives; and fourth, create an action and monitoring plan with indicators that can trigger corrective management. The intended outcome is not anti-tourism. It is a shift from unmanaged volume to managed value, resilience and stewardship.</w:t>
      </w:r>
    </w:p>
    <w:p>
      <w:pPr>
        <w:spacing w:line="480" w:lineRule="auto" w:after="120"/>
        <w:ind w:firstLine="432"/>
        <w:jc w:val="both"/>
      </w:pPr>
      <w:r>
        <w:rPr>
          <w:rFonts w:ascii="Times New Roman" w:hAnsi="Times New Roman"/>
          <w:sz w:val="24"/>
        </w:rPr>
        <w:t>The report is based on peer-reviewed and institutional evidence listed in the references, with the destination-specific proposal presented as a planning recommendation rather than as a claim that all measures are already official policy. This distinction matters academically: empirical studies establish observed pressures, stakeholder preferences and management lessons, while the strategic design in later sections synthesises those findings into a new project plan for Maldives.</w:t>
      </w:r>
    </w:p>
    <w:p>
      <w:pPr>
        <w:pStyle w:val="Heading1"/>
        <w:keepNext/>
        <w:spacing w:before="240" w:after="120"/>
        <w:jc w:val="left"/>
      </w:pPr>
      <w:r>
        <w:rPr>
          <w:rFonts w:ascii="Times New Roman" w:hAnsi="Times New Roman"/>
          <w:b/>
          <w:color w:val="1F4E79"/>
          <w:sz w:val="30"/>
        </w:rPr>
        <w:t>Destination Baseline &amp; Impact Assessment - Maldives</w:t>
      </w:r>
    </w:p>
    <w:p>
      <w:pPr>
        <w:spacing w:line="480" w:lineRule="auto" w:after="120"/>
        <w:ind w:firstLine="432"/>
        <w:jc w:val="both"/>
      </w:pPr>
      <w:r>
        <w:rPr>
          <w:rFonts w:ascii="Times New Roman" w:hAnsi="Times New Roman"/>
          <w:sz w:val="24"/>
        </w:rPr>
        <w:t>The baseline begins with the environmental dimension. Maldivian resort islands depend directly on healthy reefs, beaches and lagoons. Hard engineering can protect assets locally while altering sediment movement and locking islands into expensive maintenance pathways. Climate adaptation therefore needs island-specific evidence rather than uniform fortification, with reef health treated as protective infrastructure and tourism capital. This means that management must identify pressure pathways rather than simply count arrivals. A useful baseline records condition indicators before interventions begin, distinguishes chronic pressures from episodic peaks, and establishes spatially specific thresholds. Destination research cited in this report demonstrates that ecological or heritage quality can recover or remain more resilient when direct pressure is reduced and management focuses on the mechanisms causing harm (Galli et al., 2025; Cowburn et al., 2018).</w:t>
      </w:r>
    </w:p>
    <w:p>
      <w:pPr>
        <w:spacing w:line="480" w:lineRule="auto" w:after="120"/>
        <w:ind w:firstLine="432"/>
        <w:jc w:val="both"/>
      </w:pPr>
      <w:r>
        <w:rPr>
          <w:rFonts w:ascii="Times New Roman" w:hAnsi="Times New Roman"/>
          <w:sz w:val="24"/>
        </w:rPr>
        <w:t>A second baseline dimension is socio-cultural. The one-island-one-resort model can concentrate revenue and infrastructure while leaving inhabited islands with different service and employment outcomes. A just resilience strategy should connect resort adaptation spending to local skills, island services and community-led enterprises, while ensuring climate risk is not externalised onto neighbouring communities. Social impacts are often harder to quantify than physical damage, but they are not secondary. Perceptions of fairness, crowding, identity, access and benefit distribution influence whether tourism management is politically legitimate and whether stakeholders comply with rules. The project therefore treats community or resident sentiment as a management indicator rather than a public-relations measure (Njoroge, 2014).</w:t>
      </w:r>
    </w:p>
    <w:p>
      <w:pPr>
        <w:spacing w:line="480" w:lineRule="auto" w:after="120"/>
        <w:ind w:firstLine="432"/>
        <w:jc w:val="both"/>
      </w:pPr>
      <w:r>
        <w:rPr>
          <w:rFonts w:ascii="Times New Roman" w:hAnsi="Times New Roman"/>
          <w:sz w:val="24"/>
        </w:rPr>
        <w:t>The economic baseline is also multidimensional. High-value tourism creates financial capacity for adaptation but also raises exposure because large amounts of capital sit close to shore. Long-term competitiveness depends on reducing lifecycle resource intensity, protecting reefs, avoiding maladaptive reclamation and making climate risk visible in investment and licensing decisions. A destination can record high tourism receipts while still experiencing leakage, unequal benefit sharing, seasonal insecurity or public costs that are not paid by visitors. Consequently, the plan recommends measuring local value retention, expenditure distribution, employment quality and the fiscal resources available for conservation alongside conventional arrival and occupancy statistics.</w:t>
      </w:r>
    </w:p>
    <w:p>
      <w:pPr>
        <w:spacing w:line="480" w:lineRule="auto" w:after="120"/>
        <w:ind w:firstLine="432"/>
        <w:jc w:val="both"/>
      </w:pPr>
      <w:r>
        <w:rPr>
          <w:rFonts w:ascii="Times New Roman" w:hAnsi="Times New Roman"/>
          <w:sz w:val="24"/>
        </w:rPr>
        <w:t>These three impact dimensions interact. Environmental decline can reduce destination quality and future demand; social conflict can weaken compliance and investment confidence; and an economic model based on maximum throughput can make operators dependent on volumes that the destination cannot sustain. Conversely, better spatial distribution and higher-value experiences can reduce pressure per unit of revenue. The assessment therefore avoids a simple trade-off between economy and conservation and instead looks for management designs that improve several outcomes at once.</w:t>
      </w:r>
    </w:p>
    <w:p>
      <w:pPr>
        <w:spacing w:line="480" w:lineRule="auto" w:after="120"/>
        <w:ind w:firstLine="432"/>
        <w:jc w:val="both"/>
      </w:pPr>
      <w:r>
        <w:rPr>
          <w:rFonts w:ascii="Times New Roman" w:hAnsi="Times New Roman"/>
          <w:sz w:val="24"/>
        </w:rPr>
        <w:t>Risk is uneven across space and time. Peak hours, iconic nodes, sensitive habitats, bottlenecks, drought or storm periods, and special events can create temporary conditions far worse than annual averages suggest. The baseline should therefore use time-series data and map hotspots. A practical first-year data programme would combine visitor counts, operational records, environmental or heritage condition surveys, stakeholder surveys and geospatial observations. Data gaps should be documented rather than filled with assumed precision.</w:t>
      </w:r>
    </w:p>
    <w:p>
      <w:pPr>
        <w:spacing w:line="480" w:lineRule="auto" w:after="120"/>
        <w:ind w:firstLine="432"/>
        <w:jc w:val="both"/>
      </w:pPr>
      <w:r>
        <w:rPr>
          <w:rFonts w:ascii="Times New Roman" w:hAnsi="Times New Roman"/>
          <w:sz w:val="24"/>
        </w:rPr>
        <w:t>The final baseline issue is management capacity. Regulations are only effective when agencies can communicate them, monitor compliance, enforce proportionately and coordinate across jurisdictions. A destination with sophisticated policy on paper can still fail if responsibilities overlap or data are not shared. For that reason, institutional capacity is treated as part of carrying capacity: the acceptable visitor load is partly determined by the capacity to manage it.</w:t>
      </w:r>
    </w:p>
    <w:p>
      <w:pPr>
        <w:pStyle w:val="Heading1"/>
        <w:keepNext/>
        <w:spacing w:before="240" w:after="120"/>
        <w:jc w:val="left"/>
      </w:pPr>
      <w:r>
        <w:rPr>
          <w:rFonts w:ascii="Times New Roman" w:hAnsi="Times New Roman"/>
          <w:b/>
          <w:color w:val="1F4E79"/>
          <w:sz w:val="30"/>
        </w:rPr>
        <w:t>Theoretical &amp; Spatial Planning Framework - a sustainable-adaptation and regenerative-tourism framework integrating climate-risk screening, ecosystem-based adaptation, circular resource flows and island-typology planning</w:t>
      </w:r>
    </w:p>
    <w:p>
      <w:pPr>
        <w:spacing w:line="480" w:lineRule="auto" w:after="120"/>
        <w:ind w:firstLine="432"/>
        <w:jc w:val="both"/>
      </w:pPr>
      <w:r>
        <w:rPr>
          <w:rFonts w:ascii="Times New Roman" w:hAnsi="Times New Roman"/>
          <w:sz w:val="24"/>
        </w:rPr>
        <w:t>The selected framework is a sustainable-adaptation and regenerative-tourism framework integrating climate-risk screening, ecosystem-based adaptation, circular resource flows and island-typology planning. Its first contribution is to reject the idea that carrying capacity is a fixed universal number. Capacity depends on the management objective, the resource being protected and the standard considered acceptable. In classic capacity work, the task is to identify limiting factors and feasible use; in LAC-style thinking, the focus shifts toward desired conditions, measurable indicators and management actions when standards are exceeded (Duvat, 2020; Aslam &amp; Kench, 2017).</w:t>
      </w:r>
    </w:p>
    <w:p>
      <w:pPr>
        <w:spacing w:line="480" w:lineRule="auto" w:after="120"/>
        <w:ind w:firstLine="432"/>
        <w:jc w:val="both"/>
      </w:pPr>
      <w:r>
        <w:rPr>
          <w:rFonts w:ascii="Times New Roman" w:hAnsi="Times New Roman"/>
          <w:sz w:val="24"/>
        </w:rPr>
        <w:t>For Maldives, this report uses four capacity dimensions. Physical capacity concerns usable space, circulation and infrastructure. Ecological or heritage capacity concerns the level of use compatible with resource condition. Social capacity concerns resident/community tolerance and visitor perceptions of crowding or quality. Managerial capacity concerns staffing, monitoring and enforcement. A management decision should not raise visitation merely because one dimension has spare capacity if another dimension is already beyond its threshold.</w:t>
      </w:r>
    </w:p>
    <w:p>
      <w:pPr>
        <w:spacing w:line="480" w:lineRule="auto" w:after="120"/>
        <w:ind w:firstLine="432"/>
        <w:jc w:val="both"/>
      </w:pPr>
      <w:r>
        <w:rPr>
          <w:rFonts w:ascii="Times New Roman" w:hAnsi="Times New Roman"/>
          <w:sz w:val="24"/>
        </w:rPr>
        <w:t>The spatial model consists of three linked management zones. Zone A: Reef Protection Ring prioritises no dredging/anchoring in sensitive reef; coral monitoring, seagrass protection and strict discharge standards. Zone B: Adaptable Resort Footprint functions as a pressure-distribution and transition area: Setback and modular design, elevated critical systems, nature-based shoreline management, water/energy circularity. Zone C: Community-Atoll Linkage widens the system so that tourism value can be distributed without exporting unmanaged impacts: Shared waste logistics, local procurement, skills partnerships and atoll-level emergency/resilience infrastructure. Zoning is therefore not only a map; it is a rule set that differentiates permitted uses, infrastructure standards, pricing, monitoring intensity and emergency actions.</w:t>
      </w:r>
    </w:p>
    <w:p>
      <w:pPr>
        <w:spacing w:line="480" w:lineRule="auto" w:after="120"/>
        <w:ind w:firstLine="432"/>
        <w:jc w:val="both"/>
      </w:pPr>
      <w:r>
        <w:rPr>
          <w:rFonts w:ascii="Times New Roman" w:hAnsi="Times New Roman"/>
          <w:sz w:val="24"/>
        </w:rPr>
        <w:t>A key planning principle is that zoning must be adaptive. Boundaries may remain stable, but the management status of a zone can change by hour, season or indicator condition. For example, a sensitive area could shift from normal access to reduced capacity or temporary closure when monitoring crosses a threshold. This creates a transparent escalation pathway and reduces the temptation to wait for visible crisis before acting.</w:t>
      </w:r>
    </w:p>
    <w:p>
      <w:pPr>
        <w:spacing w:line="480" w:lineRule="auto" w:after="120"/>
        <w:ind w:firstLine="432"/>
        <w:jc w:val="both"/>
      </w:pPr>
      <w:r>
        <w:rPr>
          <w:rFonts w:ascii="Times New Roman" w:hAnsi="Times New Roman"/>
          <w:sz w:val="24"/>
        </w:rPr>
        <w:t>The framework also recognises the destination life-cycle problem: infrastructure and business models can become locked into a high-volume pattern that is difficult to reverse. Strategic planning must therefore change incentives, not merely issue visitor advice. Pricing, licensing, route design, concession rules, scheduling, procurement and public investment should all reinforce the desired spatial pattern. Otherwise visitors and operators will continue to follow the easiest, most profitable routes even when those routes are environmentally or socially costly (Lam-González et al., 2022).</w:t>
      </w:r>
    </w:p>
    <w:p>
      <w:pPr>
        <w:spacing w:line="480" w:lineRule="auto" w:after="120"/>
        <w:ind w:firstLine="432"/>
        <w:jc w:val="both"/>
      </w:pPr>
      <w:r>
        <w:rPr>
          <w:rFonts w:ascii="Times New Roman" w:hAnsi="Times New Roman"/>
          <w:sz w:val="24"/>
        </w:rPr>
        <w:t>Finally, the framework treats monitoring as a management instrument. Indicators are selected because they can lead to decisions. A KPI that never changes policy is only reporting. The project therefore links each indicator to a threshold owner, review frequency and potential response: investigate, warn, reduce capacity, redirect flows, repair infrastructure, suspend an activity or revise the rule. This makes the framework operational rather than conceptual.</w:t>
      </w:r>
    </w:p>
    <w:p>
      <w:pPr>
        <w:jc w:val="center"/>
      </w:pPr>
      <w:r>
        <w:drawing>
          <wp:inline xmlns:a="http://schemas.openxmlformats.org/drawingml/2006/main" xmlns:pic="http://schemas.openxmlformats.org/drawingml/2006/picture">
            <wp:extent cx="5852160" cy="3291840"/>
            <wp:docPr id="1" name="Picture 1"/>
            <wp:cNvGraphicFramePr>
              <a:graphicFrameLocks noChangeAspect="1"/>
            </wp:cNvGraphicFramePr>
            <a:graphic>
              <a:graphicData uri="http://schemas.openxmlformats.org/drawingml/2006/picture">
                <pic:pic>
                  <pic:nvPicPr>
                    <pic:cNvPr id="0" name="copy_4_zoning.png"/>
                    <pic:cNvPicPr/>
                  </pic:nvPicPr>
                  <pic:blipFill>
                    <a:blip r:embed="rId10"/>
                    <a:stretch>
                      <a:fillRect/>
                    </a:stretch>
                  </pic:blipFill>
                  <pic:spPr>
                    <a:xfrm>
                      <a:off x="0" y="0"/>
                      <a:ext cx="5852160" cy="3291840"/>
                    </a:xfrm>
                    <a:prstGeom prst="rect"/>
                  </pic:spPr>
                </pic:pic>
              </a:graphicData>
            </a:graphic>
          </wp:inline>
        </w:drawing>
      </w:r>
    </w:p>
    <w:p>
      <w:pPr>
        <w:spacing w:after="200"/>
        <w:jc w:val="center"/>
      </w:pPr>
      <w:r>
        <w:rPr>
          <w:rFonts w:ascii="Times New Roman" w:hAnsi="Times New Roman"/>
          <w:i/>
          <w:sz w:val="20"/>
        </w:rPr>
        <w:t>Figure 1. Conceptual spatial zoning framework for the proposed plan (not to scale).</w:t>
      </w:r>
    </w:p>
    <w:p>
      <w:pPr>
        <w:pStyle w:val="Heading1"/>
        <w:keepNext/>
        <w:spacing w:before="240" w:after="120"/>
        <w:jc w:val="left"/>
      </w:pPr>
      <w:r>
        <w:rPr>
          <w:rFonts w:ascii="Times New Roman" w:hAnsi="Times New Roman"/>
          <w:b/>
          <w:color w:val="1F4E79"/>
          <w:sz w:val="30"/>
        </w:rPr>
        <w:t>Critical Comparison - Conventional Development versus Regenerative and Circular Destination Management</w:t>
      </w:r>
    </w:p>
    <w:p>
      <w:pPr>
        <w:spacing w:line="480" w:lineRule="auto" w:after="120"/>
        <w:ind w:firstLine="432"/>
        <w:jc w:val="both"/>
      </w:pPr>
      <w:r>
        <w:rPr>
          <w:rFonts w:ascii="Times New Roman" w:hAnsi="Times New Roman"/>
          <w:sz w:val="24"/>
        </w:rPr>
        <w:t>Conventional tourism development often treats environmental protection as mitigation around an economic growth project: build infrastructure, manage resulting impacts and compensate where necessary. In vulnerable destinations, that sequence can create path dependency because seawalls, roads, visitor facilities or concentrated routes encourage further investment that becomes expensive to relocate. The result can be technically compliant development that still increases long-term ecological or heritage risk (Galli et al., 2025; Cowburn et al., 2018).</w:t>
      </w:r>
    </w:p>
    <w:p>
      <w:pPr>
        <w:spacing w:line="480" w:lineRule="auto" w:after="120"/>
        <w:ind w:firstLine="432"/>
        <w:jc w:val="both"/>
      </w:pPr>
      <w:r>
        <w:rPr>
          <w:rFonts w:ascii="Times New Roman" w:hAnsi="Times New Roman"/>
          <w:sz w:val="24"/>
        </w:rPr>
        <w:t>Regenerative planning starts from the condition of the destination system and asks how tourism can leave ecological and social capacity stronger. It favours ecosystem restoration, risk avoidance, adaptive design, local capability and reinvestment of visitor revenue. Circular-economy thinking complements this by reducing the throughput of water, energy and materials and by designing waste as a recoverable resource rather than an externality. These approaches do not eliminate development, but they change the criteria by which development is judged (Duvat, 2020; Aslam &amp; Kench, 2017).</w:t>
      </w:r>
    </w:p>
    <w:p>
      <w:pPr>
        <w:spacing w:line="480" w:lineRule="auto" w:after="120"/>
        <w:ind w:firstLine="432"/>
        <w:jc w:val="both"/>
      </w:pPr>
      <w:r>
        <w:rPr>
          <w:rFonts w:ascii="Times New Roman" w:hAnsi="Times New Roman"/>
          <w:sz w:val="24"/>
        </w:rPr>
        <w:t>There are important trade-offs. Regenerative measures may have higher upfront costs, and some nature-based or conservation-led interventions take longer to show results than engineered construction. Circular systems require operational discipline, reliable measurement and markets or facilities for recovered materials. For that reason, the proposal uses phased standards and lifecycle evaluation rather than assuming every 'green' technology is automatically appropriate.</w:t>
      </w:r>
    </w:p>
    <w:p>
      <w:pPr>
        <w:spacing w:line="480" w:lineRule="auto" w:after="120"/>
        <w:ind w:firstLine="432"/>
        <w:jc w:val="both"/>
      </w:pPr>
      <w:r>
        <w:rPr>
          <w:rFonts w:ascii="Times New Roman" w:hAnsi="Times New Roman"/>
          <w:sz w:val="24"/>
        </w:rPr>
        <w:t>The project therefore prioritises avoid-reduce-restore-adapt in that order. Avoid new development in the most sensitive or hazardous places; reduce resource intensity and visitor pressure where use continues; restore ecological or heritage functions that tourism depends upon; and adapt infrastructure only after these lower-impact options are assessed. This hierarchy is intended to prevent maladaptation and ensure that resilience spending supports destination viability rather than locking in a more resource-intensive tourism model.</w:t>
      </w:r>
    </w:p>
    <w:p>
      <w:pPr>
        <w:pStyle w:val="Heading1"/>
        <w:keepNext/>
        <w:spacing w:before="240" w:after="120"/>
        <w:jc w:val="left"/>
      </w:pPr>
      <w:r>
        <w:rPr>
          <w:rFonts w:ascii="Times New Roman" w:hAnsi="Times New Roman"/>
          <w:b/>
          <w:color w:val="1F4E79"/>
          <w:sz w:val="30"/>
        </w:rPr>
        <w:t>Stakeholder &amp; Policy Analysis - Power, Benefits and Accountability</w:t>
      </w:r>
    </w:p>
    <w:p>
      <w:pPr>
        <w:spacing w:line="480" w:lineRule="auto" w:after="120"/>
        <w:ind w:firstLine="432"/>
        <w:jc w:val="both"/>
      </w:pPr>
      <w:r>
        <w:rPr>
          <w:rFonts w:ascii="Times New Roman" w:hAnsi="Times New Roman"/>
          <w:sz w:val="24"/>
        </w:rPr>
        <w:t>Stakeholder analysis begins by distinguishing authority from interest. Public agencies typically control planning, conservation or licensing; businesses influence product design and visitor flows; residents or communities experience both benefits and externalities; visitors respond to prices, information and restrictions; and researchers or civil-society groups can provide monitoring evidence. In Maldives, the policy challenge is Resort licensing, environmental impact assessment, coastal engineering approvals, waste and water standards, and tourism taxation can be aligned around resilience outcomes. The central policy shift is from project-by-project compliance toward cumulative island and atoll carrying capacity, with disclosure of adaptation performance. The critical question is therefore not only who is consulted, but who has decision rights, who receives information and who can challenge decisions.</w:t>
      </w:r>
    </w:p>
    <w:p>
      <w:pPr>
        <w:spacing w:line="480" w:lineRule="auto" w:after="120"/>
        <w:ind w:firstLine="432"/>
        <w:jc w:val="both"/>
      </w:pPr>
      <w:r>
        <w:rPr>
          <w:rFonts w:ascii="Times New Roman" w:hAnsi="Times New Roman"/>
          <w:sz w:val="24"/>
        </w:rPr>
        <w:t>Power asymmetry matters because tourism plans can appear participatory while leaving the most consequential choices unchanged. The project proposes a stakeholder board or assembly with a published mandate, meeting minutes, conflict-of-interest declarations and a requirement that major capacity, zoning or concession changes be supported by evidence. Representation should be designed around affected groups rather than only around organisations with existing institutional access.</w:t>
      </w:r>
    </w:p>
    <w:p>
      <w:pPr>
        <w:spacing w:line="480" w:lineRule="auto" w:after="120"/>
        <w:ind w:firstLine="432"/>
        <w:jc w:val="both"/>
      </w:pPr>
      <w:r>
        <w:rPr>
          <w:rFonts w:ascii="Times New Roman" w:hAnsi="Times New Roman"/>
          <w:sz w:val="24"/>
        </w:rPr>
        <w:t>Policy instruments fall into five categories: regulatory controls, economic instruments, spatial design, information/behaviour measures and investment. Regulatory tools include access conditions, licensing, operating standards and closures. Economic tools include differentiated fees or incentives. Spatial tools shape where activities occur. Information tools influence choices before and during visits. Investment improves infrastructure and monitoring. Effective management uses a package because each instrument has weaknesses when used alone (Njoroge, 2014; Scott et al., 2019).</w:t>
      </w:r>
    </w:p>
    <w:p>
      <w:pPr>
        <w:spacing w:line="480" w:lineRule="auto" w:after="120"/>
        <w:ind w:firstLine="432"/>
        <w:jc w:val="both"/>
      </w:pPr>
      <w:r>
        <w:rPr>
          <w:rFonts w:ascii="Times New Roman" w:hAnsi="Times New Roman"/>
          <w:sz w:val="24"/>
        </w:rPr>
        <w:t>Equity assessment is required for every major measure. A fee can reduce demand but exclude low-income visitors; a closure can protect ecology but remove local income; a new route can disperse visitors but transfer nuisance to another neighbourhood or community. Before implementation, managers should identify who pays, who benefits, whether compensation or transition support is needed, and whether alternatives exist. This prevents sustainability from becoming a mechanism for shifting costs onto groups with less bargaining power.</w:t>
      </w:r>
    </w:p>
    <w:p>
      <w:pPr>
        <w:spacing w:line="480" w:lineRule="auto" w:after="120"/>
        <w:ind w:firstLine="432"/>
        <w:jc w:val="both"/>
      </w:pPr>
      <w:r>
        <w:rPr>
          <w:rFonts w:ascii="Times New Roman" w:hAnsi="Times New Roman"/>
          <w:sz w:val="24"/>
        </w:rPr>
        <w:t>Accountability should be built into the policy cycle. The managing body should publish key indicators, explain why a restriction was introduced, state the review date and report whether the measure worked. When evidence changes, management should be able to adapt without losing legitimacy. This is particularly important where restrictions affect livelihoods or everyday access. Transparent thresholds make rules more predictable for operators and more defensible to communities and visitors.</w:t>
      </w:r>
    </w:p>
    <w:p>
      <w:pPr>
        <w:pStyle w:val="Heading1"/>
        <w:keepNext/>
        <w:spacing w:before="240" w:after="120"/>
        <w:jc w:val="left"/>
      </w:pPr>
      <w:r>
        <w:rPr>
          <w:rFonts w:ascii="Times New Roman" w:hAnsi="Times New Roman"/>
          <w:b/>
          <w:color w:val="1F4E79"/>
          <w:sz w:val="30"/>
        </w:rPr>
        <w:t>Strategic Sustainable Planning Proposal - Maldives Regenerative Atoll Resilience Standard (M-RARS)</w:t>
      </w:r>
    </w:p>
    <w:p>
      <w:pPr>
        <w:spacing w:line="480" w:lineRule="auto" w:after="120"/>
        <w:ind w:firstLine="432"/>
        <w:jc w:val="both"/>
      </w:pPr>
      <w:r>
        <w:rPr>
          <w:rFonts w:ascii="Times New Roman" w:hAnsi="Times New Roman"/>
          <w:sz w:val="24"/>
        </w:rPr>
        <w:t>The Maldives Regenerative Atoll Resilience Standard (M-RARS) translates the diagnostic and framework into five mutually reinforcing pillars. Pillar 1 is Classify resort islands by geomorphic and climate-risk typology before approving adaptation works. This measure targets the most important pressure mechanism rather than treating every visitor as identical. Operationally, it requires a defined baseline, a threshold, a data source and an authorised response. The benefit is precision: managers can intervene at the place and time where pressure is actually generated.</w:t>
      </w:r>
    </w:p>
    <w:p>
      <w:pPr>
        <w:spacing w:line="480" w:lineRule="auto" w:after="120"/>
        <w:ind w:firstLine="432"/>
        <w:jc w:val="both"/>
      </w:pPr>
      <w:r>
        <w:rPr>
          <w:rFonts w:ascii="Times New Roman" w:hAnsi="Times New Roman"/>
          <w:sz w:val="24"/>
        </w:rPr>
        <w:t>Pillar 2 is Prioritise reef, seagrass and sediment-process protection as ecosystem-based coastal defence. Access and pricing tools should be designed to support, not replace, spatial planning. Booking systems can smooth peaks, but they should also communicate why limits exist, display alternative times or routes and protect legitimate local access. Where differential fees are used, revenue should be visibly reinvested in the resource or community so that the instrument is understood as stewardship rather than simple revenue extraction.</w:t>
      </w:r>
    </w:p>
    <w:p>
      <w:pPr>
        <w:spacing w:line="480" w:lineRule="auto" w:after="120"/>
        <w:ind w:firstLine="432"/>
        <w:jc w:val="both"/>
      </w:pPr>
      <w:r>
        <w:rPr>
          <w:rFonts w:ascii="Times New Roman" w:hAnsi="Times New Roman"/>
          <w:sz w:val="24"/>
        </w:rPr>
        <w:t>Pillar 3 is Require circular water, waste and energy plans with measurable per-guest resource targets. Dispersal is only sustainable when receiving areas have suitable infrastructure and when ecological or social pressures are not simply exported. The plan therefore recommends capacity screening before marketing secondary sites, investment in interpretation and transport, and monitoring of new hotspots. The aim is a network of experiences with different intensities rather than one dominant icon absorbing the full visitor load.</w:t>
      </w:r>
    </w:p>
    <w:p>
      <w:pPr>
        <w:spacing w:line="480" w:lineRule="auto" w:after="120"/>
        <w:ind w:firstLine="432"/>
        <w:jc w:val="both"/>
      </w:pPr>
      <w:r>
        <w:rPr>
          <w:rFonts w:ascii="Times New Roman" w:hAnsi="Times New Roman"/>
          <w:sz w:val="24"/>
        </w:rPr>
        <w:t>Pillar 4 is Create a resilience levy or ring-fenced fund for reef restoration, monitoring and shared atoll infrastructure. This pillar addresses the distribution of tourism outcomes. Sustainable destinations need rules that preserve the social and economic functions that make the place viable, not just the attraction that tourists consume. Measures should therefore protect community access, local enterprise opportunity and essential services while preventing tourism development from crowding out the very conditions that support resident wellbeing or traditional livelihoods.</w:t>
      </w:r>
    </w:p>
    <w:p>
      <w:pPr>
        <w:spacing w:line="480" w:lineRule="auto" w:after="120"/>
        <w:ind w:firstLine="432"/>
        <w:jc w:val="both"/>
      </w:pPr>
      <w:r>
        <w:rPr>
          <w:rFonts w:ascii="Times New Roman" w:hAnsi="Times New Roman"/>
          <w:sz w:val="24"/>
        </w:rPr>
        <w:t>Pillar 5 is Mandate climate-risk disclosure and post-construction monitoring for reclamation and coastal-engineering projects. A common dashboard creates a shared evidence base across agencies and stakeholders. It should not be an oversized collection of metrics. The dashboard should feature a concise set of indicators tied to decisions, with metadata explaining collection methods, limitations and trigger points. Public reporting improves trust and allows operators to plan around predictable rules.</w:t>
      </w:r>
    </w:p>
    <w:p>
      <w:pPr>
        <w:spacing w:line="480" w:lineRule="auto" w:after="120"/>
        <w:ind w:firstLine="432"/>
        <w:jc w:val="both"/>
      </w:pPr>
      <w:r>
        <w:rPr>
          <w:rFonts w:ascii="Times New Roman" w:hAnsi="Times New Roman"/>
          <w:sz w:val="24"/>
        </w:rPr>
        <w:t>Spatially, the proposal gives different roles to each zone. In Zone A: Reef Protection Ring, the management objective is protection of the most sensitive asset and reduction of peak intensity. In Zone B: Adaptable Resort Footprint, the objective is absorption and redistribution through well-managed alternatives. In Zone C: Community-Atoll Linkage, the objective is to widen local or regional benefit while controlling cumulative impacts. Infrastructure, signage, staffing and pricing should follow those objectives instead of being uniform across the destination.</w:t>
      </w:r>
    </w:p>
    <w:p>
      <w:pPr>
        <w:spacing w:line="480" w:lineRule="auto" w:after="120"/>
        <w:ind w:firstLine="432"/>
        <w:jc w:val="both"/>
      </w:pPr>
      <w:r>
        <w:rPr>
          <w:rFonts w:ascii="Times New Roman" w:hAnsi="Times New Roman"/>
          <w:sz w:val="24"/>
        </w:rPr>
        <w:t>The first implementation phase is a twelve-month baseline and pilot. Managers should establish data protocols, agree thresholds, test booking or scheduling tools, map stakeholder impacts and run one or two geographically limited pilots. The second phase, months 13-30, scales measures that demonstrate environmental and operational effectiveness. The third phase, months 31-60, embeds successful measures in regulation, budgets and concession agreements. Staging reduces the risk of expensive destination-wide interventions before evidence is available.</w:t>
      </w:r>
    </w:p>
    <w:p>
      <w:pPr>
        <w:spacing w:line="480" w:lineRule="auto" w:after="120"/>
        <w:ind w:firstLine="432"/>
        <w:jc w:val="both"/>
      </w:pPr>
      <w:r>
        <w:rPr>
          <w:rFonts w:ascii="Times New Roman" w:hAnsi="Times New Roman"/>
          <w:sz w:val="24"/>
        </w:rPr>
        <w:t>Financially, the project should combine existing public budgets with destination-generated revenue and partnership funding. The principle is additionality: new fees or levies should finance monitoring, conservation, community benefit or infrastructure that directly supports the plan. Transparent earmarking is essential. If revenue disappears into a general account, stakeholders may see sustainability charges as taxation without service improvement.</w:t>
      </w:r>
    </w:p>
    <w:p>
      <w:pPr>
        <w:spacing w:line="480" w:lineRule="auto" w:after="120"/>
        <w:ind w:firstLine="432"/>
        <w:jc w:val="both"/>
      </w:pPr>
      <w:r>
        <w:rPr>
          <w:rFonts w:ascii="Times New Roman" w:hAnsi="Times New Roman"/>
          <w:sz w:val="24"/>
        </w:rPr>
        <w:t>Communication is treated as infrastructure. Visitors need clear rules before arrival, operators need implementation guidance, and communities need access to monitoring results and complaint mechanisms. Messaging should explain the protected value and the behaviour required, not rely on moralising slogans. Good interpretation can convert a restriction into part of the visitor experience by showing how responsible behaviour protects the destination.</w:t>
      </w:r>
    </w:p>
    <w:p>
      <w:pPr>
        <w:spacing w:line="480" w:lineRule="auto" w:after="120"/>
        <w:ind w:firstLine="432"/>
        <w:jc w:val="both"/>
      </w:pPr>
      <w:r>
        <w:rPr>
          <w:rFonts w:ascii="Times New Roman" w:hAnsi="Times New Roman"/>
          <w:sz w:val="24"/>
        </w:rPr>
        <w:t>Enforcement should follow a graduated model: education and warning for minor first breaches, meaningful penalties for commercial non-compliance, and suspension or licence action for repeated serious violations. Enforcement data should be analysed to identify rules that are confusing or impossible to follow. A high violation rate may indicate poor compliance behaviour, but it can also indicate a badly designed rule. Adaptive governance requires managers to distinguish between these causes.</w:t>
      </w:r>
    </w:p>
    <w:p>
      <w:pPr>
        <w:spacing w:line="480" w:lineRule="auto" w:after="120"/>
        <w:ind w:firstLine="432"/>
        <w:jc w:val="both"/>
      </w:pPr>
      <w:r>
        <w:rPr>
          <w:rFonts w:ascii="Times New Roman" w:hAnsi="Times New Roman"/>
          <w:sz w:val="24"/>
        </w:rPr>
        <w:t>The proposal is strategically viable because it aligns protection with economic quality rather than demanding an abrupt end to tourism. It creates incentives for less congested, higher-value and better-managed visitation; provides businesses with predictable operating conditions; and gives communities a formal role in defining acceptable change. That combination is more durable than emergency restrictions introduced only after visible degradation has occurred (Galli et al., 2025; Njoroge, 2014).</w:t>
      </w:r>
    </w:p>
    <w:p>
      <w:pPr>
        <w:pStyle w:val="Heading1"/>
        <w:keepNext/>
        <w:spacing w:before="240" w:after="120"/>
        <w:jc w:val="left"/>
      </w:pPr>
      <w:r>
        <w:rPr>
          <w:rFonts w:ascii="Times New Roman" w:hAnsi="Times New Roman"/>
          <w:b/>
          <w:color w:val="1F4E79"/>
          <w:sz w:val="30"/>
        </w:rPr>
        <w:t>Action Plan, Monitoring &amp; KPIs - Turning Strategy into Delivery</w:t>
      </w:r>
    </w:p>
    <w:p>
      <w:pPr>
        <w:spacing w:line="480" w:lineRule="auto" w:after="120"/>
        <w:ind w:firstLine="432"/>
        <w:jc w:val="both"/>
      </w:pPr>
      <w:r>
        <w:rPr>
          <w:rFonts w:ascii="Times New Roman" w:hAnsi="Times New Roman"/>
          <w:sz w:val="24"/>
        </w:rPr>
        <w:t>Implementation begins with governance. Within the first three months, the lead authority should establish a cross-sector steering group for the Maldives Regenerative Atoll Resilience Standard (M-RARS), define decision rights, confirm the three management zones and approve a monitoring protocol. By month six, baseline data collection should be active and a public dashboard prototype should be available. By month twelve, the first capacity or access pilot should have been evaluated against environmental, social, economic and operational indicators.</w:t>
      </w:r>
    </w:p>
    <w:p>
      <w:pPr>
        <w:spacing w:line="480" w:lineRule="auto" w:after="120"/>
        <w:ind w:firstLine="432"/>
        <w:jc w:val="both"/>
      </w:pPr>
      <w:r>
        <w:rPr>
          <w:rFonts w:ascii="Times New Roman" w:hAnsi="Times New Roman"/>
          <w:sz w:val="24"/>
        </w:rPr>
        <w:t>The KPI system uses a balanced scorecard. No single metric is sufficient because improving one dimension can worsen another. The plan therefore tracks resource condition, pressure or crowding, community/resident outcome, economic distribution and compliance. Each KPI has a review frequency and an accountable data owner. The steering group should review quarterly operational indicators and conduct an annual strategic review that can revise thresholds and budgets.</w:t>
      </w:r>
    </w:p>
    <w:p>
      <w:pPr>
        <w:spacing w:line="480" w:lineRule="auto" w:after="120"/>
        <w:ind w:firstLine="432"/>
        <w:jc w:val="both"/>
      </w:pPr>
      <w:r>
        <w:rPr>
          <w:rFonts w:ascii="Times New Roman" w:hAnsi="Times New Roman"/>
          <w:sz w:val="24"/>
        </w:rPr>
        <w:t>Trigger rules convert monitoring into action. A yellow status signals movement toward the threshold and requires investigation or preventive action. An orange status means the threshold has been exceeded in repeated monitoring periods and activates a pre-agreed measure such as reduced capacity, route diversion or intensified enforcement. A red status indicates significant risk to resource integrity or safety and can trigger temporary closure or emergency restrictions. Return to normal should also require evidence, preventing premature reopening driven only by commercial pressure.</w:t>
      </w:r>
    </w:p>
    <w:p>
      <w:pPr>
        <w:spacing w:line="480" w:lineRule="auto" w:after="120"/>
        <w:ind w:firstLine="432"/>
        <w:jc w:val="both"/>
      </w:pPr>
      <w:r>
        <w:rPr>
          <w:rFonts w:ascii="Times New Roman" w:hAnsi="Times New Roman"/>
          <w:sz w:val="24"/>
        </w:rPr>
        <w:t>Evaluation should distinguish outputs from outcomes. Installing counters, publishing a code of conduct or training staff are outputs. The outcomes are lower harmful pressure, improved condition, fairer benefit distribution and higher compliance. Annual reporting should therefore ask whether the intervention changed the problem, not just whether planned activities were completed. Where outcomes do not improve, the measure should be redesigned or discontinued.</w:t>
      </w:r>
    </w:p>
    <w:p>
      <w:pPr>
        <w:spacing w:line="480" w:lineRule="auto" w:after="120"/>
        <w:ind w:firstLine="432"/>
        <w:jc w:val="both"/>
      </w:pPr>
      <w:r>
        <w:rPr>
          <w:rFonts w:ascii="Times New Roman" w:hAnsi="Times New Roman"/>
          <w:sz w:val="24"/>
        </w:rPr>
        <w:t>A five-year review should assess whether the destination has moved toward a more resilient tourism model. The review should combine trend data with independent evaluation and stakeholder testimony. It should examine unintended effects, including displacement of pressure to other places, exclusion caused by pricing, informal activity created by restrictions or new infrastructure impacts. Sustainable management is credible when it is willing to measure and correct its own side effects.</w:t>
      </w:r>
    </w:p>
    <w:p>
      <w:pPr>
        <w:spacing w:line="480" w:lineRule="auto" w:after="120"/>
        <w:ind w:firstLine="432"/>
        <w:jc w:val="both"/>
      </w:pPr>
      <w:r>
        <w:rPr>
          <w:rFonts w:ascii="Times New Roman" w:hAnsi="Times New Roman"/>
          <w:sz w:val="24"/>
        </w:rPr>
        <w:t>Data governance is another implementation priority. Counts, surveys and ecological or heritage observations should use documented methods so trends remain comparable across years. Where automated data are used, managers should audit coverage and error instead of assuming digital systems are complete. Community or resident feedback should be analysed alongside technical indicators because a destination can meet a physical target while still producing unacceptable social outcomes. An annual public data note should explain method changes, missing observations and uncertainty. This strengthens academic credibility, reduces selective reporting and makes it easier for stakeholders to understand why a management response has been activated or withdrawn.</w:t>
      </w:r>
    </w:p>
    <w:p>
      <w:pPr>
        <w:pStyle w:val="Heading1"/>
        <w:keepNext/>
        <w:spacing w:before="240" w:after="120"/>
        <w:jc w:val="left"/>
      </w:pPr>
      <w:r>
        <w:rPr>
          <w:rFonts w:ascii="Times New Roman" w:hAnsi="Times New Roman"/>
          <w:b/>
          <w:color w:val="1F4E79"/>
          <w:sz w:val="30"/>
        </w:rPr>
        <w:t>Conclusion &amp; Recommendations - A Managed Future for Maldives</w:t>
      </w:r>
    </w:p>
    <w:p>
      <w:pPr>
        <w:spacing w:line="480" w:lineRule="auto" w:after="120"/>
        <w:ind w:firstLine="432"/>
        <w:jc w:val="both"/>
      </w:pPr>
      <w:r>
        <w:rPr>
          <w:rFonts w:ascii="Times New Roman" w:hAnsi="Times New Roman"/>
          <w:sz w:val="24"/>
        </w:rPr>
        <w:t>The analysis shows that the sustainability challenge in Maldives is not adequately described by visitor numbers alone. The core issue is a tourism-dependent coral archipelago exposed to sea-level rise, erosion, storm surge, coral bleaching, freshwater stress and the ecological effects of resort construction, reclamation, waste and energy systems. A sustainable response must therefore align spatial design, stakeholder governance, economic incentives and measurable resource standards. The Maldives Regenerative Atoll Resilience Standard (M-RARS) provides that integrated structure by combining three management zones with adaptive thresholds and a transparent monitoring cycle.</w:t>
      </w:r>
    </w:p>
    <w:p>
      <w:pPr>
        <w:spacing w:line="480" w:lineRule="auto" w:after="120"/>
        <w:ind w:firstLine="432"/>
        <w:jc w:val="both"/>
      </w:pPr>
      <w:r>
        <w:rPr>
          <w:rFonts w:ascii="Times New Roman" w:hAnsi="Times New Roman"/>
          <w:sz w:val="24"/>
        </w:rPr>
        <w:t>The first recommendation is to manage conditions, not headline volume. Managers should define what environmental, heritage, social and operational conditions must be maintained and link those conditions to measurable indicators. The second recommendation is to make spatial differentiation explicit: the most sensitive zone should receive the strongest controls, transition zones should absorb and redistribute pressure, and wider community or destination areas should receive investment only within their own capacity.</w:t>
      </w:r>
    </w:p>
    <w:p>
      <w:pPr>
        <w:spacing w:line="480" w:lineRule="auto" w:after="120"/>
        <w:ind w:firstLine="432"/>
        <w:jc w:val="both"/>
      </w:pPr>
      <w:r>
        <w:rPr>
          <w:rFonts w:ascii="Times New Roman" w:hAnsi="Times New Roman"/>
          <w:sz w:val="24"/>
        </w:rPr>
        <w:t>The third recommendation is to institutionalise stakeholder power rather than rely on ad hoc consultation. Major rule changes should be reviewed through a representative governance mechanism with published evidence and clear conflict-of-interest safeguards. The fourth is to earmark tourism-generated revenue for conservation, monitoring, community benefit and low-impact infrastructure. The fifth is to review the plan annually and adjust it when indicators show that assumptions were wrong.</w:t>
      </w:r>
    </w:p>
    <w:p>
      <w:pPr>
        <w:spacing w:line="480" w:lineRule="auto" w:after="120"/>
        <w:ind w:firstLine="432"/>
        <w:jc w:val="both"/>
      </w:pPr>
      <w:r>
        <w:rPr>
          <w:rFonts w:ascii="Times New Roman" w:hAnsi="Times New Roman"/>
          <w:sz w:val="24"/>
        </w:rPr>
        <w:t>Ultimately, sustainable tourism planning is successful when the destination remains worth living in, conserving and visiting. The objective is not to freeze Maldives at one level of use but to create a management system capable of learning and responding before unacceptable change becomes permanent. That is the shift from reactive tourism management to stewardship-based destination planning.</w:t>
      </w:r>
    </w:p>
    <w:p>
      <w:pPr>
        <w:pStyle w:val="Heading2"/>
        <w:keepNext/>
        <w:spacing w:before="160" w:after="120"/>
        <w:jc w:val="left"/>
      </w:pPr>
      <w:r>
        <w:rPr>
          <w:rFonts w:ascii="Times New Roman" w:hAnsi="Times New Roman"/>
          <w:b/>
          <w:color w:val="373737"/>
          <w:sz w:val="26"/>
        </w:rPr>
        <w:t>KPI Scorecard</w:t>
      </w:r>
    </w:p>
    <w:tbl>
      <w:tblPr>
        <w:tblStyle w:val="TableGrid"/>
        <w:tblW w:type="auto" w:w="0"/>
        <w:jc w:val="center"/>
        <w:tblLayout w:type="fixed"/>
        <w:tblLook w:firstColumn="1" w:firstRow="1" w:lastColumn="0" w:lastRow="0" w:noHBand="0" w:noVBand="1" w:val="04A0"/>
      </w:tblPr>
      <w:tblGrid>
        <w:gridCol w:w="2340"/>
        <w:gridCol w:w="2340"/>
        <w:gridCol w:w="2340"/>
        <w:gridCol w:w="2340"/>
      </w:tblGrid>
      <w:tr>
        <w:trPr>
          <w:tblHeader w:val="true"/>
        </w:trPr>
        <w:tc>
          <w:tcPr>
            <w:tcW w:type="dxa" w:w="3096"/>
            <w:shd w:fill="D9EAF7"/>
            <w:tcMar>
              <w:top w:w="100" w:type="dxa"/>
              <w:start w:w="100" w:type="dxa"/>
              <w:bottom w:w="100" w:type="dxa"/>
              <w:end w:w="100" w:type="dxa"/>
            </w:tcMar>
            <w:vAlign w:val="center"/>
          </w:tcPr>
          <w:p>
            <w:pPr>
              <w:spacing w:line="252" w:lineRule="auto"/>
            </w:pPr>
            <w:r>
              <w:rPr>
                <w:rFonts w:ascii="Times New Roman" w:hAnsi="Times New Roman"/>
                <w:b/>
                <w:sz w:val="18"/>
              </w:rPr>
              <w:t>Indicator</w:t>
            </w:r>
          </w:p>
        </w:tc>
        <w:tc>
          <w:tcPr>
            <w:tcW w:type="dxa" w:w="3528"/>
            <w:shd w:fill="D9EAF7"/>
            <w:tcMar>
              <w:top w:w="100" w:type="dxa"/>
              <w:start w:w="100" w:type="dxa"/>
              <w:bottom w:w="100" w:type="dxa"/>
              <w:end w:w="100" w:type="dxa"/>
            </w:tcMar>
            <w:vAlign w:val="center"/>
          </w:tcPr>
          <w:p>
            <w:pPr>
              <w:spacing w:line="252" w:lineRule="auto"/>
            </w:pPr>
            <w:r>
              <w:rPr>
                <w:rFonts w:ascii="Times New Roman" w:hAnsi="Times New Roman"/>
                <w:b/>
                <w:sz w:val="18"/>
              </w:rPr>
              <w:t>Target / Direction</w:t>
            </w:r>
          </w:p>
        </w:tc>
        <w:tc>
          <w:tcPr>
            <w:tcW w:type="dxa" w:w="2088"/>
            <w:shd w:fill="D9EAF7"/>
            <w:tcMar>
              <w:top w:w="100" w:type="dxa"/>
              <w:start w:w="100" w:type="dxa"/>
              <w:bottom w:w="100" w:type="dxa"/>
              <w:end w:w="100" w:type="dxa"/>
            </w:tcMar>
            <w:vAlign w:val="center"/>
          </w:tcPr>
          <w:p>
            <w:pPr>
              <w:spacing w:line="252" w:lineRule="auto"/>
            </w:pPr>
            <w:r>
              <w:rPr>
                <w:rFonts w:ascii="Times New Roman" w:hAnsi="Times New Roman"/>
                <w:b/>
                <w:sz w:val="18"/>
              </w:rPr>
              <w:t>Data Source</w:t>
            </w:r>
          </w:p>
        </w:tc>
        <w:tc>
          <w:tcPr>
            <w:tcW w:type="dxa" w:w="1152"/>
            <w:shd w:fill="D9EAF7"/>
            <w:tcMar>
              <w:top w:w="100" w:type="dxa"/>
              <w:start w:w="100" w:type="dxa"/>
              <w:bottom w:w="100" w:type="dxa"/>
              <w:end w:w="100" w:type="dxa"/>
            </w:tcMar>
            <w:vAlign w:val="center"/>
          </w:tcPr>
          <w:p>
            <w:pPr>
              <w:spacing w:line="252" w:lineRule="auto"/>
            </w:pPr>
            <w:r>
              <w:rPr>
                <w:rFonts w:ascii="Times New Roman" w:hAnsi="Times New Roman"/>
                <w:b/>
                <w:sz w:val="18"/>
              </w:rPr>
              <w:t>Review</w:t>
            </w:r>
          </w:p>
        </w:tc>
      </w:tr>
      <w:tr>
        <w:tc>
          <w:tcPr>
            <w:tcW w:type="dxa" w:w="3096"/>
            <w:tcMar>
              <w:top w:w="100" w:type="dxa"/>
              <w:start w:w="100" w:type="dxa"/>
              <w:bottom w:w="100" w:type="dxa"/>
              <w:end w:w="100" w:type="dxa"/>
            </w:tcMar>
            <w:vAlign w:val="center"/>
          </w:tcPr>
          <w:p>
            <w:pPr>
              <w:spacing w:line="252" w:lineRule="auto"/>
            </w:pPr>
            <w:r>
              <w:rPr>
                <w:rFonts w:ascii="Times New Roman" w:hAnsi="Times New Roman"/>
                <w:b w:val="0"/>
                <w:sz w:val="18"/>
              </w:rPr>
              <w:t>Live coral condition</w:t>
            </w:r>
          </w:p>
        </w:tc>
        <w:tc>
          <w:tcPr>
            <w:tcW w:type="dxa" w:w="3528"/>
            <w:tcMar>
              <w:top w:w="100" w:type="dxa"/>
              <w:start w:w="100" w:type="dxa"/>
              <w:bottom w:w="100" w:type="dxa"/>
              <w:end w:w="100" w:type="dxa"/>
            </w:tcMar>
            <w:vAlign w:val="center"/>
          </w:tcPr>
          <w:p>
            <w:pPr>
              <w:spacing w:line="252" w:lineRule="auto"/>
            </w:pPr>
            <w:r>
              <w:rPr>
                <w:rFonts w:ascii="Times New Roman" w:hAnsi="Times New Roman"/>
                <w:b w:val="0"/>
                <w:sz w:val="18"/>
              </w:rPr>
              <w:t>No net decline attributable to resort operations</w:t>
            </w:r>
          </w:p>
        </w:tc>
        <w:tc>
          <w:tcPr>
            <w:tcW w:type="dxa" w:w="2088"/>
            <w:tcMar>
              <w:top w:w="100" w:type="dxa"/>
              <w:start w:w="100" w:type="dxa"/>
              <w:bottom w:w="100" w:type="dxa"/>
              <w:end w:w="100" w:type="dxa"/>
            </w:tcMar>
            <w:vAlign w:val="center"/>
          </w:tcPr>
          <w:p>
            <w:pPr>
              <w:spacing w:line="252" w:lineRule="auto"/>
            </w:pPr>
            <w:r>
              <w:rPr>
                <w:rFonts w:ascii="Times New Roman" w:hAnsi="Times New Roman"/>
                <w:b w:val="0"/>
                <w:sz w:val="18"/>
              </w:rPr>
              <w:t>Standardised reef surveys</w:t>
            </w:r>
          </w:p>
        </w:tc>
        <w:tc>
          <w:tcPr>
            <w:tcW w:type="dxa" w:w="1152"/>
            <w:tcMar>
              <w:top w:w="100" w:type="dxa"/>
              <w:start w:w="100" w:type="dxa"/>
              <w:bottom w:w="100" w:type="dxa"/>
              <w:end w:w="100" w:type="dxa"/>
            </w:tcMar>
            <w:vAlign w:val="center"/>
          </w:tcPr>
          <w:p>
            <w:pPr>
              <w:spacing w:line="252" w:lineRule="auto"/>
            </w:pPr>
            <w:r>
              <w:rPr>
                <w:rFonts w:ascii="Times New Roman" w:hAnsi="Times New Roman"/>
                <w:b w:val="0"/>
                <w:sz w:val="18"/>
              </w:rPr>
              <w:t>Annual</w:t>
            </w:r>
          </w:p>
        </w:tc>
      </w:tr>
      <w:tr>
        <w:tc>
          <w:tcPr>
            <w:tcW w:type="dxa" w:w="3096"/>
            <w:tcMar>
              <w:top w:w="100" w:type="dxa"/>
              <w:start w:w="100" w:type="dxa"/>
              <w:bottom w:w="100" w:type="dxa"/>
              <w:end w:w="100" w:type="dxa"/>
            </w:tcMar>
            <w:vAlign w:val="center"/>
          </w:tcPr>
          <w:p>
            <w:pPr>
              <w:spacing w:line="252" w:lineRule="auto"/>
            </w:pPr>
            <w:r>
              <w:rPr>
                <w:rFonts w:ascii="Times New Roman" w:hAnsi="Times New Roman"/>
                <w:b w:val="0"/>
                <w:sz w:val="18"/>
              </w:rPr>
              <w:t>Potable water intensity</w:t>
            </w:r>
          </w:p>
        </w:tc>
        <w:tc>
          <w:tcPr>
            <w:tcW w:type="dxa" w:w="3528"/>
            <w:tcMar>
              <w:top w:w="100" w:type="dxa"/>
              <w:start w:w="100" w:type="dxa"/>
              <w:bottom w:w="100" w:type="dxa"/>
              <w:end w:w="100" w:type="dxa"/>
            </w:tcMar>
            <w:vAlign w:val="center"/>
          </w:tcPr>
          <w:p>
            <w:pPr>
              <w:spacing w:line="252" w:lineRule="auto"/>
            </w:pPr>
            <w:r>
              <w:rPr>
                <w:rFonts w:ascii="Times New Roman" w:hAnsi="Times New Roman"/>
                <w:b w:val="0"/>
                <w:sz w:val="18"/>
              </w:rPr>
              <w:t>20% reduction per guest-night by year 4</w:t>
            </w:r>
          </w:p>
        </w:tc>
        <w:tc>
          <w:tcPr>
            <w:tcW w:type="dxa" w:w="2088"/>
            <w:tcMar>
              <w:top w:w="100" w:type="dxa"/>
              <w:start w:w="100" w:type="dxa"/>
              <w:bottom w:w="100" w:type="dxa"/>
              <w:end w:w="100" w:type="dxa"/>
            </w:tcMar>
            <w:vAlign w:val="center"/>
          </w:tcPr>
          <w:p>
            <w:pPr>
              <w:spacing w:line="252" w:lineRule="auto"/>
            </w:pPr>
            <w:r>
              <w:rPr>
                <w:rFonts w:ascii="Times New Roman" w:hAnsi="Times New Roman"/>
                <w:b w:val="0"/>
                <w:sz w:val="18"/>
              </w:rPr>
              <w:t>Resort utility meters</w:t>
            </w:r>
          </w:p>
        </w:tc>
        <w:tc>
          <w:tcPr>
            <w:tcW w:type="dxa" w:w="1152"/>
            <w:tcMar>
              <w:top w:w="100" w:type="dxa"/>
              <w:start w:w="100" w:type="dxa"/>
              <w:bottom w:w="100" w:type="dxa"/>
              <w:end w:w="100" w:type="dxa"/>
            </w:tcMar>
            <w:vAlign w:val="center"/>
          </w:tcPr>
          <w:p>
            <w:pPr>
              <w:spacing w:line="252" w:lineRule="auto"/>
            </w:pPr>
            <w:r>
              <w:rPr>
                <w:rFonts w:ascii="Times New Roman" w:hAnsi="Times New Roman"/>
                <w:b w:val="0"/>
                <w:sz w:val="18"/>
              </w:rPr>
              <w:t>Monthly</w:t>
            </w:r>
          </w:p>
        </w:tc>
      </w:tr>
      <w:tr>
        <w:tc>
          <w:tcPr>
            <w:tcW w:type="dxa" w:w="3096"/>
            <w:tcMar>
              <w:top w:w="100" w:type="dxa"/>
              <w:start w:w="100" w:type="dxa"/>
              <w:bottom w:w="100" w:type="dxa"/>
              <w:end w:w="100" w:type="dxa"/>
            </w:tcMar>
            <w:vAlign w:val="center"/>
          </w:tcPr>
          <w:p>
            <w:pPr>
              <w:spacing w:line="252" w:lineRule="auto"/>
            </w:pPr>
            <w:r>
              <w:rPr>
                <w:rFonts w:ascii="Times New Roman" w:hAnsi="Times New Roman"/>
                <w:b w:val="0"/>
                <w:sz w:val="18"/>
              </w:rPr>
              <w:t>Waste diversion</w:t>
            </w:r>
          </w:p>
        </w:tc>
        <w:tc>
          <w:tcPr>
            <w:tcW w:type="dxa" w:w="3528"/>
            <w:tcMar>
              <w:top w:w="100" w:type="dxa"/>
              <w:start w:w="100" w:type="dxa"/>
              <w:bottom w:w="100" w:type="dxa"/>
              <w:end w:w="100" w:type="dxa"/>
            </w:tcMar>
            <w:vAlign w:val="center"/>
          </w:tcPr>
          <w:p>
            <w:pPr>
              <w:spacing w:line="252" w:lineRule="auto"/>
            </w:pPr>
            <w:r>
              <w:rPr>
                <w:rFonts w:ascii="Times New Roman" w:hAnsi="Times New Roman"/>
                <w:b w:val="0"/>
                <w:sz w:val="18"/>
              </w:rPr>
              <w:t>≥80% diversion from uncontrolled disposal by year 5</w:t>
            </w:r>
          </w:p>
        </w:tc>
        <w:tc>
          <w:tcPr>
            <w:tcW w:type="dxa" w:w="2088"/>
            <w:tcMar>
              <w:top w:w="100" w:type="dxa"/>
              <w:start w:w="100" w:type="dxa"/>
              <w:bottom w:w="100" w:type="dxa"/>
              <w:end w:w="100" w:type="dxa"/>
            </w:tcMar>
            <w:vAlign w:val="center"/>
          </w:tcPr>
          <w:p>
            <w:pPr>
              <w:spacing w:line="252" w:lineRule="auto"/>
            </w:pPr>
            <w:r>
              <w:rPr>
                <w:rFonts w:ascii="Times New Roman" w:hAnsi="Times New Roman"/>
                <w:b w:val="0"/>
                <w:sz w:val="18"/>
              </w:rPr>
              <w:t>Waste manifests</w:t>
            </w:r>
          </w:p>
        </w:tc>
        <w:tc>
          <w:tcPr>
            <w:tcW w:type="dxa" w:w="1152"/>
            <w:tcMar>
              <w:top w:w="100" w:type="dxa"/>
              <w:start w:w="100" w:type="dxa"/>
              <w:bottom w:w="100" w:type="dxa"/>
              <w:end w:w="100" w:type="dxa"/>
            </w:tcMar>
            <w:vAlign w:val="center"/>
          </w:tcPr>
          <w:p>
            <w:pPr>
              <w:spacing w:line="252" w:lineRule="auto"/>
            </w:pPr>
            <w:r>
              <w:rPr>
                <w:rFonts w:ascii="Times New Roman" w:hAnsi="Times New Roman"/>
                <w:b w:val="0"/>
                <w:sz w:val="18"/>
              </w:rPr>
              <w:t>Quarterly</w:t>
            </w:r>
          </w:p>
        </w:tc>
      </w:tr>
      <w:tr>
        <w:tc>
          <w:tcPr>
            <w:tcW w:type="dxa" w:w="3096"/>
            <w:tcMar>
              <w:top w:w="100" w:type="dxa"/>
              <w:start w:w="100" w:type="dxa"/>
              <w:bottom w:w="100" w:type="dxa"/>
              <w:end w:w="100" w:type="dxa"/>
            </w:tcMar>
            <w:vAlign w:val="center"/>
          </w:tcPr>
          <w:p>
            <w:pPr>
              <w:spacing w:line="252" w:lineRule="auto"/>
            </w:pPr>
            <w:r>
              <w:rPr>
                <w:rFonts w:ascii="Times New Roman" w:hAnsi="Times New Roman"/>
                <w:b w:val="0"/>
                <w:sz w:val="18"/>
              </w:rPr>
              <w:t>Renewable energy share</w:t>
            </w:r>
          </w:p>
        </w:tc>
        <w:tc>
          <w:tcPr>
            <w:tcW w:type="dxa" w:w="3528"/>
            <w:tcMar>
              <w:top w:w="100" w:type="dxa"/>
              <w:start w:w="100" w:type="dxa"/>
              <w:bottom w:w="100" w:type="dxa"/>
              <w:end w:w="100" w:type="dxa"/>
            </w:tcMar>
            <w:vAlign w:val="center"/>
          </w:tcPr>
          <w:p>
            <w:pPr>
              <w:spacing w:line="252" w:lineRule="auto"/>
            </w:pPr>
            <w:r>
              <w:rPr>
                <w:rFonts w:ascii="Times New Roman" w:hAnsi="Times New Roman"/>
                <w:b w:val="0"/>
                <w:sz w:val="18"/>
              </w:rPr>
              <w:t>Year-on-year increase toward site-specific target</w:t>
            </w:r>
          </w:p>
        </w:tc>
        <w:tc>
          <w:tcPr>
            <w:tcW w:type="dxa" w:w="2088"/>
            <w:tcMar>
              <w:top w:w="100" w:type="dxa"/>
              <w:start w:w="100" w:type="dxa"/>
              <w:bottom w:w="100" w:type="dxa"/>
              <w:end w:w="100" w:type="dxa"/>
            </w:tcMar>
            <w:vAlign w:val="center"/>
          </w:tcPr>
          <w:p>
            <w:pPr>
              <w:spacing w:line="252" w:lineRule="auto"/>
            </w:pPr>
            <w:r>
              <w:rPr>
                <w:rFonts w:ascii="Times New Roman" w:hAnsi="Times New Roman"/>
                <w:b w:val="0"/>
                <w:sz w:val="18"/>
              </w:rPr>
              <w:t>Energy records</w:t>
            </w:r>
          </w:p>
        </w:tc>
        <w:tc>
          <w:tcPr>
            <w:tcW w:type="dxa" w:w="1152"/>
            <w:tcMar>
              <w:top w:w="100" w:type="dxa"/>
              <w:start w:w="100" w:type="dxa"/>
              <w:bottom w:w="100" w:type="dxa"/>
              <w:end w:w="100" w:type="dxa"/>
            </w:tcMar>
            <w:vAlign w:val="center"/>
          </w:tcPr>
          <w:p>
            <w:pPr>
              <w:spacing w:line="252" w:lineRule="auto"/>
            </w:pPr>
            <w:r>
              <w:rPr>
                <w:rFonts w:ascii="Times New Roman" w:hAnsi="Times New Roman"/>
                <w:b w:val="0"/>
                <w:sz w:val="18"/>
              </w:rPr>
              <w:t>Quarterly</w:t>
            </w:r>
          </w:p>
        </w:tc>
      </w:tr>
      <w:tr>
        <w:tc>
          <w:tcPr>
            <w:tcW w:type="dxa" w:w="3096"/>
            <w:tcMar>
              <w:top w:w="100" w:type="dxa"/>
              <w:start w:w="100" w:type="dxa"/>
              <w:bottom w:w="100" w:type="dxa"/>
              <w:end w:w="100" w:type="dxa"/>
            </w:tcMar>
            <w:vAlign w:val="center"/>
          </w:tcPr>
          <w:p>
            <w:pPr>
              <w:spacing w:line="252" w:lineRule="auto"/>
            </w:pPr>
            <w:r>
              <w:rPr>
                <w:rFonts w:ascii="Times New Roman" w:hAnsi="Times New Roman"/>
                <w:b w:val="0"/>
                <w:sz w:val="18"/>
              </w:rPr>
              <w:t>Shoreline intervention performance</w:t>
            </w:r>
          </w:p>
        </w:tc>
        <w:tc>
          <w:tcPr>
            <w:tcW w:type="dxa" w:w="3528"/>
            <w:tcMar>
              <w:top w:w="100" w:type="dxa"/>
              <w:start w:w="100" w:type="dxa"/>
              <w:bottom w:w="100" w:type="dxa"/>
              <w:end w:w="100" w:type="dxa"/>
            </w:tcMar>
            <w:vAlign w:val="center"/>
          </w:tcPr>
          <w:p>
            <w:pPr>
              <w:spacing w:line="252" w:lineRule="auto"/>
            </w:pPr>
            <w:r>
              <w:rPr>
                <w:rFonts w:ascii="Times New Roman" w:hAnsi="Times New Roman"/>
                <w:b w:val="0"/>
                <w:sz w:val="18"/>
              </w:rPr>
              <w:t>No adjacent erosion beyond EIA threshold</w:t>
            </w:r>
          </w:p>
        </w:tc>
        <w:tc>
          <w:tcPr>
            <w:tcW w:type="dxa" w:w="2088"/>
            <w:tcMar>
              <w:top w:w="100" w:type="dxa"/>
              <w:start w:w="100" w:type="dxa"/>
              <w:bottom w:w="100" w:type="dxa"/>
              <w:end w:w="100" w:type="dxa"/>
            </w:tcMar>
            <w:vAlign w:val="center"/>
          </w:tcPr>
          <w:p>
            <w:pPr>
              <w:spacing w:line="252" w:lineRule="auto"/>
            </w:pPr>
            <w:r>
              <w:rPr>
                <w:rFonts w:ascii="Times New Roman" w:hAnsi="Times New Roman"/>
                <w:b w:val="0"/>
                <w:sz w:val="18"/>
              </w:rPr>
              <w:t>Drone/GIS shoreline survey</w:t>
            </w:r>
          </w:p>
        </w:tc>
        <w:tc>
          <w:tcPr>
            <w:tcW w:type="dxa" w:w="1152"/>
            <w:tcMar>
              <w:top w:w="100" w:type="dxa"/>
              <w:start w:w="100" w:type="dxa"/>
              <w:bottom w:w="100" w:type="dxa"/>
              <w:end w:w="100" w:type="dxa"/>
            </w:tcMar>
            <w:vAlign w:val="center"/>
          </w:tcPr>
          <w:p>
            <w:pPr>
              <w:spacing w:line="252" w:lineRule="auto"/>
            </w:pPr>
            <w:r>
              <w:rPr>
                <w:rFonts w:ascii="Times New Roman" w:hAnsi="Times New Roman"/>
                <w:b w:val="0"/>
                <w:sz w:val="18"/>
              </w:rPr>
              <w:t>Biannual</w:t>
            </w:r>
          </w:p>
        </w:tc>
      </w:tr>
    </w:tbl>
    <w:p>
      <w:pPr>
        <w:pStyle w:val="Heading2"/>
        <w:keepNext/>
        <w:spacing w:before="160" w:after="120"/>
        <w:jc w:val="left"/>
      </w:pPr>
      <w:r>
        <w:rPr>
          <w:rFonts w:ascii="Times New Roman" w:hAnsi="Times New Roman"/>
          <w:b/>
          <w:color w:val="373737"/>
          <w:sz w:val="26"/>
        </w:rPr>
        <w:t>Five-Year Action Plan</w:t>
      </w:r>
    </w:p>
    <w:tbl>
      <w:tblPr>
        <w:tblStyle w:val="TableGrid"/>
        <w:tblW w:type="auto" w:w="0"/>
        <w:jc w:val="center"/>
        <w:tblLayout w:type="fixed"/>
        <w:tblLook w:firstColumn="1" w:firstRow="1" w:lastColumn="0" w:lastRow="0" w:noHBand="0" w:noVBand="1" w:val="04A0"/>
      </w:tblPr>
      <w:tblGrid>
        <w:gridCol w:w="2340"/>
        <w:gridCol w:w="2340"/>
        <w:gridCol w:w="2340"/>
        <w:gridCol w:w="2340"/>
      </w:tblGrid>
      <w:tr>
        <w:trPr>
          <w:tblHeader w:val="true"/>
        </w:trPr>
        <w:tc>
          <w:tcPr>
            <w:tcW w:type="dxa" w:w="2340"/>
            <w:shd w:fill="D9EAF7"/>
            <w:tcMar>
              <w:top w:w="100" w:type="dxa"/>
              <w:start w:w="100" w:type="dxa"/>
              <w:bottom w:w="100" w:type="dxa"/>
              <w:end w:w="100" w:type="dxa"/>
            </w:tcMar>
            <w:vAlign w:val="center"/>
          </w:tcPr>
          <w:p>
            <w:pPr>
              <w:spacing w:line="252" w:lineRule="auto"/>
            </w:pPr>
            <w:r>
              <w:rPr>
                <w:rFonts w:ascii="Times New Roman" w:hAnsi="Times New Roman"/>
                <w:b/>
                <w:sz w:val="18"/>
              </w:rPr>
              <w:t>Phase</w:t>
            </w:r>
          </w:p>
        </w:tc>
        <w:tc>
          <w:tcPr>
            <w:tcW w:type="dxa" w:w="2340"/>
            <w:shd w:fill="D9EAF7"/>
            <w:tcMar>
              <w:top w:w="100" w:type="dxa"/>
              <w:start w:w="100" w:type="dxa"/>
              <w:bottom w:w="100" w:type="dxa"/>
              <w:end w:w="100" w:type="dxa"/>
            </w:tcMar>
            <w:vAlign w:val="center"/>
          </w:tcPr>
          <w:p>
            <w:pPr>
              <w:spacing w:line="252" w:lineRule="auto"/>
            </w:pPr>
            <w:r>
              <w:rPr>
                <w:rFonts w:ascii="Times New Roman" w:hAnsi="Times New Roman"/>
                <w:b/>
                <w:sz w:val="18"/>
              </w:rPr>
              <w:t>Priority actions</w:t>
            </w:r>
          </w:p>
        </w:tc>
        <w:tc>
          <w:tcPr>
            <w:tcW w:type="dxa" w:w="2340"/>
            <w:shd w:fill="D9EAF7"/>
            <w:tcMar>
              <w:top w:w="100" w:type="dxa"/>
              <w:start w:w="100" w:type="dxa"/>
              <w:bottom w:w="100" w:type="dxa"/>
              <w:end w:w="100" w:type="dxa"/>
            </w:tcMar>
            <w:vAlign w:val="center"/>
          </w:tcPr>
          <w:p>
            <w:pPr>
              <w:spacing w:line="252" w:lineRule="auto"/>
            </w:pPr>
            <w:r>
              <w:rPr>
                <w:rFonts w:ascii="Times New Roman" w:hAnsi="Times New Roman"/>
                <w:b/>
                <w:sz w:val="18"/>
              </w:rPr>
              <w:t>Lead responsibility</w:t>
            </w:r>
          </w:p>
        </w:tc>
        <w:tc>
          <w:tcPr>
            <w:tcW w:type="dxa" w:w="2340"/>
            <w:shd w:fill="D9EAF7"/>
            <w:tcMar>
              <w:top w:w="100" w:type="dxa"/>
              <w:start w:w="100" w:type="dxa"/>
              <w:bottom w:w="100" w:type="dxa"/>
              <w:end w:w="100" w:type="dxa"/>
            </w:tcMar>
            <w:vAlign w:val="center"/>
          </w:tcPr>
          <w:p>
            <w:pPr>
              <w:spacing w:line="252" w:lineRule="auto"/>
            </w:pPr>
            <w:r>
              <w:rPr>
                <w:rFonts w:ascii="Times New Roman" w:hAnsi="Times New Roman"/>
                <w:b/>
                <w:sz w:val="18"/>
              </w:rPr>
              <w:t>Evidence of completion</w:t>
            </w:r>
          </w:p>
        </w:tc>
      </w:tr>
      <w:tr>
        <w:tc>
          <w:tcPr>
            <w:tcW w:type="dxa" w:w="2340"/>
            <w:tcMar>
              <w:top w:w="100" w:type="dxa"/>
              <w:start w:w="100" w:type="dxa"/>
              <w:bottom w:w="100" w:type="dxa"/>
              <w:end w:w="100" w:type="dxa"/>
            </w:tcMar>
            <w:vAlign w:val="center"/>
          </w:tcPr>
          <w:p>
            <w:pPr>
              <w:spacing w:line="252" w:lineRule="auto"/>
            </w:pPr>
            <w:r>
              <w:rPr>
                <w:rFonts w:ascii="Times New Roman" w:hAnsi="Times New Roman"/>
                <w:b w:val="0"/>
                <w:sz w:val="18"/>
              </w:rPr>
              <w:t>0-12 months</w:t>
            </w:r>
          </w:p>
        </w:tc>
        <w:tc>
          <w:tcPr>
            <w:tcW w:type="dxa" w:w="2340"/>
            <w:tcMar>
              <w:top w:w="100" w:type="dxa"/>
              <w:start w:w="100" w:type="dxa"/>
              <w:bottom w:w="100" w:type="dxa"/>
              <w:end w:w="100" w:type="dxa"/>
            </w:tcMar>
            <w:vAlign w:val="center"/>
          </w:tcPr>
          <w:p>
            <w:pPr>
              <w:spacing w:line="252" w:lineRule="auto"/>
            </w:pPr>
            <w:r>
              <w:rPr>
                <w:rFonts w:ascii="Times New Roman" w:hAnsi="Times New Roman"/>
                <w:b w:val="0"/>
                <w:sz w:val="18"/>
              </w:rPr>
              <w:t>Baseline mapping; stakeholder governance body; data standards; pilot access/flow control</w:t>
            </w:r>
          </w:p>
        </w:tc>
        <w:tc>
          <w:tcPr>
            <w:tcW w:type="dxa" w:w="2340"/>
            <w:tcMar>
              <w:top w:w="100" w:type="dxa"/>
              <w:start w:w="100" w:type="dxa"/>
              <w:bottom w:w="100" w:type="dxa"/>
              <w:end w:w="100" w:type="dxa"/>
            </w:tcMar>
            <w:vAlign w:val="center"/>
          </w:tcPr>
          <w:p>
            <w:pPr>
              <w:spacing w:line="252" w:lineRule="auto"/>
            </w:pPr>
            <w:r>
              <w:rPr>
                <w:rFonts w:ascii="Times New Roman" w:hAnsi="Times New Roman"/>
                <w:b w:val="0"/>
                <w:sz w:val="18"/>
              </w:rPr>
              <w:t>Lead destination/park authority with research and community partners</w:t>
            </w:r>
          </w:p>
        </w:tc>
        <w:tc>
          <w:tcPr>
            <w:tcW w:type="dxa" w:w="2340"/>
            <w:tcMar>
              <w:top w:w="100" w:type="dxa"/>
              <w:start w:w="100" w:type="dxa"/>
              <w:bottom w:w="100" w:type="dxa"/>
              <w:end w:w="100" w:type="dxa"/>
            </w:tcMar>
            <w:vAlign w:val="center"/>
          </w:tcPr>
          <w:p>
            <w:pPr>
              <w:spacing w:line="252" w:lineRule="auto"/>
            </w:pPr>
            <w:r>
              <w:rPr>
                <w:rFonts w:ascii="Times New Roman" w:hAnsi="Times New Roman"/>
                <w:b w:val="0"/>
                <w:sz w:val="18"/>
              </w:rPr>
              <w:t>Baseline report; governance charter; pilot evaluation</w:t>
            </w:r>
          </w:p>
        </w:tc>
      </w:tr>
      <w:tr>
        <w:tc>
          <w:tcPr>
            <w:tcW w:type="dxa" w:w="2340"/>
            <w:tcMar>
              <w:top w:w="100" w:type="dxa"/>
              <w:start w:w="100" w:type="dxa"/>
              <w:bottom w:w="100" w:type="dxa"/>
              <w:end w:w="100" w:type="dxa"/>
            </w:tcMar>
            <w:vAlign w:val="center"/>
          </w:tcPr>
          <w:p>
            <w:pPr>
              <w:spacing w:line="252" w:lineRule="auto"/>
            </w:pPr>
            <w:r>
              <w:rPr>
                <w:rFonts w:ascii="Times New Roman" w:hAnsi="Times New Roman"/>
                <w:b w:val="0"/>
                <w:sz w:val="18"/>
              </w:rPr>
              <w:t>13-30 months</w:t>
            </w:r>
          </w:p>
        </w:tc>
        <w:tc>
          <w:tcPr>
            <w:tcW w:type="dxa" w:w="2340"/>
            <w:tcMar>
              <w:top w:w="100" w:type="dxa"/>
              <w:start w:w="100" w:type="dxa"/>
              <w:bottom w:w="100" w:type="dxa"/>
              <w:end w:w="100" w:type="dxa"/>
            </w:tcMar>
            <w:vAlign w:val="center"/>
          </w:tcPr>
          <w:p>
            <w:pPr>
              <w:spacing w:line="252" w:lineRule="auto"/>
            </w:pPr>
            <w:r>
              <w:rPr>
                <w:rFonts w:ascii="Times New Roman" w:hAnsi="Times New Roman"/>
                <w:b w:val="0"/>
                <w:sz w:val="18"/>
              </w:rPr>
              <w:t>Scale zoning controls; invest in monitoring and low-impact infrastructure; operator/community transition support</w:t>
            </w:r>
          </w:p>
        </w:tc>
        <w:tc>
          <w:tcPr>
            <w:tcW w:type="dxa" w:w="2340"/>
            <w:tcMar>
              <w:top w:w="100" w:type="dxa"/>
              <w:start w:w="100" w:type="dxa"/>
              <w:bottom w:w="100" w:type="dxa"/>
              <w:end w:w="100" w:type="dxa"/>
            </w:tcMar>
            <w:vAlign w:val="center"/>
          </w:tcPr>
          <w:p>
            <w:pPr>
              <w:spacing w:line="252" w:lineRule="auto"/>
            </w:pPr>
            <w:r>
              <w:rPr>
                <w:rFonts w:ascii="Times New Roman" w:hAnsi="Times New Roman"/>
                <w:b w:val="0"/>
                <w:sz w:val="18"/>
              </w:rPr>
              <w:t>Authority + operators + local/community representatives</w:t>
            </w:r>
          </w:p>
        </w:tc>
        <w:tc>
          <w:tcPr>
            <w:tcW w:type="dxa" w:w="2340"/>
            <w:tcMar>
              <w:top w:w="100" w:type="dxa"/>
              <w:start w:w="100" w:type="dxa"/>
              <w:bottom w:w="100" w:type="dxa"/>
              <w:end w:w="100" w:type="dxa"/>
            </w:tcMar>
            <w:vAlign w:val="center"/>
          </w:tcPr>
          <w:p>
            <w:pPr>
              <w:spacing w:line="252" w:lineRule="auto"/>
            </w:pPr>
            <w:r>
              <w:rPr>
                <w:rFonts w:ascii="Times New Roman" w:hAnsi="Times New Roman"/>
                <w:b w:val="0"/>
                <w:sz w:val="18"/>
              </w:rPr>
              <w:t>Zone rules operational; compliance audit; funded transition measures</w:t>
            </w:r>
          </w:p>
        </w:tc>
      </w:tr>
      <w:tr>
        <w:tc>
          <w:tcPr>
            <w:tcW w:type="dxa" w:w="2340"/>
            <w:tcMar>
              <w:top w:w="100" w:type="dxa"/>
              <w:start w:w="100" w:type="dxa"/>
              <w:bottom w:w="100" w:type="dxa"/>
              <w:end w:w="100" w:type="dxa"/>
            </w:tcMar>
            <w:vAlign w:val="center"/>
          </w:tcPr>
          <w:p>
            <w:pPr>
              <w:spacing w:line="252" w:lineRule="auto"/>
            </w:pPr>
            <w:r>
              <w:rPr>
                <w:rFonts w:ascii="Times New Roman" w:hAnsi="Times New Roman"/>
                <w:b w:val="0"/>
                <w:sz w:val="18"/>
              </w:rPr>
              <w:t>31-60 months</w:t>
            </w:r>
          </w:p>
        </w:tc>
        <w:tc>
          <w:tcPr>
            <w:tcW w:type="dxa" w:w="2340"/>
            <w:tcMar>
              <w:top w:w="100" w:type="dxa"/>
              <w:start w:w="100" w:type="dxa"/>
              <w:bottom w:w="100" w:type="dxa"/>
              <w:end w:w="100" w:type="dxa"/>
            </w:tcMar>
            <w:vAlign w:val="center"/>
          </w:tcPr>
          <w:p>
            <w:pPr>
              <w:spacing w:line="252" w:lineRule="auto"/>
            </w:pPr>
            <w:r>
              <w:rPr>
                <w:rFonts w:ascii="Times New Roman" w:hAnsi="Times New Roman"/>
                <w:b w:val="0"/>
                <w:sz w:val="18"/>
              </w:rPr>
              <w:t>Embed standards in regulation/licensing; evaluate distributional impacts; refine thresholds</w:t>
            </w:r>
          </w:p>
        </w:tc>
        <w:tc>
          <w:tcPr>
            <w:tcW w:type="dxa" w:w="2340"/>
            <w:tcMar>
              <w:top w:w="100" w:type="dxa"/>
              <w:start w:w="100" w:type="dxa"/>
              <w:bottom w:w="100" w:type="dxa"/>
              <w:end w:w="100" w:type="dxa"/>
            </w:tcMar>
            <w:vAlign w:val="center"/>
          </w:tcPr>
          <w:p>
            <w:pPr>
              <w:spacing w:line="252" w:lineRule="auto"/>
            </w:pPr>
            <w:r>
              <w:rPr>
                <w:rFonts w:ascii="Times New Roman" w:hAnsi="Times New Roman"/>
                <w:b w:val="0"/>
                <w:sz w:val="18"/>
              </w:rPr>
              <w:t>Government/regional authority + independent evaluator</w:t>
            </w:r>
          </w:p>
        </w:tc>
        <w:tc>
          <w:tcPr>
            <w:tcW w:type="dxa" w:w="2340"/>
            <w:tcMar>
              <w:top w:w="100" w:type="dxa"/>
              <w:start w:w="100" w:type="dxa"/>
              <w:bottom w:w="100" w:type="dxa"/>
              <w:end w:w="100" w:type="dxa"/>
            </w:tcMar>
            <w:vAlign w:val="center"/>
          </w:tcPr>
          <w:p>
            <w:pPr>
              <w:spacing w:line="252" w:lineRule="auto"/>
            </w:pPr>
            <w:r>
              <w:rPr>
                <w:rFonts w:ascii="Times New Roman" w:hAnsi="Times New Roman"/>
                <w:b w:val="0"/>
                <w:sz w:val="18"/>
              </w:rPr>
              <w:t>Five-year evaluation; revised thresholds; long-term budget line</w:t>
            </w:r>
          </w:p>
        </w:tc>
      </w:tr>
    </w:tbl>
    <w:p>
      <w:r>
        <w:br w:type="page"/>
      </w:r>
    </w:p>
    <w:p>
      <w:pPr>
        <w:pStyle w:val="Heading1"/>
        <w:keepNext/>
        <w:spacing w:before="240" w:after="120"/>
        <w:jc w:val="left"/>
      </w:pPr>
      <w:r>
        <w:rPr>
          <w:rFonts w:ascii="Times New Roman" w:hAnsi="Times New Roman"/>
          <w:b/>
          <w:color w:val="1F4E79"/>
          <w:sz w:val="30"/>
        </w:rPr>
        <w:t>References</w:t>
      </w:r>
    </w:p>
    <w:p>
      <w:pPr>
        <w:spacing w:line="480" w:lineRule="auto" w:after="80"/>
        <w:ind w:left="720" w:hanging="720"/>
      </w:pPr>
      <w:r>
        <w:rPr>
          <w:rFonts w:ascii="Times New Roman" w:hAnsi="Times New Roman"/>
          <w:sz w:val="23"/>
        </w:rPr>
        <w:t>Aslam, M., &amp; Kench, P. S. (2017). Reef island dynamics and mechanisms of change in Huvadhoo Atoll, Republic of Maldives, Indian Ocean. Anthropocene, 18, 57-68. https://doi.org/10.1016/j.ancene.2017.05.003</w:t>
      </w:r>
    </w:p>
    <w:p>
      <w:pPr>
        <w:spacing w:line="480" w:lineRule="auto" w:after="80"/>
        <w:ind w:left="720" w:hanging="720"/>
      </w:pPr>
      <w:r>
        <w:rPr>
          <w:rFonts w:ascii="Times New Roman" w:hAnsi="Times New Roman"/>
          <w:sz w:val="23"/>
        </w:rPr>
        <w:t>Cowburn, B., Moritz, C., Birrell, C., Grimsditch, G., &amp; Abdulla, A. (2018). Can luxury and environmental sustainability co-exist? Assessing the environmental impact of resort tourism on coral reefs in the Maldives. Ocean &amp; Coastal Management, 158, 120-127. https://doi.org/10.1016/j.ocecoaman.2018.03.025</w:t>
      </w:r>
    </w:p>
    <w:p>
      <w:pPr>
        <w:spacing w:line="480" w:lineRule="auto" w:after="80"/>
        <w:ind w:left="720" w:hanging="720"/>
      </w:pPr>
      <w:r>
        <w:rPr>
          <w:rFonts w:ascii="Times New Roman" w:hAnsi="Times New Roman"/>
          <w:sz w:val="23"/>
        </w:rPr>
        <w:t>Duvat, V. K. E. (2020). Human-driven atoll island expansion in the Maldives. Anthropocene, 32, 100265. https://doi.org/10.1016/j.ancene.2020.100265</w:t>
      </w:r>
    </w:p>
    <w:p>
      <w:pPr>
        <w:spacing w:line="480" w:lineRule="auto" w:after="80"/>
        <w:ind w:left="720" w:hanging="720"/>
      </w:pPr>
      <w:r>
        <w:rPr>
          <w:rFonts w:ascii="Times New Roman" w:hAnsi="Times New Roman"/>
          <w:sz w:val="23"/>
        </w:rPr>
        <w:t>Galli, P., Concari, E., Cerini, D., Scuderi, E., Doni, F., Mohamed, S., Zitouni, M. S., Al Ahmad, H., &amp; Gabbiadini, A. (2025). From stars to sustainability: An integrated analysis of sustainable practices and environmental policies in Maldives resorts. Sustainability, 17(11), 5191. https://doi.org/10.3390/su17115191</w:t>
      </w:r>
    </w:p>
    <w:p>
      <w:pPr>
        <w:spacing w:line="480" w:lineRule="auto" w:after="80"/>
        <w:ind w:left="720" w:hanging="720"/>
      </w:pPr>
      <w:r>
        <w:rPr>
          <w:rFonts w:ascii="Times New Roman" w:hAnsi="Times New Roman"/>
          <w:sz w:val="23"/>
        </w:rPr>
        <w:t>Lam-González, Y. E., García, C., González Hernández, M. M., &amp; León, C. J. (2022). Benefit transfer of climate change adaptation policies in island tourist destinations. Tourism Management, 90, 104471. https://doi.org/10.1016/j.tourman.2021.104471</w:t>
      </w:r>
    </w:p>
    <w:p>
      <w:pPr>
        <w:spacing w:line="480" w:lineRule="auto" w:after="80"/>
        <w:ind w:left="720" w:hanging="720"/>
      </w:pPr>
      <w:r>
        <w:rPr>
          <w:rFonts w:ascii="Times New Roman" w:hAnsi="Times New Roman"/>
          <w:sz w:val="23"/>
        </w:rPr>
        <w:t>Njoroge, J. M. (2014). An enhanced framework for regional tourism sustainable adaptation to climate change. Tourism Management Perspectives, 12, 23-30. https://doi.org/10.1016/j.tmp.2014.06.002</w:t>
      </w:r>
    </w:p>
    <w:p>
      <w:pPr>
        <w:spacing w:line="480" w:lineRule="auto" w:after="80"/>
        <w:ind w:left="720" w:hanging="720"/>
      </w:pPr>
      <w:r>
        <w:rPr>
          <w:rFonts w:ascii="Times New Roman" w:hAnsi="Times New Roman"/>
        </w:rPr>
        <w:t>Scott, D., Hall, C. M., &amp; Gössling, S. (2019). Global tourism vulnerability to climate change. Annals of Tourism Research, 77, 49-61. https://doi.org/10.1016/j.annals.2019.05.007</w:t>
      </w:r>
    </w:p>
    <w:p>
      <w:r>
        <w:br w:type="page"/>
      </w:r>
    </w:p>
    <w:p>
      <w:pPr>
        <w:pStyle w:val="Heading1"/>
        <w:keepNext/>
        <w:spacing w:before="240" w:after="120"/>
        <w:jc w:val="left"/>
      </w:pPr>
      <w:r>
        <w:rPr>
          <w:rFonts w:ascii="Times New Roman" w:hAnsi="Times New Roman"/>
          <w:b/>
          <w:color w:val="1F4E79"/>
          <w:sz w:val="30"/>
        </w:rPr>
        <w:t>Appendix A - Spatial Zoning and Governance Notes</w:t>
      </w:r>
    </w:p>
    <w:p>
      <w:pPr>
        <w:spacing w:line="480" w:lineRule="auto" w:after="120"/>
        <w:ind w:firstLine="432"/>
        <w:jc w:val="both"/>
      </w:pPr>
      <w:r>
        <w:rPr>
          <w:rFonts w:ascii="Times New Roman" w:hAnsi="Times New Roman"/>
          <w:sz w:val="24"/>
        </w:rPr>
        <w:t>The following zoning notes operationalise the Maldives Regenerative Atoll Resilience Standard (M-RARS). They are conceptual planning recommendations and should be refined through site survey, legal review, stakeholder consultation and baseline monitoring before formal adoption.</w:t>
      </w:r>
    </w:p>
    <w:tbl>
      <w:tblPr>
        <w:tblStyle w:val="TableGrid"/>
        <w:tblW w:type="auto" w:w="0"/>
        <w:jc w:val="center"/>
        <w:tblLook w:firstColumn="1" w:firstRow="1" w:lastColumn="0" w:lastRow="0" w:noHBand="0" w:noVBand="1" w:val="04A0"/>
      </w:tblPr>
      <w:tblGrid>
        <w:gridCol w:w="3120"/>
        <w:gridCol w:w="3120"/>
        <w:gridCol w:w="3120"/>
      </w:tblGrid>
      <w:tr>
        <w:tc>
          <w:tcPr>
            <w:tcW w:type="dxa" w:w="3120"/>
            <w:shd w:fill="D9EAF7"/>
            <w:tcMar>
              <w:top w:w="100" w:type="dxa"/>
              <w:start w:w="100" w:type="dxa"/>
              <w:bottom w:w="100" w:type="dxa"/>
              <w:end w:w="100" w:type="dxa"/>
            </w:tcMar>
          </w:tcPr>
          <w:p>
            <w:pPr>
              <w:spacing w:line="252" w:lineRule="auto"/>
            </w:pPr>
            <w:r>
              <w:rPr>
                <w:rFonts w:ascii="Times New Roman" w:hAnsi="Times New Roman"/>
                <w:b/>
                <w:sz w:val="18"/>
              </w:rPr>
              <w:t>Zone</w:t>
            </w:r>
          </w:p>
        </w:tc>
        <w:tc>
          <w:tcPr>
            <w:tcW w:type="dxa" w:w="3120"/>
            <w:shd w:fill="D9EAF7"/>
            <w:tcMar>
              <w:top w:w="100" w:type="dxa"/>
              <w:start w:w="100" w:type="dxa"/>
              <w:bottom w:w="100" w:type="dxa"/>
              <w:end w:w="100" w:type="dxa"/>
            </w:tcMar>
          </w:tcPr>
          <w:p>
            <w:pPr>
              <w:spacing w:line="252" w:lineRule="auto"/>
            </w:pPr>
            <w:r>
              <w:rPr>
                <w:rFonts w:ascii="Times New Roman" w:hAnsi="Times New Roman"/>
                <w:b/>
                <w:sz w:val="18"/>
              </w:rPr>
              <w:t>Management objective</w:t>
            </w:r>
          </w:p>
        </w:tc>
        <w:tc>
          <w:tcPr>
            <w:tcW w:type="dxa" w:w="3120"/>
            <w:shd w:fill="D9EAF7"/>
            <w:tcMar>
              <w:top w:w="100" w:type="dxa"/>
              <w:start w:w="100" w:type="dxa"/>
              <w:bottom w:w="100" w:type="dxa"/>
              <w:end w:w="100" w:type="dxa"/>
            </w:tcMar>
          </w:tcPr>
          <w:p>
            <w:pPr>
              <w:spacing w:line="252" w:lineRule="auto"/>
            </w:pPr>
            <w:r>
              <w:rPr>
                <w:rFonts w:ascii="Times New Roman" w:hAnsi="Times New Roman"/>
                <w:b/>
                <w:sz w:val="18"/>
              </w:rPr>
              <w:t>Illustrative controls</w:t>
            </w:r>
          </w:p>
        </w:tc>
      </w:tr>
      <w:tr>
        <w:tc>
          <w:tcPr>
            <w:tcW w:type="dxa" w:w="3120"/>
            <w:tcMar>
              <w:top w:w="100" w:type="dxa"/>
              <w:start w:w="100" w:type="dxa"/>
              <w:bottom w:w="100" w:type="dxa"/>
              <w:end w:w="100" w:type="dxa"/>
            </w:tcMar>
          </w:tcPr>
          <w:p>
            <w:pPr>
              <w:spacing w:line="252" w:lineRule="auto"/>
            </w:pPr>
            <w:r>
              <w:rPr>
                <w:rFonts w:ascii="Times New Roman" w:hAnsi="Times New Roman"/>
                <w:b w:val="0"/>
                <w:sz w:val="18"/>
              </w:rPr>
              <w:t>Zone A: Reef Protection Ring</w:t>
            </w:r>
          </w:p>
        </w:tc>
        <w:tc>
          <w:tcPr>
            <w:tcW w:type="dxa" w:w="3120"/>
            <w:tcMar>
              <w:top w:w="100" w:type="dxa"/>
              <w:start w:w="100" w:type="dxa"/>
              <w:bottom w:w="100" w:type="dxa"/>
              <w:end w:w="100" w:type="dxa"/>
            </w:tcMar>
          </w:tcPr>
          <w:p>
            <w:pPr>
              <w:spacing w:line="252" w:lineRule="auto"/>
            </w:pPr>
            <w:r>
              <w:rPr>
                <w:rFonts w:ascii="Times New Roman" w:hAnsi="Times New Roman"/>
                <w:b w:val="0"/>
                <w:sz w:val="18"/>
              </w:rPr>
              <w:t>No dredging/anchoring in sensitive reef; coral monitoring, seagrass protection and strict discharge standards.</w:t>
            </w:r>
          </w:p>
        </w:tc>
        <w:tc>
          <w:tcPr>
            <w:tcW w:type="dxa" w:w="3120"/>
            <w:tcMar>
              <w:top w:w="100" w:type="dxa"/>
              <w:start w:w="100" w:type="dxa"/>
              <w:bottom w:w="100" w:type="dxa"/>
              <w:end w:w="100" w:type="dxa"/>
            </w:tcMar>
          </w:tcPr>
          <w:p>
            <w:pPr>
              <w:spacing w:line="252" w:lineRule="auto"/>
            </w:pPr>
            <w:r>
              <w:rPr>
                <w:rFonts w:ascii="Times New Roman" w:hAnsi="Times New Roman"/>
                <w:b w:val="0"/>
                <w:sz w:val="18"/>
              </w:rPr>
              <w:t>Access scheduling; use restrictions; site-specific monitoring; enforcement; visitor/operator information; periodic threshold review.</w:t>
            </w:r>
          </w:p>
        </w:tc>
      </w:tr>
      <w:tr>
        <w:tc>
          <w:tcPr>
            <w:tcW w:type="dxa" w:w="3120"/>
            <w:tcMar>
              <w:top w:w="100" w:type="dxa"/>
              <w:start w:w="100" w:type="dxa"/>
              <w:bottom w:w="100" w:type="dxa"/>
              <w:end w:w="100" w:type="dxa"/>
            </w:tcMar>
          </w:tcPr>
          <w:p>
            <w:pPr>
              <w:spacing w:line="252" w:lineRule="auto"/>
            </w:pPr>
            <w:r>
              <w:rPr>
                <w:rFonts w:ascii="Times New Roman" w:hAnsi="Times New Roman"/>
                <w:b w:val="0"/>
                <w:sz w:val="18"/>
              </w:rPr>
              <w:t>Zone B: Adaptable Resort Footprint</w:t>
            </w:r>
          </w:p>
        </w:tc>
        <w:tc>
          <w:tcPr>
            <w:tcW w:type="dxa" w:w="3120"/>
            <w:tcMar>
              <w:top w:w="100" w:type="dxa"/>
              <w:start w:w="100" w:type="dxa"/>
              <w:bottom w:w="100" w:type="dxa"/>
              <w:end w:w="100" w:type="dxa"/>
            </w:tcMar>
          </w:tcPr>
          <w:p>
            <w:pPr>
              <w:spacing w:line="252" w:lineRule="auto"/>
            </w:pPr>
            <w:r>
              <w:rPr>
                <w:rFonts w:ascii="Times New Roman" w:hAnsi="Times New Roman"/>
                <w:b w:val="0"/>
                <w:sz w:val="18"/>
              </w:rPr>
              <w:t>Setback and modular design, elevated critical systems, nature-based shoreline management, water/energy circularity.</w:t>
            </w:r>
          </w:p>
        </w:tc>
        <w:tc>
          <w:tcPr>
            <w:tcW w:type="dxa" w:w="3120"/>
            <w:tcMar>
              <w:top w:w="100" w:type="dxa"/>
              <w:start w:w="100" w:type="dxa"/>
              <w:bottom w:w="100" w:type="dxa"/>
              <w:end w:w="100" w:type="dxa"/>
            </w:tcMar>
          </w:tcPr>
          <w:p>
            <w:pPr>
              <w:spacing w:line="252" w:lineRule="auto"/>
            </w:pPr>
            <w:r>
              <w:rPr>
                <w:rFonts w:ascii="Times New Roman" w:hAnsi="Times New Roman"/>
                <w:b w:val="0"/>
                <w:sz w:val="18"/>
              </w:rPr>
              <w:t>Access scheduling; use restrictions; site-specific monitoring; enforcement; visitor/operator information; periodic threshold review.</w:t>
            </w:r>
          </w:p>
        </w:tc>
      </w:tr>
      <w:tr>
        <w:tc>
          <w:tcPr>
            <w:tcW w:type="dxa" w:w="3120"/>
            <w:tcMar>
              <w:top w:w="100" w:type="dxa"/>
              <w:start w:w="100" w:type="dxa"/>
              <w:bottom w:w="100" w:type="dxa"/>
              <w:end w:w="100" w:type="dxa"/>
            </w:tcMar>
          </w:tcPr>
          <w:p>
            <w:pPr>
              <w:spacing w:line="252" w:lineRule="auto"/>
            </w:pPr>
            <w:r>
              <w:rPr>
                <w:rFonts w:ascii="Times New Roman" w:hAnsi="Times New Roman"/>
                <w:b w:val="0"/>
                <w:sz w:val="18"/>
              </w:rPr>
              <w:t>Zone C: Community-Atoll Linkage</w:t>
            </w:r>
          </w:p>
        </w:tc>
        <w:tc>
          <w:tcPr>
            <w:tcW w:type="dxa" w:w="3120"/>
            <w:tcMar>
              <w:top w:w="100" w:type="dxa"/>
              <w:start w:w="100" w:type="dxa"/>
              <w:bottom w:w="100" w:type="dxa"/>
              <w:end w:w="100" w:type="dxa"/>
            </w:tcMar>
          </w:tcPr>
          <w:p>
            <w:pPr>
              <w:spacing w:line="252" w:lineRule="auto"/>
            </w:pPr>
            <w:r>
              <w:rPr>
                <w:rFonts w:ascii="Times New Roman" w:hAnsi="Times New Roman"/>
                <w:b w:val="0"/>
                <w:sz w:val="18"/>
              </w:rPr>
              <w:t>Shared waste logistics, local procurement, skills partnerships and atoll-level emergency/resilience infrastructure.</w:t>
            </w:r>
          </w:p>
        </w:tc>
        <w:tc>
          <w:tcPr>
            <w:tcW w:type="dxa" w:w="3120"/>
            <w:tcMar>
              <w:top w:w="100" w:type="dxa"/>
              <w:start w:w="100" w:type="dxa"/>
              <w:bottom w:w="100" w:type="dxa"/>
              <w:end w:w="100" w:type="dxa"/>
            </w:tcMar>
          </w:tcPr>
          <w:p>
            <w:pPr>
              <w:spacing w:line="252" w:lineRule="auto"/>
            </w:pPr>
            <w:r>
              <w:rPr>
                <w:rFonts w:ascii="Times New Roman" w:hAnsi="Times New Roman"/>
                <w:b w:val="0"/>
                <w:sz w:val="18"/>
              </w:rPr>
              <w:t>Access scheduling; use restrictions; site-specific monitoring; enforcement; visitor/operator information; periodic threshold review.</w:t>
            </w:r>
          </w:p>
        </w:tc>
      </w:tr>
    </w:tbl>
    <w:sectPr w:rsidR="00FC693F" w:rsidRPr="0006063C" w:rsidSect="00034616">
      <w:footerReference w:type="default" r:id="rId9"/>
      <w:pgSz w:w="12240" w:h="15840"/>
      <w:pgMar w:top="1152" w:right="1440" w:bottom="1152"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Times New Roman" w:hAnsi="Times New Roman"/>
        <w:sz w:val="20"/>
      </w:rPr>
      <w:t xml:space="preserve">Page </w:t>
      <w:fldChar w:fldCharType="begin"/>
      <w:instrText xml:space="preserve"> PAGE </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updateFields w:val="tru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480" w:lineRule="auto"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ascii="Times New Roman" w:hAnsi="Times New Roman"/>
      <w:b/>
      <w:bCs/>
      <w:color w:val="1F4E79"/>
      <w:sz w:val="30"/>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ascii="Times New Roman" w:hAnsi="Times New Roman"/>
      <w:b/>
      <w:bCs/>
      <w:color w:val="373737"/>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rPr>
      <w:rFonts w:ascii="Times New Roman" w:hAnsi="Times New Roman"/>
      <w:b/>
      <w:color w:val="000000"/>
      <w:sz w:val="28"/>
    </w:r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TOC1">
    <w:name w:val="TOC 1"/>
    <w:basedOn w:val="Normal"/>
    <w:pPr>
      <w:tabs>
        <w:tab w:pos="8856" w:val="right" w:leader="dot"/>
      </w:tabs>
      <w:spacing w:line="480" w:lineRule="auto" w:before="0" w:after="0"/>
      <w:ind w:left="0" w:right="0" w:firstLine="0"/>
    </w:pPr>
    <w:rPr>
      <w:rFonts w:ascii="Times New Roman" w:hAnsi="Times New Roman"/>
      <w:b w:val="0"/>
      <w:sz w:val="24"/>
    </w:rPr>
  </w:style>
  <w:style w:type="paragraph" w:customStyle="1" w:styleId="TOC2">
    <w:name w:val="TOC 2"/>
    <w:basedOn w:val="Normal"/>
    <w:pPr>
      <w:tabs>
        <w:tab w:pos="8856" w:val="right" w:leader="dot"/>
      </w:tabs>
      <w:spacing w:line="240" w:lineRule="auto" w:before="0" w:after="40"/>
      <w:ind w:left="360" w:right="0" w:firstLine="0"/>
    </w:pPr>
    <w:rPr>
      <w:rFonts w:ascii="Times New Roman" w:hAnsi="Times New Roman"/>
      <w:sz w:val="24"/>
    </w:rPr>
  </w:style>
  <w:style w:type="paragraph" w:customStyle="1" w:styleId="TOC3">
    <w:name w:val="TOC 3"/>
    <w:basedOn w:val="Normal"/>
    <w:pPr>
      <w:tabs>
        <w:tab w:pos="8856" w:val="right" w:leader="dot"/>
      </w:tabs>
      <w:spacing w:line="240" w:lineRule="auto" w:before="0" w:after="40"/>
      <w:ind w:left="720" w:right="0" w:firstLine="0"/>
    </w:pPr>
    <w:rPr>
      <w:rFonts w:ascii="Times New Roman" w:hAnsi="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 Id="rId10"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