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3A5CEF69" w:rsidR="000D12EF" w:rsidRPr="00D349AA" w:rsidRDefault="000437FE" w:rsidP="00013DBD">
      <w:pPr>
        <w:spacing w:line="480" w:lineRule="auto"/>
        <w:rPr>
          <w:rFonts w:ascii="Arial" w:hAnsi="Arial" w:cs="Arial"/>
          <w:szCs w:val="24"/>
          <w:lang w:val="en-US"/>
        </w:rPr>
      </w:pPr>
      <w:r w:rsidRPr="00D349AA">
        <w:rPr>
          <w:rFonts w:ascii="Arial" w:hAnsi="Arial" w:cs="Arial"/>
          <w:noProof/>
          <w:szCs w:val="24"/>
          <w:lang w:val="en-US"/>
        </w:rPr>
        <w:drawing>
          <wp:anchor distT="0" distB="0" distL="114300" distR="114300" simplePos="0" relativeHeight="251659264" behindDoc="1" locked="0" layoutInCell="1" allowOverlap="1" wp14:anchorId="1BEB24B7" wp14:editId="49407E1A">
            <wp:simplePos x="0" y="0"/>
            <wp:positionH relativeFrom="margin">
              <wp:posOffset>2328116</wp:posOffset>
            </wp:positionH>
            <wp:positionV relativeFrom="paragraph">
              <wp:posOffset>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06EC50D5" w14:textId="1C747298" w:rsidR="00D33052" w:rsidRPr="00D349AA" w:rsidRDefault="00D33052" w:rsidP="00013DBD">
      <w:pPr>
        <w:spacing w:line="480" w:lineRule="auto"/>
        <w:rPr>
          <w:rFonts w:ascii="Arial" w:hAnsi="Arial" w:cs="Arial"/>
          <w:szCs w:val="24"/>
          <w:lang w:val="en-US"/>
        </w:rPr>
      </w:pPr>
    </w:p>
    <w:p w14:paraId="7E3FD4C8" w14:textId="77777777" w:rsidR="004A1F6F" w:rsidRPr="00D349AA" w:rsidRDefault="004A1F6F" w:rsidP="00013DBD">
      <w:pPr>
        <w:spacing w:line="480" w:lineRule="auto"/>
        <w:jc w:val="center"/>
        <w:rPr>
          <w:rFonts w:ascii="Arial" w:hAnsi="Arial" w:cs="Arial"/>
          <w:szCs w:val="24"/>
        </w:rPr>
      </w:pPr>
    </w:p>
    <w:p w14:paraId="0C7555A9" w14:textId="77777777" w:rsidR="004A1F6F" w:rsidRPr="00D349AA" w:rsidRDefault="004A1F6F" w:rsidP="00D8310C">
      <w:pPr>
        <w:spacing w:line="480" w:lineRule="auto"/>
        <w:rPr>
          <w:rFonts w:ascii="Arial" w:hAnsi="Arial" w:cs="Arial"/>
          <w:szCs w:val="24"/>
        </w:rPr>
      </w:pPr>
    </w:p>
    <w:p w14:paraId="3E48C347" w14:textId="77777777" w:rsidR="00F72ED2" w:rsidRPr="00D349AA" w:rsidRDefault="00F72ED2" w:rsidP="00013DBD">
      <w:pPr>
        <w:spacing w:line="480" w:lineRule="auto"/>
        <w:jc w:val="center"/>
        <w:rPr>
          <w:rFonts w:ascii="Arial" w:hAnsi="Arial" w:cs="Arial"/>
          <w:b/>
          <w:bCs/>
          <w:szCs w:val="24"/>
        </w:rPr>
      </w:pPr>
      <w:proofErr w:type="gramStart"/>
      <w:r w:rsidRPr="00D349AA">
        <w:rPr>
          <w:rFonts w:ascii="Arial" w:hAnsi="Arial" w:cs="Arial"/>
          <w:b/>
          <w:bCs/>
          <w:szCs w:val="24"/>
        </w:rPr>
        <w:t>Bachelor's</w:t>
      </w:r>
      <w:proofErr w:type="gramEnd"/>
      <w:r w:rsidRPr="00D349AA">
        <w:rPr>
          <w:rFonts w:ascii="Arial" w:hAnsi="Arial" w:cs="Arial"/>
          <w:b/>
          <w:bCs/>
          <w:szCs w:val="24"/>
        </w:rPr>
        <w:t xml:space="preserve"> in Tourism and Recreation</w:t>
      </w:r>
    </w:p>
    <w:p w14:paraId="2BA9879A" w14:textId="77777777" w:rsidR="0023731E" w:rsidRPr="0023731E" w:rsidRDefault="0023731E" w:rsidP="0023731E">
      <w:pPr>
        <w:spacing w:line="480" w:lineRule="auto"/>
        <w:jc w:val="center"/>
        <w:rPr>
          <w:rFonts w:ascii="Arial" w:hAnsi="Arial" w:cs="Arial"/>
          <w:b/>
          <w:bCs/>
          <w:szCs w:val="24"/>
        </w:rPr>
      </w:pPr>
      <w:r w:rsidRPr="0023731E">
        <w:rPr>
          <w:rFonts w:ascii="Arial" w:hAnsi="Arial" w:cs="Arial"/>
          <w:b/>
          <w:bCs/>
          <w:szCs w:val="24"/>
        </w:rPr>
        <w:t>Tourism Law</w:t>
      </w:r>
    </w:p>
    <w:p w14:paraId="2C8D5449" w14:textId="10FB2868" w:rsidR="00A76B20" w:rsidRPr="00D349AA" w:rsidRDefault="00632ED6" w:rsidP="00013DBD">
      <w:pPr>
        <w:spacing w:line="480" w:lineRule="auto"/>
        <w:rPr>
          <w:rFonts w:ascii="Arial" w:hAnsi="Arial" w:cs="Arial"/>
          <w:szCs w:val="24"/>
          <w:lang w:val="en-US"/>
        </w:rPr>
      </w:pPr>
      <w:r w:rsidRPr="00D349AA">
        <w:rPr>
          <w:rFonts w:ascii="Arial" w:hAnsi="Arial" w:cs="Arial"/>
          <w:szCs w:val="24"/>
          <w:lang w:val="en-US"/>
        </w:rPr>
        <w:drawing>
          <wp:inline distT="0" distB="0" distL="0" distR="0" wp14:anchorId="0E49CC04" wp14:editId="7E44DBBA">
            <wp:extent cx="5943600" cy="3442335"/>
            <wp:effectExtent l="0" t="0" r="0" b="5715"/>
            <wp:docPr id="19370419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7041946" name=""/>
                    <pic:cNvPicPr/>
                  </pic:nvPicPr>
                  <pic:blipFill>
                    <a:blip r:embed="rId7"/>
                    <a:stretch>
                      <a:fillRect/>
                    </a:stretch>
                  </pic:blipFill>
                  <pic:spPr>
                    <a:xfrm>
                      <a:off x="0" y="0"/>
                      <a:ext cx="5943600" cy="3442335"/>
                    </a:xfrm>
                    <a:prstGeom prst="rect">
                      <a:avLst/>
                    </a:prstGeom>
                  </pic:spPr>
                </pic:pic>
              </a:graphicData>
            </a:graphic>
          </wp:inline>
        </w:drawing>
      </w:r>
    </w:p>
    <w:p w14:paraId="22EFAC9B" w14:textId="77777777" w:rsidR="0095171B" w:rsidRPr="00D349AA" w:rsidRDefault="0095171B" w:rsidP="00013DBD">
      <w:pPr>
        <w:spacing w:line="480" w:lineRule="auto"/>
        <w:rPr>
          <w:rFonts w:ascii="Arial" w:hAnsi="Arial" w:cs="Arial"/>
          <w:szCs w:val="24"/>
          <w:lang w:val="en-US"/>
        </w:rPr>
      </w:pPr>
    </w:p>
    <w:p w14:paraId="7F15E401" w14:textId="77777777" w:rsidR="00857685" w:rsidRPr="00D349AA" w:rsidRDefault="00857685" w:rsidP="00013DBD">
      <w:pPr>
        <w:spacing w:line="480" w:lineRule="auto"/>
        <w:rPr>
          <w:rFonts w:ascii="Arial" w:hAnsi="Arial" w:cs="Arial"/>
          <w:szCs w:val="24"/>
          <w:lang w:val="en-US"/>
        </w:rPr>
      </w:pPr>
    </w:p>
    <w:p w14:paraId="1226F10D" w14:textId="77777777" w:rsidR="00D8310C" w:rsidRPr="00D349AA" w:rsidRDefault="00D8310C" w:rsidP="00013DBD">
      <w:pPr>
        <w:spacing w:line="480" w:lineRule="auto"/>
        <w:rPr>
          <w:rFonts w:ascii="Arial" w:hAnsi="Arial" w:cs="Arial"/>
          <w:szCs w:val="24"/>
          <w:lang w:val="en-US"/>
        </w:rPr>
      </w:pPr>
    </w:p>
    <w:p w14:paraId="2491E09E" w14:textId="77777777" w:rsidR="000F369F" w:rsidRPr="00D349AA" w:rsidRDefault="000F369F" w:rsidP="005B0192">
      <w:pPr>
        <w:spacing w:line="480" w:lineRule="auto"/>
        <w:rPr>
          <w:rFonts w:ascii="Arial" w:hAnsi="Arial" w:cs="Arial"/>
          <w:szCs w:val="24"/>
          <w:lang w:val="en-US"/>
        </w:rPr>
      </w:pPr>
    </w:p>
    <w:p w14:paraId="25BE1823" w14:textId="307F7400" w:rsidR="00EA7FD8" w:rsidRPr="00D349AA" w:rsidRDefault="00D33052" w:rsidP="005B0192">
      <w:pPr>
        <w:spacing w:line="480" w:lineRule="auto"/>
        <w:rPr>
          <w:rFonts w:ascii="Arial" w:hAnsi="Arial" w:cs="Arial"/>
          <w:szCs w:val="24"/>
        </w:rPr>
      </w:pPr>
      <w:bookmarkStart w:id="0" w:name="_Toc221201954"/>
      <w:r w:rsidRPr="00D349AA">
        <w:rPr>
          <w:rStyle w:val="Heading1Char"/>
          <w:rFonts w:ascii="Arial" w:hAnsi="Arial" w:cs="Arial"/>
          <w:b/>
          <w:bCs/>
          <w:color w:val="auto"/>
          <w:sz w:val="24"/>
          <w:szCs w:val="24"/>
        </w:rPr>
        <w:lastRenderedPageBreak/>
        <w:t>Abstract</w:t>
      </w:r>
      <w:bookmarkEnd w:id="0"/>
    </w:p>
    <w:p w14:paraId="447509ED" w14:textId="77777777" w:rsidR="00D8310C" w:rsidRPr="00D8310C" w:rsidRDefault="00D8310C" w:rsidP="00D8310C">
      <w:pPr>
        <w:spacing w:line="480" w:lineRule="auto"/>
        <w:rPr>
          <w:rFonts w:ascii="Arial" w:eastAsiaTheme="majorEastAsia" w:hAnsi="Arial" w:cs="Arial"/>
          <w:kern w:val="0"/>
          <w:szCs w:val="24"/>
          <w:lang w:bidi="ar-SA"/>
          <w14:ligatures w14:val="none"/>
        </w:rPr>
      </w:pPr>
      <w:r w:rsidRPr="00D8310C">
        <w:rPr>
          <w:rFonts w:ascii="Arial" w:eastAsiaTheme="majorEastAsia" w:hAnsi="Arial" w:cs="Arial"/>
          <w:kern w:val="0"/>
          <w:szCs w:val="24"/>
          <w:lang w:bidi="ar-SA"/>
          <w14:ligatures w14:val="none"/>
        </w:rPr>
        <w:t xml:space="preserve">Consumer protection laws have become increasingly significant within the tourism industry due to the sector’s dependence on advance bookings, cross-border transactions, and information-intensive decision-making. Tourists frequently purchase services such as accommodation, transportation, and package holidays before consumption, relying heavily on promotional content and digital platforms. This structural dependency exposes consumers to risks including misleading advertising, unfair contractual terms, sudden cancellations, and inadequate safety standards. As a result, consumer protection laws play a critical role in addressing power imbalances between tourism service providers and </w:t>
      </w:r>
      <w:proofErr w:type="spellStart"/>
      <w:proofErr w:type="gramStart"/>
      <w:r w:rsidRPr="00D8310C">
        <w:rPr>
          <w:rFonts w:ascii="Arial" w:eastAsiaTheme="majorEastAsia" w:hAnsi="Arial" w:cs="Arial"/>
          <w:kern w:val="0"/>
          <w:szCs w:val="24"/>
          <w:lang w:bidi="ar-SA"/>
          <w14:ligatures w14:val="none"/>
        </w:rPr>
        <w:t>travelers.This</w:t>
      </w:r>
      <w:proofErr w:type="spellEnd"/>
      <w:proofErr w:type="gramEnd"/>
      <w:r w:rsidRPr="00D8310C">
        <w:rPr>
          <w:rFonts w:ascii="Arial" w:eastAsiaTheme="majorEastAsia" w:hAnsi="Arial" w:cs="Arial"/>
          <w:kern w:val="0"/>
          <w:szCs w:val="24"/>
          <w:lang w:bidi="ar-SA"/>
          <w14:ligatures w14:val="none"/>
        </w:rPr>
        <w:t xml:space="preserve"> assignment examines the role of consumer protection laws in regulating tourism markets, with a specific focus on safeguarding </w:t>
      </w:r>
      <w:proofErr w:type="spellStart"/>
      <w:r w:rsidRPr="00D8310C">
        <w:rPr>
          <w:rFonts w:ascii="Arial" w:eastAsiaTheme="majorEastAsia" w:hAnsi="Arial" w:cs="Arial"/>
          <w:kern w:val="0"/>
          <w:szCs w:val="24"/>
          <w:lang w:bidi="ar-SA"/>
          <w14:ligatures w14:val="none"/>
        </w:rPr>
        <w:t>travelers’</w:t>
      </w:r>
      <w:proofErr w:type="spellEnd"/>
      <w:r w:rsidRPr="00D8310C">
        <w:rPr>
          <w:rFonts w:ascii="Arial" w:eastAsiaTheme="majorEastAsia" w:hAnsi="Arial" w:cs="Arial"/>
          <w:kern w:val="0"/>
          <w:szCs w:val="24"/>
          <w:lang w:bidi="ar-SA"/>
          <w14:ligatures w14:val="none"/>
        </w:rPr>
        <w:t xml:space="preserve"> rights and defining the obligations of tourism businesses. It investigates the ways in which legal frameworks that regulate pricing transparency, unfair commercial practices, package travel, and service safety function to mitigate consumer vulnerability. </w:t>
      </w:r>
      <w:proofErr w:type="gramStart"/>
      <w:r w:rsidRPr="00D8310C">
        <w:rPr>
          <w:rFonts w:ascii="Arial" w:eastAsiaTheme="majorEastAsia" w:hAnsi="Arial" w:cs="Arial"/>
          <w:kern w:val="0"/>
          <w:szCs w:val="24"/>
          <w:lang w:bidi="ar-SA"/>
          <w14:ligatures w14:val="none"/>
        </w:rPr>
        <w:t>Particular attention</w:t>
      </w:r>
      <w:proofErr w:type="gramEnd"/>
      <w:r w:rsidRPr="00D8310C">
        <w:rPr>
          <w:rFonts w:ascii="Arial" w:eastAsiaTheme="majorEastAsia" w:hAnsi="Arial" w:cs="Arial"/>
          <w:kern w:val="0"/>
          <w:szCs w:val="24"/>
          <w:lang w:bidi="ar-SA"/>
          <w14:ligatures w14:val="none"/>
        </w:rPr>
        <w:t xml:space="preserve"> is given to the impact of digitalisation on tourism transactions, as online booking platforms and algorithm-based pricing models have transformed how tourism services are marketed and sold. The study also evaluates the efficacy of consumer redress mechanisms, such as refunds, compensation, and alternative dispute resolution systems, in guaranteeing that legal protections are enforced in practice. The assignment illustrates that consumer protection laws are not merely reactive tools for resolving disputes, but also preventive mechanisms that influence ethical business behaviour by examining academic literature, regulatory instruments, and policy guidance. The analysis emphasizes that </w:t>
      </w:r>
      <w:r w:rsidRPr="00D8310C">
        <w:rPr>
          <w:rFonts w:ascii="Arial" w:eastAsiaTheme="majorEastAsia" w:hAnsi="Arial" w:cs="Arial"/>
          <w:kern w:val="0"/>
          <w:szCs w:val="24"/>
          <w:lang w:bidi="ar-SA"/>
          <w14:ligatures w14:val="none"/>
        </w:rPr>
        <w:lastRenderedPageBreak/>
        <w:t>the tourism industry's long-term sustainability, market transparency, and traveller confidence are all positively impacted by robust consumer protection frameworks. Overall, the study underscores the importance of continuously adapting consumer protection laws to address emerging challenges in global and digital tourism markets.</w:t>
      </w:r>
    </w:p>
    <w:p w14:paraId="33D266FB" w14:textId="77777777" w:rsidR="000F369F" w:rsidRPr="00EA7FD8" w:rsidRDefault="000F369F" w:rsidP="00EA7FD8">
      <w:pPr>
        <w:spacing w:line="480" w:lineRule="auto"/>
        <w:rPr>
          <w:rFonts w:ascii="Arial" w:eastAsiaTheme="majorEastAsia" w:hAnsi="Arial" w:cs="Arial"/>
          <w:kern w:val="0"/>
          <w:szCs w:val="24"/>
          <w:lang w:bidi="ar-SA"/>
          <w14:ligatures w14:val="none"/>
        </w:rPr>
      </w:pPr>
    </w:p>
    <w:sdt>
      <w:sdtPr>
        <w:rPr>
          <w:rFonts w:ascii="Arial" w:hAnsi="Arial" w:cs="Arial"/>
          <w:color w:val="auto"/>
          <w:sz w:val="24"/>
          <w:szCs w:val="24"/>
        </w:rPr>
        <w:id w:val="127520408"/>
        <w:docPartObj>
          <w:docPartGallery w:val="Table of Contents"/>
          <w:docPartUnique/>
        </w:docPartObj>
      </w:sdtPr>
      <w:sdtEndPr>
        <w:rPr>
          <w:rFonts w:eastAsiaTheme="minorHAnsi"/>
          <w:b/>
          <w:bCs/>
          <w:noProof/>
          <w:kern w:val="2"/>
          <w:lang w:val="en-GB" w:bidi="hi-IN"/>
          <w14:ligatures w14:val="standardContextual"/>
        </w:rPr>
      </w:sdtEndPr>
      <w:sdtContent>
        <w:p w14:paraId="3C74B5CB" w14:textId="7EDE004A" w:rsidR="004D7D13" w:rsidRPr="00D349AA" w:rsidRDefault="004D7D13" w:rsidP="00EA7FD8">
          <w:pPr>
            <w:pStyle w:val="TOCHeading"/>
            <w:spacing w:line="480" w:lineRule="auto"/>
            <w:rPr>
              <w:rFonts w:ascii="Arial" w:hAnsi="Arial" w:cs="Arial"/>
              <w:color w:val="auto"/>
              <w:sz w:val="24"/>
              <w:szCs w:val="24"/>
            </w:rPr>
          </w:pPr>
          <w:r w:rsidRPr="00D349AA">
            <w:rPr>
              <w:rFonts w:ascii="Arial" w:hAnsi="Arial" w:cs="Arial"/>
              <w:color w:val="auto"/>
              <w:sz w:val="24"/>
              <w:szCs w:val="24"/>
            </w:rPr>
            <w:t>Contents</w:t>
          </w:r>
        </w:p>
        <w:p w14:paraId="7191005F" w14:textId="2E0B9E02" w:rsidR="000437FE" w:rsidRPr="00D349AA" w:rsidRDefault="004D7D13">
          <w:pPr>
            <w:pStyle w:val="TOC1"/>
            <w:tabs>
              <w:tab w:val="right" w:leader="dot" w:pos="9350"/>
            </w:tabs>
            <w:rPr>
              <w:rFonts w:ascii="Arial" w:hAnsi="Arial" w:cs="Arial"/>
              <w:noProof/>
              <w:kern w:val="2"/>
              <w:sz w:val="24"/>
              <w:szCs w:val="24"/>
              <w:lang w:val="en-GB" w:eastAsia="en-GB" w:bidi="hi-IN"/>
              <w14:ligatures w14:val="standardContextual"/>
            </w:rPr>
          </w:pPr>
          <w:r w:rsidRPr="00D349AA">
            <w:rPr>
              <w:rFonts w:ascii="Arial" w:hAnsi="Arial" w:cs="Arial"/>
              <w:sz w:val="24"/>
              <w:szCs w:val="24"/>
            </w:rPr>
            <w:fldChar w:fldCharType="begin"/>
          </w:r>
          <w:r w:rsidRPr="00D349AA">
            <w:rPr>
              <w:rFonts w:ascii="Arial" w:hAnsi="Arial" w:cs="Arial"/>
              <w:sz w:val="24"/>
              <w:szCs w:val="24"/>
            </w:rPr>
            <w:instrText xml:space="preserve"> TOC \o "1-3" \h \z \u </w:instrText>
          </w:r>
          <w:r w:rsidRPr="00D349AA">
            <w:rPr>
              <w:rFonts w:ascii="Arial" w:hAnsi="Arial" w:cs="Arial"/>
              <w:sz w:val="24"/>
              <w:szCs w:val="24"/>
            </w:rPr>
            <w:fldChar w:fldCharType="separate"/>
          </w:r>
          <w:hyperlink w:anchor="_Toc221201954" w:history="1">
            <w:r w:rsidR="000437FE" w:rsidRPr="00D349AA">
              <w:rPr>
                <w:rStyle w:val="Hyperlink"/>
                <w:rFonts w:ascii="Arial" w:hAnsi="Arial" w:cs="Arial"/>
                <w:noProof/>
                <w:color w:val="auto"/>
                <w:sz w:val="24"/>
                <w:szCs w:val="24"/>
              </w:rPr>
              <w:t>Abstract</w:t>
            </w:r>
            <w:r w:rsidR="000437FE" w:rsidRPr="00D349AA">
              <w:rPr>
                <w:rFonts w:ascii="Arial" w:hAnsi="Arial" w:cs="Arial"/>
                <w:noProof/>
                <w:webHidden/>
                <w:sz w:val="24"/>
                <w:szCs w:val="24"/>
              </w:rPr>
              <w:tab/>
            </w:r>
            <w:r w:rsidR="000437FE" w:rsidRPr="00D349AA">
              <w:rPr>
                <w:rFonts w:ascii="Arial" w:hAnsi="Arial" w:cs="Arial"/>
                <w:noProof/>
                <w:webHidden/>
                <w:sz w:val="24"/>
                <w:szCs w:val="24"/>
              </w:rPr>
              <w:fldChar w:fldCharType="begin"/>
            </w:r>
            <w:r w:rsidR="000437FE" w:rsidRPr="00D349AA">
              <w:rPr>
                <w:rFonts w:ascii="Arial" w:hAnsi="Arial" w:cs="Arial"/>
                <w:noProof/>
                <w:webHidden/>
                <w:sz w:val="24"/>
                <w:szCs w:val="24"/>
              </w:rPr>
              <w:instrText xml:space="preserve"> PAGEREF _Toc221201954 \h </w:instrText>
            </w:r>
            <w:r w:rsidR="000437FE" w:rsidRPr="00D349AA">
              <w:rPr>
                <w:rFonts w:ascii="Arial" w:hAnsi="Arial" w:cs="Arial"/>
                <w:noProof/>
                <w:webHidden/>
                <w:sz w:val="24"/>
                <w:szCs w:val="24"/>
              </w:rPr>
            </w:r>
            <w:r w:rsidR="000437FE" w:rsidRPr="00D349AA">
              <w:rPr>
                <w:rFonts w:ascii="Arial" w:hAnsi="Arial" w:cs="Arial"/>
                <w:noProof/>
                <w:webHidden/>
                <w:sz w:val="24"/>
                <w:szCs w:val="24"/>
              </w:rPr>
              <w:fldChar w:fldCharType="separate"/>
            </w:r>
            <w:r w:rsidR="000437FE" w:rsidRPr="00D349AA">
              <w:rPr>
                <w:rFonts w:ascii="Arial" w:hAnsi="Arial" w:cs="Arial"/>
                <w:noProof/>
                <w:webHidden/>
                <w:sz w:val="24"/>
                <w:szCs w:val="24"/>
              </w:rPr>
              <w:t>2</w:t>
            </w:r>
            <w:r w:rsidR="000437FE" w:rsidRPr="00D349AA">
              <w:rPr>
                <w:rFonts w:ascii="Arial" w:hAnsi="Arial" w:cs="Arial"/>
                <w:noProof/>
                <w:webHidden/>
                <w:sz w:val="24"/>
                <w:szCs w:val="24"/>
              </w:rPr>
              <w:fldChar w:fldCharType="end"/>
            </w:r>
          </w:hyperlink>
        </w:p>
        <w:p w14:paraId="62C82D21" w14:textId="7FCE02C8" w:rsidR="000437FE" w:rsidRPr="00D349AA" w:rsidRDefault="000437FE">
          <w:pPr>
            <w:pStyle w:val="TOC1"/>
            <w:tabs>
              <w:tab w:val="right" w:leader="dot" w:pos="9350"/>
            </w:tabs>
            <w:rPr>
              <w:rFonts w:ascii="Arial" w:hAnsi="Arial" w:cs="Arial"/>
              <w:noProof/>
              <w:kern w:val="2"/>
              <w:sz w:val="24"/>
              <w:szCs w:val="24"/>
              <w:lang w:val="en-GB" w:eastAsia="en-GB" w:bidi="hi-IN"/>
              <w14:ligatures w14:val="standardContextual"/>
            </w:rPr>
          </w:pPr>
          <w:hyperlink w:anchor="_Toc221201955" w:history="1">
            <w:r w:rsidRPr="00D349AA">
              <w:rPr>
                <w:rStyle w:val="Hyperlink"/>
                <w:rFonts w:ascii="Arial" w:hAnsi="Arial" w:cs="Arial"/>
                <w:noProof/>
                <w:color w:val="auto"/>
                <w:sz w:val="24"/>
                <w:szCs w:val="24"/>
              </w:rPr>
              <w:t>1.Introduction</w:t>
            </w:r>
            <w:r w:rsidRPr="00D349AA">
              <w:rPr>
                <w:rFonts w:ascii="Arial" w:hAnsi="Arial" w:cs="Arial"/>
                <w:noProof/>
                <w:webHidden/>
                <w:sz w:val="24"/>
                <w:szCs w:val="24"/>
              </w:rPr>
              <w:tab/>
            </w:r>
            <w:r w:rsidRPr="00D349AA">
              <w:rPr>
                <w:rFonts w:ascii="Arial" w:hAnsi="Arial" w:cs="Arial"/>
                <w:noProof/>
                <w:webHidden/>
                <w:sz w:val="24"/>
                <w:szCs w:val="24"/>
              </w:rPr>
              <w:fldChar w:fldCharType="begin"/>
            </w:r>
            <w:r w:rsidRPr="00D349AA">
              <w:rPr>
                <w:rFonts w:ascii="Arial" w:hAnsi="Arial" w:cs="Arial"/>
                <w:noProof/>
                <w:webHidden/>
                <w:sz w:val="24"/>
                <w:szCs w:val="24"/>
              </w:rPr>
              <w:instrText xml:space="preserve"> PAGEREF _Toc221201955 \h </w:instrText>
            </w:r>
            <w:r w:rsidRPr="00D349AA">
              <w:rPr>
                <w:rFonts w:ascii="Arial" w:hAnsi="Arial" w:cs="Arial"/>
                <w:noProof/>
                <w:webHidden/>
                <w:sz w:val="24"/>
                <w:szCs w:val="24"/>
              </w:rPr>
            </w:r>
            <w:r w:rsidRPr="00D349AA">
              <w:rPr>
                <w:rFonts w:ascii="Arial" w:hAnsi="Arial" w:cs="Arial"/>
                <w:noProof/>
                <w:webHidden/>
                <w:sz w:val="24"/>
                <w:szCs w:val="24"/>
              </w:rPr>
              <w:fldChar w:fldCharType="separate"/>
            </w:r>
            <w:r w:rsidRPr="00D349AA">
              <w:rPr>
                <w:rFonts w:ascii="Arial" w:hAnsi="Arial" w:cs="Arial"/>
                <w:noProof/>
                <w:webHidden/>
                <w:sz w:val="24"/>
                <w:szCs w:val="24"/>
              </w:rPr>
              <w:t>4</w:t>
            </w:r>
            <w:r w:rsidRPr="00D349AA">
              <w:rPr>
                <w:rFonts w:ascii="Arial" w:hAnsi="Arial" w:cs="Arial"/>
                <w:noProof/>
                <w:webHidden/>
                <w:sz w:val="24"/>
                <w:szCs w:val="24"/>
              </w:rPr>
              <w:fldChar w:fldCharType="end"/>
            </w:r>
          </w:hyperlink>
        </w:p>
        <w:p w14:paraId="34782521" w14:textId="4AF2BB27" w:rsidR="000437FE" w:rsidRPr="00D349AA" w:rsidRDefault="000437FE">
          <w:pPr>
            <w:pStyle w:val="TOC1"/>
            <w:tabs>
              <w:tab w:val="right" w:leader="dot" w:pos="9350"/>
            </w:tabs>
            <w:rPr>
              <w:rFonts w:ascii="Arial" w:hAnsi="Arial" w:cs="Arial"/>
              <w:noProof/>
              <w:kern w:val="2"/>
              <w:sz w:val="24"/>
              <w:szCs w:val="24"/>
              <w:lang w:val="en-GB" w:eastAsia="en-GB" w:bidi="hi-IN"/>
              <w14:ligatures w14:val="standardContextual"/>
            </w:rPr>
          </w:pPr>
          <w:hyperlink w:anchor="_Toc221201956" w:history="1">
            <w:r w:rsidRPr="00D349AA">
              <w:rPr>
                <w:rStyle w:val="Hyperlink"/>
                <w:rFonts w:ascii="Arial" w:hAnsi="Arial" w:cs="Arial"/>
                <w:noProof/>
                <w:color w:val="auto"/>
                <w:sz w:val="24"/>
                <w:szCs w:val="24"/>
              </w:rPr>
              <w:t>2. Literature Review</w:t>
            </w:r>
            <w:r w:rsidRPr="00D349AA">
              <w:rPr>
                <w:rFonts w:ascii="Arial" w:hAnsi="Arial" w:cs="Arial"/>
                <w:noProof/>
                <w:webHidden/>
                <w:sz w:val="24"/>
                <w:szCs w:val="24"/>
              </w:rPr>
              <w:tab/>
            </w:r>
            <w:r w:rsidRPr="00D349AA">
              <w:rPr>
                <w:rFonts w:ascii="Arial" w:hAnsi="Arial" w:cs="Arial"/>
                <w:noProof/>
                <w:webHidden/>
                <w:sz w:val="24"/>
                <w:szCs w:val="24"/>
              </w:rPr>
              <w:fldChar w:fldCharType="begin"/>
            </w:r>
            <w:r w:rsidRPr="00D349AA">
              <w:rPr>
                <w:rFonts w:ascii="Arial" w:hAnsi="Arial" w:cs="Arial"/>
                <w:noProof/>
                <w:webHidden/>
                <w:sz w:val="24"/>
                <w:szCs w:val="24"/>
              </w:rPr>
              <w:instrText xml:space="preserve"> PAGEREF _Toc221201956 \h </w:instrText>
            </w:r>
            <w:r w:rsidRPr="00D349AA">
              <w:rPr>
                <w:rFonts w:ascii="Arial" w:hAnsi="Arial" w:cs="Arial"/>
                <w:noProof/>
                <w:webHidden/>
                <w:sz w:val="24"/>
                <w:szCs w:val="24"/>
              </w:rPr>
            </w:r>
            <w:r w:rsidRPr="00D349AA">
              <w:rPr>
                <w:rFonts w:ascii="Arial" w:hAnsi="Arial" w:cs="Arial"/>
                <w:noProof/>
                <w:webHidden/>
                <w:sz w:val="24"/>
                <w:szCs w:val="24"/>
              </w:rPr>
              <w:fldChar w:fldCharType="separate"/>
            </w:r>
            <w:r w:rsidRPr="00D349AA">
              <w:rPr>
                <w:rFonts w:ascii="Arial" w:hAnsi="Arial" w:cs="Arial"/>
                <w:noProof/>
                <w:webHidden/>
                <w:sz w:val="24"/>
                <w:szCs w:val="24"/>
              </w:rPr>
              <w:t>6</w:t>
            </w:r>
            <w:r w:rsidRPr="00D349AA">
              <w:rPr>
                <w:rFonts w:ascii="Arial" w:hAnsi="Arial" w:cs="Arial"/>
                <w:noProof/>
                <w:webHidden/>
                <w:sz w:val="24"/>
                <w:szCs w:val="24"/>
              </w:rPr>
              <w:fldChar w:fldCharType="end"/>
            </w:r>
          </w:hyperlink>
        </w:p>
        <w:p w14:paraId="00352A2D" w14:textId="4718D038" w:rsidR="000437FE" w:rsidRPr="00D349AA" w:rsidRDefault="000437FE">
          <w:pPr>
            <w:pStyle w:val="TOC1"/>
            <w:tabs>
              <w:tab w:val="right" w:leader="dot" w:pos="9350"/>
            </w:tabs>
            <w:rPr>
              <w:rFonts w:ascii="Arial" w:hAnsi="Arial" w:cs="Arial"/>
              <w:noProof/>
              <w:kern w:val="2"/>
              <w:sz w:val="24"/>
              <w:szCs w:val="24"/>
              <w:lang w:val="en-GB" w:eastAsia="en-GB" w:bidi="hi-IN"/>
              <w14:ligatures w14:val="standardContextual"/>
            </w:rPr>
          </w:pPr>
          <w:hyperlink w:anchor="_Toc221201957" w:history="1">
            <w:r w:rsidRPr="00D349AA">
              <w:rPr>
                <w:rStyle w:val="Hyperlink"/>
                <w:rFonts w:ascii="Arial" w:hAnsi="Arial" w:cs="Arial"/>
                <w:noProof/>
                <w:color w:val="auto"/>
                <w:sz w:val="24"/>
                <w:szCs w:val="24"/>
              </w:rPr>
              <w:t>3 Methodology</w:t>
            </w:r>
            <w:r w:rsidRPr="00D349AA">
              <w:rPr>
                <w:rFonts w:ascii="Arial" w:hAnsi="Arial" w:cs="Arial"/>
                <w:noProof/>
                <w:webHidden/>
                <w:sz w:val="24"/>
                <w:szCs w:val="24"/>
              </w:rPr>
              <w:tab/>
            </w:r>
            <w:r w:rsidRPr="00D349AA">
              <w:rPr>
                <w:rFonts w:ascii="Arial" w:hAnsi="Arial" w:cs="Arial"/>
                <w:noProof/>
                <w:webHidden/>
                <w:sz w:val="24"/>
                <w:szCs w:val="24"/>
              </w:rPr>
              <w:fldChar w:fldCharType="begin"/>
            </w:r>
            <w:r w:rsidRPr="00D349AA">
              <w:rPr>
                <w:rFonts w:ascii="Arial" w:hAnsi="Arial" w:cs="Arial"/>
                <w:noProof/>
                <w:webHidden/>
                <w:sz w:val="24"/>
                <w:szCs w:val="24"/>
              </w:rPr>
              <w:instrText xml:space="preserve"> PAGEREF _Toc221201957 \h </w:instrText>
            </w:r>
            <w:r w:rsidRPr="00D349AA">
              <w:rPr>
                <w:rFonts w:ascii="Arial" w:hAnsi="Arial" w:cs="Arial"/>
                <w:noProof/>
                <w:webHidden/>
                <w:sz w:val="24"/>
                <w:szCs w:val="24"/>
              </w:rPr>
            </w:r>
            <w:r w:rsidRPr="00D349AA">
              <w:rPr>
                <w:rFonts w:ascii="Arial" w:hAnsi="Arial" w:cs="Arial"/>
                <w:noProof/>
                <w:webHidden/>
                <w:sz w:val="24"/>
                <w:szCs w:val="24"/>
              </w:rPr>
              <w:fldChar w:fldCharType="separate"/>
            </w:r>
            <w:r w:rsidRPr="00D349AA">
              <w:rPr>
                <w:rFonts w:ascii="Arial" w:hAnsi="Arial" w:cs="Arial"/>
                <w:noProof/>
                <w:webHidden/>
                <w:sz w:val="24"/>
                <w:szCs w:val="24"/>
              </w:rPr>
              <w:t>11</w:t>
            </w:r>
            <w:r w:rsidRPr="00D349AA">
              <w:rPr>
                <w:rFonts w:ascii="Arial" w:hAnsi="Arial" w:cs="Arial"/>
                <w:noProof/>
                <w:webHidden/>
                <w:sz w:val="24"/>
                <w:szCs w:val="24"/>
              </w:rPr>
              <w:fldChar w:fldCharType="end"/>
            </w:r>
          </w:hyperlink>
        </w:p>
        <w:p w14:paraId="129FA2E5" w14:textId="6EAB7FFE" w:rsidR="000437FE" w:rsidRPr="00D349AA" w:rsidRDefault="000437FE">
          <w:pPr>
            <w:pStyle w:val="TOC1"/>
            <w:tabs>
              <w:tab w:val="right" w:leader="dot" w:pos="9350"/>
            </w:tabs>
            <w:rPr>
              <w:rFonts w:ascii="Arial" w:hAnsi="Arial" w:cs="Arial"/>
              <w:noProof/>
              <w:kern w:val="2"/>
              <w:sz w:val="24"/>
              <w:szCs w:val="24"/>
              <w:lang w:val="en-GB" w:eastAsia="en-GB" w:bidi="hi-IN"/>
              <w14:ligatures w14:val="standardContextual"/>
            </w:rPr>
          </w:pPr>
          <w:hyperlink w:anchor="_Toc221201958" w:history="1">
            <w:r w:rsidRPr="00D349AA">
              <w:rPr>
                <w:rStyle w:val="Hyperlink"/>
                <w:rFonts w:ascii="Arial" w:hAnsi="Arial" w:cs="Arial"/>
                <w:noProof/>
                <w:color w:val="auto"/>
                <w:sz w:val="24"/>
                <w:szCs w:val="24"/>
              </w:rPr>
              <w:t>4 Finding</w:t>
            </w:r>
            <w:r w:rsidRPr="00D349AA">
              <w:rPr>
                <w:rFonts w:ascii="Arial" w:hAnsi="Arial" w:cs="Arial"/>
                <w:noProof/>
                <w:webHidden/>
                <w:sz w:val="24"/>
                <w:szCs w:val="24"/>
              </w:rPr>
              <w:tab/>
            </w:r>
            <w:r w:rsidRPr="00D349AA">
              <w:rPr>
                <w:rFonts w:ascii="Arial" w:hAnsi="Arial" w:cs="Arial"/>
                <w:noProof/>
                <w:webHidden/>
                <w:sz w:val="24"/>
                <w:szCs w:val="24"/>
              </w:rPr>
              <w:fldChar w:fldCharType="begin"/>
            </w:r>
            <w:r w:rsidRPr="00D349AA">
              <w:rPr>
                <w:rFonts w:ascii="Arial" w:hAnsi="Arial" w:cs="Arial"/>
                <w:noProof/>
                <w:webHidden/>
                <w:sz w:val="24"/>
                <w:szCs w:val="24"/>
              </w:rPr>
              <w:instrText xml:space="preserve"> PAGEREF _Toc221201958 \h </w:instrText>
            </w:r>
            <w:r w:rsidRPr="00D349AA">
              <w:rPr>
                <w:rFonts w:ascii="Arial" w:hAnsi="Arial" w:cs="Arial"/>
                <w:noProof/>
                <w:webHidden/>
                <w:sz w:val="24"/>
                <w:szCs w:val="24"/>
              </w:rPr>
            </w:r>
            <w:r w:rsidRPr="00D349AA">
              <w:rPr>
                <w:rFonts w:ascii="Arial" w:hAnsi="Arial" w:cs="Arial"/>
                <w:noProof/>
                <w:webHidden/>
                <w:sz w:val="24"/>
                <w:szCs w:val="24"/>
              </w:rPr>
              <w:fldChar w:fldCharType="separate"/>
            </w:r>
            <w:r w:rsidRPr="00D349AA">
              <w:rPr>
                <w:rFonts w:ascii="Arial" w:hAnsi="Arial" w:cs="Arial"/>
                <w:noProof/>
                <w:webHidden/>
                <w:sz w:val="24"/>
                <w:szCs w:val="24"/>
              </w:rPr>
              <w:t>15</w:t>
            </w:r>
            <w:r w:rsidRPr="00D349AA">
              <w:rPr>
                <w:rFonts w:ascii="Arial" w:hAnsi="Arial" w:cs="Arial"/>
                <w:noProof/>
                <w:webHidden/>
                <w:sz w:val="24"/>
                <w:szCs w:val="24"/>
              </w:rPr>
              <w:fldChar w:fldCharType="end"/>
            </w:r>
          </w:hyperlink>
        </w:p>
        <w:p w14:paraId="1138D48E" w14:textId="50146812" w:rsidR="000437FE" w:rsidRPr="00D349AA" w:rsidRDefault="000437FE">
          <w:pPr>
            <w:pStyle w:val="TOC1"/>
            <w:tabs>
              <w:tab w:val="right" w:leader="dot" w:pos="9350"/>
            </w:tabs>
            <w:rPr>
              <w:rFonts w:ascii="Arial" w:hAnsi="Arial" w:cs="Arial"/>
              <w:noProof/>
              <w:kern w:val="2"/>
              <w:sz w:val="24"/>
              <w:szCs w:val="24"/>
              <w:lang w:val="en-GB" w:eastAsia="en-GB" w:bidi="hi-IN"/>
              <w14:ligatures w14:val="standardContextual"/>
            </w:rPr>
          </w:pPr>
          <w:hyperlink w:anchor="_Toc221201959" w:history="1">
            <w:r w:rsidRPr="00D349AA">
              <w:rPr>
                <w:rStyle w:val="Hyperlink"/>
                <w:rFonts w:ascii="Arial" w:hAnsi="Arial" w:cs="Arial"/>
                <w:noProof/>
                <w:color w:val="auto"/>
                <w:sz w:val="24"/>
                <w:szCs w:val="24"/>
              </w:rPr>
              <w:t>5. Discussion</w:t>
            </w:r>
            <w:r w:rsidRPr="00D349AA">
              <w:rPr>
                <w:rFonts w:ascii="Arial" w:hAnsi="Arial" w:cs="Arial"/>
                <w:noProof/>
                <w:webHidden/>
                <w:sz w:val="24"/>
                <w:szCs w:val="24"/>
              </w:rPr>
              <w:tab/>
            </w:r>
            <w:r w:rsidRPr="00D349AA">
              <w:rPr>
                <w:rFonts w:ascii="Arial" w:hAnsi="Arial" w:cs="Arial"/>
                <w:noProof/>
                <w:webHidden/>
                <w:sz w:val="24"/>
                <w:szCs w:val="24"/>
              </w:rPr>
              <w:fldChar w:fldCharType="begin"/>
            </w:r>
            <w:r w:rsidRPr="00D349AA">
              <w:rPr>
                <w:rFonts w:ascii="Arial" w:hAnsi="Arial" w:cs="Arial"/>
                <w:noProof/>
                <w:webHidden/>
                <w:sz w:val="24"/>
                <w:szCs w:val="24"/>
              </w:rPr>
              <w:instrText xml:space="preserve"> PAGEREF _Toc221201959 \h </w:instrText>
            </w:r>
            <w:r w:rsidRPr="00D349AA">
              <w:rPr>
                <w:rFonts w:ascii="Arial" w:hAnsi="Arial" w:cs="Arial"/>
                <w:noProof/>
                <w:webHidden/>
                <w:sz w:val="24"/>
                <w:szCs w:val="24"/>
              </w:rPr>
            </w:r>
            <w:r w:rsidRPr="00D349AA">
              <w:rPr>
                <w:rFonts w:ascii="Arial" w:hAnsi="Arial" w:cs="Arial"/>
                <w:noProof/>
                <w:webHidden/>
                <w:sz w:val="24"/>
                <w:szCs w:val="24"/>
              </w:rPr>
              <w:fldChar w:fldCharType="separate"/>
            </w:r>
            <w:r w:rsidRPr="00D349AA">
              <w:rPr>
                <w:rFonts w:ascii="Arial" w:hAnsi="Arial" w:cs="Arial"/>
                <w:noProof/>
                <w:webHidden/>
                <w:sz w:val="24"/>
                <w:szCs w:val="24"/>
              </w:rPr>
              <w:t>17</w:t>
            </w:r>
            <w:r w:rsidRPr="00D349AA">
              <w:rPr>
                <w:rFonts w:ascii="Arial" w:hAnsi="Arial" w:cs="Arial"/>
                <w:noProof/>
                <w:webHidden/>
                <w:sz w:val="24"/>
                <w:szCs w:val="24"/>
              </w:rPr>
              <w:fldChar w:fldCharType="end"/>
            </w:r>
          </w:hyperlink>
        </w:p>
        <w:p w14:paraId="4C3F179E" w14:textId="458813BB" w:rsidR="000437FE" w:rsidRPr="00D349AA" w:rsidRDefault="000437FE">
          <w:pPr>
            <w:pStyle w:val="TOC1"/>
            <w:tabs>
              <w:tab w:val="right" w:leader="dot" w:pos="9350"/>
            </w:tabs>
            <w:rPr>
              <w:rFonts w:ascii="Arial" w:hAnsi="Arial" w:cs="Arial"/>
              <w:noProof/>
              <w:kern w:val="2"/>
              <w:sz w:val="24"/>
              <w:szCs w:val="24"/>
              <w:lang w:val="en-GB" w:eastAsia="en-GB" w:bidi="hi-IN"/>
              <w14:ligatures w14:val="standardContextual"/>
            </w:rPr>
          </w:pPr>
          <w:hyperlink w:anchor="_Toc221201960" w:history="1">
            <w:r w:rsidRPr="00D349AA">
              <w:rPr>
                <w:rStyle w:val="Hyperlink"/>
                <w:rFonts w:ascii="Arial" w:hAnsi="Arial" w:cs="Arial"/>
                <w:noProof/>
                <w:color w:val="auto"/>
                <w:sz w:val="24"/>
                <w:szCs w:val="24"/>
              </w:rPr>
              <w:t>6. Conclusion</w:t>
            </w:r>
            <w:r w:rsidRPr="00D349AA">
              <w:rPr>
                <w:rFonts w:ascii="Arial" w:hAnsi="Arial" w:cs="Arial"/>
                <w:noProof/>
                <w:webHidden/>
                <w:sz w:val="24"/>
                <w:szCs w:val="24"/>
              </w:rPr>
              <w:tab/>
            </w:r>
            <w:r w:rsidRPr="00D349AA">
              <w:rPr>
                <w:rFonts w:ascii="Arial" w:hAnsi="Arial" w:cs="Arial"/>
                <w:noProof/>
                <w:webHidden/>
                <w:sz w:val="24"/>
                <w:szCs w:val="24"/>
              </w:rPr>
              <w:fldChar w:fldCharType="begin"/>
            </w:r>
            <w:r w:rsidRPr="00D349AA">
              <w:rPr>
                <w:rFonts w:ascii="Arial" w:hAnsi="Arial" w:cs="Arial"/>
                <w:noProof/>
                <w:webHidden/>
                <w:sz w:val="24"/>
                <w:szCs w:val="24"/>
              </w:rPr>
              <w:instrText xml:space="preserve"> PAGEREF _Toc221201960 \h </w:instrText>
            </w:r>
            <w:r w:rsidRPr="00D349AA">
              <w:rPr>
                <w:rFonts w:ascii="Arial" w:hAnsi="Arial" w:cs="Arial"/>
                <w:noProof/>
                <w:webHidden/>
                <w:sz w:val="24"/>
                <w:szCs w:val="24"/>
              </w:rPr>
            </w:r>
            <w:r w:rsidRPr="00D349AA">
              <w:rPr>
                <w:rFonts w:ascii="Arial" w:hAnsi="Arial" w:cs="Arial"/>
                <w:noProof/>
                <w:webHidden/>
                <w:sz w:val="24"/>
                <w:szCs w:val="24"/>
              </w:rPr>
              <w:fldChar w:fldCharType="separate"/>
            </w:r>
            <w:r w:rsidRPr="00D349AA">
              <w:rPr>
                <w:rFonts w:ascii="Arial" w:hAnsi="Arial" w:cs="Arial"/>
                <w:noProof/>
                <w:webHidden/>
                <w:sz w:val="24"/>
                <w:szCs w:val="24"/>
              </w:rPr>
              <w:t>19</w:t>
            </w:r>
            <w:r w:rsidRPr="00D349AA">
              <w:rPr>
                <w:rFonts w:ascii="Arial" w:hAnsi="Arial" w:cs="Arial"/>
                <w:noProof/>
                <w:webHidden/>
                <w:sz w:val="24"/>
                <w:szCs w:val="24"/>
              </w:rPr>
              <w:fldChar w:fldCharType="end"/>
            </w:r>
          </w:hyperlink>
        </w:p>
        <w:p w14:paraId="2B79F819" w14:textId="469C38D9" w:rsidR="000437FE" w:rsidRPr="00D349AA" w:rsidRDefault="000437FE">
          <w:pPr>
            <w:pStyle w:val="TOC1"/>
            <w:tabs>
              <w:tab w:val="right" w:leader="dot" w:pos="9350"/>
            </w:tabs>
            <w:rPr>
              <w:rFonts w:ascii="Arial" w:hAnsi="Arial" w:cs="Arial"/>
              <w:noProof/>
              <w:kern w:val="2"/>
              <w:sz w:val="24"/>
              <w:szCs w:val="24"/>
              <w:lang w:val="en-GB" w:eastAsia="en-GB" w:bidi="hi-IN"/>
              <w14:ligatures w14:val="standardContextual"/>
            </w:rPr>
          </w:pPr>
          <w:hyperlink w:anchor="_Toc221201961" w:history="1">
            <w:r w:rsidRPr="00D349AA">
              <w:rPr>
                <w:rStyle w:val="Hyperlink"/>
                <w:rFonts w:ascii="Arial" w:hAnsi="Arial" w:cs="Arial"/>
                <w:noProof/>
                <w:color w:val="auto"/>
                <w:sz w:val="24"/>
                <w:szCs w:val="24"/>
              </w:rPr>
              <w:t>Reference List</w:t>
            </w:r>
            <w:r w:rsidRPr="00D349AA">
              <w:rPr>
                <w:rFonts w:ascii="Arial" w:hAnsi="Arial" w:cs="Arial"/>
                <w:noProof/>
                <w:webHidden/>
                <w:sz w:val="24"/>
                <w:szCs w:val="24"/>
              </w:rPr>
              <w:tab/>
            </w:r>
            <w:r w:rsidRPr="00D349AA">
              <w:rPr>
                <w:rFonts w:ascii="Arial" w:hAnsi="Arial" w:cs="Arial"/>
                <w:noProof/>
                <w:webHidden/>
                <w:sz w:val="24"/>
                <w:szCs w:val="24"/>
              </w:rPr>
              <w:fldChar w:fldCharType="begin"/>
            </w:r>
            <w:r w:rsidRPr="00D349AA">
              <w:rPr>
                <w:rFonts w:ascii="Arial" w:hAnsi="Arial" w:cs="Arial"/>
                <w:noProof/>
                <w:webHidden/>
                <w:sz w:val="24"/>
                <w:szCs w:val="24"/>
              </w:rPr>
              <w:instrText xml:space="preserve"> PAGEREF _Toc221201961 \h </w:instrText>
            </w:r>
            <w:r w:rsidRPr="00D349AA">
              <w:rPr>
                <w:rFonts w:ascii="Arial" w:hAnsi="Arial" w:cs="Arial"/>
                <w:noProof/>
                <w:webHidden/>
                <w:sz w:val="24"/>
                <w:szCs w:val="24"/>
              </w:rPr>
            </w:r>
            <w:r w:rsidRPr="00D349AA">
              <w:rPr>
                <w:rFonts w:ascii="Arial" w:hAnsi="Arial" w:cs="Arial"/>
                <w:noProof/>
                <w:webHidden/>
                <w:sz w:val="24"/>
                <w:szCs w:val="24"/>
              </w:rPr>
              <w:fldChar w:fldCharType="separate"/>
            </w:r>
            <w:r w:rsidRPr="00D349AA">
              <w:rPr>
                <w:rFonts w:ascii="Arial" w:hAnsi="Arial" w:cs="Arial"/>
                <w:noProof/>
                <w:webHidden/>
                <w:sz w:val="24"/>
                <w:szCs w:val="24"/>
              </w:rPr>
              <w:t>20</w:t>
            </w:r>
            <w:r w:rsidRPr="00D349AA">
              <w:rPr>
                <w:rFonts w:ascii="Arial" w:hAnsi="Arial" w:cs="Arial"/>
                <w:noProof/>
                <w:webHidden/>
                <w:sz w:val="24"/>
                <w:szCs w:val="24"/>
              </w:rPr>
              <w:fldChar w:fldCharType="end"/>
            </w:r>
          </w:hyperlink>
        </w:p>
        <w:p w14:paraId="646EF9D8" w14:textId="012FB220" w:rsidR="004D7D13" w:rsidRPr="00D349AA" w:rsidRDefault="004D7D13" w:rsidP="00013DBD">
          <w:pPr>
            <w:spacing w:line="480" w:lineRule="auto"/>
            <w:rPr>
              <w:rFonts w:ascii="Arial" w:hAnsi="Arial" w:cs="Arial"/>
              <w:szCs w:val="24"/>
            </w:rPr>
          </w:pPr>
          <w:r w:rsidRPr="00D349AA">
            <w:rPr>
              <w:rFonts w:ascii="Arial" w:hAnsi="Arial" w:cs="Arial"/>
              <w:noProof/>
              <w:szCs w:val="24"/>
            </w:rPr>
            <w:fldChar w:fldCharType="end"/>
          </w:r>
        </w:p>
      </w:sdtContent>
    </w:sdt>
    <w:p w14:paraId="1EDA022C" w14:textId="77777777" w:rsidR="004D7D13" w:rsidRPr="00D349AA" w:rsidRDefault="004D7D13" w:rsidP="00013DBD">
      <w:pPr>
        <w:spacing w:line="480" w:lineRule="auto"/>
        <w:rPr>
          <w:rFonts w:ascii="Arial" w:hAnsi="Arial" w:cs="Arial"/>
          <w:szCs w:val="24"/>
        </w:rPr>
      </w:pPr>
    </w:p>
    <w:p w14:paraId="19B15F5F" w14:textId="77777777" w:rsidR="0095171B" w:rsidRPr="00D349AA" w:rsidRDefault="0095171B" w:rsidP="00013DBD">
      <w:pPr>
        <w:spacing w:line="480" w:lineRule="auto"/>
        <w:rPr>
          <w:rFonts w:ascii="Arial" w:hAnsi="Arial" w:cs="Arial"/>
          <w:szCs w:val="24"/>
        </w:rPr>
      </w:pPr>
    </w:p>
    <w:p w14:paraId="73636B03" w14:textId="77777777" w:rsidR="0095171B" w:rsidRPr="00D349AA" w:rsidRDefault="0095171B" w:rsidP="00013DBD">
      <w:pPr>
        <w:spacing w:line="480" w:lineRule="auto"/>
        <w:rPr>
          <w:rFonts w:ascii="Arial" w:hAnsi="Arial" w:cs="Arial"/>
          <w:szCs w:val="24"/>
        </w:rPr>
      </w:pPr>
      <w:r w:rsidRPr="00D349AA">
        <w:rPr>
          <w:rFonts w:ascii="Arial" w:hAnsi="Arial" w:cs="Arial"/>
          <w:szCs w:val="24"/>
        </w:rPr>
        <w:br w:type="page"/>
      </w:r>
    </w:p>
    <w:p w14:paraId="48512045" w14:textId="2774FE42" w:rsidR="00B06124" w:rsidRPr="00D349AA" w:rsidRDefault="000E04F4" w:rsidP="00B06124">
      <w:pPr>
        <w:spacing w:line="480" w:lineRule="auto"/>
        <w:rPr>
          <w:rFonts w:ascii="Arial" w:hAnsi="Arial" w:cs="Arial"/>
          <w:szCs w:val="24"/>
        </w:rPr>
      </w:pPr>
      <w:bookmarkStart w:id="1" w:name="_Toc221201955"/>
      <w:r w:rsidRPr="00D349AA">
        <w:rPr>
          <w:rStyle w:val="Heading1Char"/>
          <w:rFonts w:ascii="Arial" w:hAnsi="Arial" w:cs="Arial"/>
          <w:b/>
          <w:bCs/>
          <w:color w:val="auto"/>
          <w:sz w:val="24"/>
          <w:szCs w:val="24"/>
        </w:rPr>
        <w:lastRenderedPageBreak/>
        <w:t>1</w:t>
      </w:r>
      <w:r w:rsidR="004D7D13" w:rsidRPr="00D349AA">
        <w:rPr>
          <w:rStyle w:val="Heading1Char"/>
          <w:rFonts w:ascii="Arial" w:hAnsi="Arial" w:cs="Arial"/>
          <w:b/>
          <w:bCs/>
          <w:color w:val="auto"/>
          <w:sz w:val="24"/>
          <w:szCs w:val="24"/>
        </w:rPr>
        <w:t>.</w:t>
      </w:r>
      <w:r w:rsidR="0095171B" w:rsidRPr="00D349AA">
        <w:rPr>
          <w:rStyle w:val="Heading1Char"/>
          <w:rFonts w:ascii="Arial" w:hAnsi="Arial" w:cs="Arial"/>
          <w:b/>
          <w:bCs/>
          <w:color w:val="auto"/>
          <w:sz w:val="24"/>
          <w:szCs w:val="24"/>
        </w:rPr>
        <w:t>Introduction</w:t>
      </w:r>
      <w:bookmarkEnd w:id="1"/>
      <w:r w:rsidR="0095171B" w:rsidRPr="00D349AA">
        <w:rPr>
          <w:rStyle w:val="Heading1Char"/>
          <w:rFonts w:ascii="Arial" w:hAnsi="Arial" w:cs="Arial"/>
          <w:color w:val="auto"/>
          <w:sz w:val="24"/>
          <w:szCs w:val="24"/>
        </w:rPr>
        <w:t xml:space="preserve"> </w:t>
      </w:r>
    </w:p>
    <w:p w14:paraId="65E70C58" w14:textId="77777777" w:rsidR="00D349AA" w:rsidRPr="00D349AA" w:rsidRDefault="00D349AA" w:rsidP="00D349AA">
      <w:pPr>
        <w:spacing w:line="480" w:lineRule="auto"/>
        <w:rPr>
          <w:rFonts w:ascii="Arial" w:hAnsi="Arial" w:cs="Arial"/>
          <w:szCs w:val="24"/>
        </w:rPr>
      </w:pPr>
      <w:bookmarkStart w:id="2" w:name="_Toc221201956"/>
      <w:r w:rsidRPr="00D349AA">
        <w:rPr>
          <w:rFonts w:ascii="Arial" w:hAnsi="Arial" w:cs="Arial"/>
          <w:szCs w:val="24"/>
        </w:rPr>
        <w:t xml:space="preserve">The tourism industry is one of the most dynamic and globally interconnected sectors of the modern economy, involving a wide range of stakeholders such as airlines, hotels, tour operators, online travel agencies, and destination management organisations. Tourism transactions differ from many traditional consumer markets because services are typically purchased in advance, consumed </w:t>
      </w:r>
      <w:proofErr w:type="gramStart"/>
      <w:r w:rsidRPr="00D349AA">
        <w:rPr>
          <w:rFonts w:ascii="Arial" w:hAnsi="Arial" w:cs="Arial"/>
          <w:szCs w:val="24"/>
        </w:rPr>
        <w:t>at a later date</w:t>
      </w:r>
      <w:proofErr w:type="gramEnd"/>
      <w:r w:rsidRPr="00D349AA">
        <w:rPr>
          <w:rFonts w:ascii="Arial" w:hAnsi="Arial" w:cs="Arial"/>
          <w:szCs w:val="24"/>
        </w:rPr>
        <w:t xml:space="preserve">, and often delivered in foreign jurisdictions. These characteristics increase uncertainty for </w:t>
      </w:r>
      <w:proofErr w:type="spellStart"/>
      <w:r w:rsidRPr="00D349AA">
        <w:rPr>
          <w:rFonts w:ascii="Arial" w:hAnsi="Arial" w:cs="Arial"/>
          <w:szCs w:val="24"/>
        </w:rPr>
        <w:t>travelers</w:t>
      </w:r>
      <w:proofErr w:type="spellEnd"/>
      <w:r w:rsidRPr="00D349AA">
        <w:rPr>
          <w:rFonts w:ascii="Arial" w:hAnsi="Arial" w:cs="Arial"/>
          <w:szCs w:val="24"/>
        </w:rPr>
        <w:t xml:space="preserve"> and heighten their exposure to unfair practices, misinformation, and service failures (Zhang &amp; Cole, 2016). Consequently, consumer protection laws have become an essential regulatory framework within the tourism industry. </w:t>
      </w:r>
      <w:r w:rsidRPr="00D349AA">
        <w:rPr>
          <w:rFonts w:ascii="Arial" w:hAnsi="Arial" w:cs="Arial"/>
          <w:szCs w:val="24"/>
        </w:rPr>
        <w:br/>
        <w:t xml:space="preserve">The purpose of consumer protection laws is to protect customers from deceptive advertising, unsafe goods and services, and unfair business practices. In tourism, these regulations address structural inequalities between travellers and service providers by promoting openness, fairness, and accountability in business interactions (Howells et al., 2018). Travelers’ rights commonly include access to accurate information, clear pricing, fair contractual terms, and effective remedies when services are not delivered as promised. At the same time, </w:t>
      </w:r>
      <w:proofErr w:type="spellStart"/>
      <w:r w:rsidRPr="00D349AA">
        <w:rPr>
          <w:rFonts w:ascii="Arial" w:hAnsi="Arial" w:cs="Arial"/>
          <w:szCs w:val="24"/>
        </w:rPr>
        <w:t>travelers</w:t>
      </w:r>
      <w:proofErr w:type="spellEnd"/>
      <w:r w:rsidRPr="00D349AA">
        <w:rPr>
          <w:rFonts w:ascii="Arial" w:hAnsi="Arial" w:cs="Arial"/>
          <w:szCs w:val="24"/>
        </w:rPr>
        <w:t xml:space="preserve"> are expected to fulfil certain obligations, such as complying with booking conditions and acting in good faith during contractual performance.</w:t>
      </w:r>
      <w:r w:rsidRPr="00D349AA">
        <w:rPr>
          <w:rFonts w:ascii="Arial" w:hAnsi="Arial" w:cs="Arial"/>
          <w:szCs w:val="24"/>
        </w:rPr>
        <w:br/>
        <w:t xml:space="preserve">A major area of focus within tourism consumer protection is the regulation of package travel and linked travel arrangements. Package travel legislation seeks to simplify complex travel transactions by assigning responsibility to a single organiser for the overall performance of the travel package. This approach reduces the burden on </w:t>
      </w:r>
      <w:r w:rsidRPr="00D349AA">
        <w:rPr>
          <w:rFonts w:ascii="Arial" w:hAnsi="Arial" w:cs="Arial"/>
          <w:szCs w:val="24"/>
        </w:rPr>
        <w:lastRenderedPageBreak/>
        <w:t xml:space="preserve">consumers, who might otherwise be required to pursue claims against multiple suppliers across different jurisdictions (Lohmann &amp; Netto, 2016). Similar protections are found in broader consumer protection statutes that regulate unfair commercial practices, misleading advertising, and contract transparency. </w:t>
      </w:r>
      <w:r w:rsidRPr="00D349AA">
        <w:rPr>
          <w:rFonts w:ascii="Arial" w:hAnsi="Arial" w:cs="Arial"/>
          <w:szCs w:val="24"/>
        </w:rPr>
        <w:br/>
      </w:r>
      <w:r w:rsidRPr="00D349AA">
        <w:rPr>
          <w:rFonts w:ascii="Arial" w:hAnsi="Arial" w:cs="Arial"/>
          <w:szCs w:val="24"/>
        </w:rPr>
        <w:br/>
        <w:t>The rapid growth of digital tourism platforms has further increased the relevance of consumer protection laws. Online booking systems, dynamic pricing tactics, and user-generated reviews have altered how tourism services are promoted and purchased. While these developments enhance convenience and choice, they also create opportunities for hidden charges, deceptive pricing, and information overload (Sigala, 2018). Scholars argue that digitalisation has intensified information asymmetry, making regulatory oversight essential to protect consumers from exploitation (</w:t>
      </w:r>
      <w:proofErr w:type="spellStart"/>
      <w:r w:rsidRPr="00D349AA">
        <w:rPr>
          <w:rFonts w:ascii="Arial" w:hAnsi="Arial" w:cs="Arial"/>
          <w:szCs w:val="24"/>
        </w:rPr>
        <w:t>Dolnicar</w:t>
      </w:r>
      <w:proofErr w:type="spellEnd"/>
      <w:r w:rsidRPr="00D349AA">
        <w:rPr>
          <w:rFonts w:ascii="Arial" w:hAnsi="Arial" w:cs="Arial"/>
          <w:szCs w:val="24"/>
        </w:rPr>
        <w:t xml:space="preserve">, 2019). </w:t>
      </w:r>
      <w:r w:rsidRPr="00D349AA">
        <w:rPr>
          <w:rFonts w:ascii="Arial" w:hAnsi="Arial" w:cs="Arial"/>
          <w:szCs w:val="24"/>
        </w:rPr>
        <w:br/>
        <w:t>In addition, safety and service quality remain fundamental considerations within tourist consumer protection. Tourism activities often involve transportation, accommodation, and leisure experiences that carry inherent risks. Consumer protection laws complement sector-specific safety regulations by imposing minimum standards that service providers must meet, regardless of contractual disclaimers (</w:t>
      </w:r>
      <w:proofErr w:type="spellStart"/>
      <w:r w:rsidRPr="00D349AA">
        <w:rPr>
          <w:rFonts w:ascii="Arial" w:hAnsi="Arial" w:cs="Arial"/>
          <w:szCs w:val="24"/>
        </w:rPr>
        <w:t>Pizam</w:t>
      </w:r>
      <w:proofErr w:type="spellEnd"/>
      <w:r w:rsidRPr="00D349AA">
        <w:rPr>
          <w:rFonts w:ascii="Arial" w:hAnsi="Arial" w:cs="Arial"/>
          <w:szCs w:val="24"/>
        </w:rPr>
        <w:t xml:space="preserve"> &amp; Mansfeld, 2016). In developing tourism models like peer-to-peer lodging and adventure travel, these safeguards are especially crucial. </w:t>
      </w:r>
      <w:r w:rsidRPr="00D349AA">
        <w:rPr>
          <w:rFonts w:ascii="Arial" w:hAnsi="Arial" w:cs="Arial"/>
          <w:szCs w:val="24"/>
        </w:rPr>
        <w:br/>
        <w:t xml:space="preserve">This assignment critically investigates consumer protection legislation in the tourist business by examining legislative frameworks, regulatory roles, and dispute resolution procedures. By doing so, it demonstrates how consumer protection laws contribute to </w:t>
      </w:r>
      <w:proofErr w:type="spellStart"/>
      <w:r w:rsidRPr="00D349AA">
        <w:rPr>
          <w:rFonts w:ascii="Arial" w:hAnsi="Arial" w:cs="Arial"/>
          <w:szCs w:val="24"/>
        </w:rPr>
        <w:lastRenderedPageBreak/>
        <w:t>traveler</w:t>
      </w:r>
      <w:proofErr w:type="spellEnd"/>
      <w:r w:rsidRPr="00D349AA">
        <w:rPr>
          <w:rFonts w:ascii="Arial" w:hAnsi="Arial" w:cs="Arial"/>
          <w:szCs w:val="24"/>
        </w:rPr>
        <w:t xml:space="preserve"> confidence, fair market practices, and the sustainable development of tourism in an increasingly globalised and digital environment.</w:t>
      </w:r>
    </w:p>
    <w:p w14:paraId="3F9A6830" w14:textId="77777777" w:rsidR="00D349AA" w:rsidRPr="00D349AA" w:rsidRDefault="00D349AA" w:rsidP="00D349AA">
      <w:pPr>
        <w:spacing w:line="480" w:lineRule="auto"/>
        <w:rPr>
          <w:rFonts w:ascii="Arial" w:hAnsi="Arial" w:cs="Arial"/>
          <w:szCs w:val="24"/>
        </w:rPr>
      </w:pPr>
    </w:p>
    <w:p w14:paraId="71D71E88" w14:textId="77777777" w:rsidR="00D349AA" w:rsidRPr="00D349AA" w:rsidRDefault="00D349AA" w:rsidP="00D349AA">
      <w:pPr>
        <w:spacing w:line="480" w:lineRule="auto"/>
        <w:rPr>
          <w:rFonts w:ascii="Arial" w:hAnsi="Arial" w:cs="Arial"/>
          <w:szCs w:val="24"/>
        </w:rPr>
      </w:pPr>
    </w:p>
    <w:p w14:paraId="3BF31C3F" w14:textId="77777777" w:rsidR="005C7750" w:rsidRPr="00D349AA" w:rsidRDefault="000E04F4" w:rsidP="005C7750">
      <w:pPr>
        <w:spacing w:line="480" w:lineRule="auto"/>
        <w:rPr>
          <w:rFonts w:ascii="Arial" w:hAnsi="Arial" w:cs="Arial"/>
          <w:szCs w:val="24"/>
        </w:rPr>
      </w:pPr>
      <w:r w:rsidRPr="00D349AA">
        <w:rPr>
          <w:rStyle w:val="Heading1Char"/>
          <w:rFonts w:ascii="Arial" w:hAnsi="Arial" w:cs="Arial"/>
          <w:b/>
          <w:bCs/>
          <w:color w:val="auto"/>
          <w:sz w:val="24"/>
          <w:szCs w:val="24"/>
        </w:rPr>
        <w:t>2</w:t>
      </w:r>
      <w:r w:rsidR="0095171B" w:rsidRPr="00D349AA">
        <w:rPr>
          <w:rStyle w:val="Heading1Char"/>
          <w:rFonts w:ascii="Arial" w:hAnsi="Arial" w:cs="Arial"/>
          <w:b/>
          <w:bCs/>
          <w:color w:val="auto"/>
          <w:sz w:val="24"/>
          <w:szCs w:val="24"/>
        </w:rPr>
        <w:t>. Literature Review</w:t>
      </w:r>
      <w:bookmarkEnd w:id="2"/>
      <w:r w:rsidR="0095171B" w:rsidRPr="00D349AA">
        <w:rPr>
          <w:rFonts w:ascii="Arial" w:hAnsi="Arial" w:cs="Arial"/>
          <w:szCs w:val="24"/>
        </w:rPr>
        <w:t xml:space="preserve"> </w:t>
      </w:r>
      <w:r w:rsidR="0095171B" w:rsidRPr="00D349AA">
        <w:rPr>
          <w:rFonts w:ascii="Arial" w:hAnsi="Arial" w:cs="Arial"/>
          <w:szCs w:val="24"/>
        </w:rPr>
        <w:br/>
      </w:r>
      <w:bookmarkStart w:id="3" w:name="_Toc221201957"/>
      <w:r w:rsidR="005C7750" w:rsidRPr="00D349AA">
        <w:rPr>
          <w:rFonts w:ascii="Arial" w:hAnsi="Arial" w:cs="Arial"/>
          <w:szCs w:val="24"/>
        </w:rPr>
        <w:t xml:space="preserve">Consumer protection laws have gained increasing prominence in tourism studies due to the sector’s distinctive transactional characteristics. Tourism services are typically purchased in advance, consumed </w:t>
      </w:r>
      <w:proofErr w:type="gramStart"/>
      <w:r w:rsidR="005C7750" w:rsidRPr="00D349AA">
        <w:rPr>
          <w:rFonts w:ascii="Arial" w:hAnsi="Arial" w:cs="Arial"/>
          <w:szCs w:val="24"/>
        </w:rPr>
        <w:t>at a later time</w:t>
      </w:r>
      <w:proofErr w:type="gramEnd"/>
      <w:r w:rsidR="005C7750" w:rsidRPr="00D349AA">
        <w:rPr>
          <w:rFonts w:ascii="Arial" w:hAnsi="Arial" w:cs="Arial"/>
          <w:szCs w:val="24"/>
        </w:rPr>
        <w:t>, and often delivered in unfamiliar or foreign environments. Scholars argue that these features expose tourists to higher levels of uncertainty and risk than those found in many traditional consumer markets, thereby justifying enhanced regulatory protection (Zhang &amp; Cole, 2016). As tourism has expanded globally and digitally, consumer protection has become a central concern within tourism law and policy literature.</w:t>
      </w:r>
    </w:p>
    <w:p w14:paraId="788F71A1" w14:textId="77777777" w:rsidR="005C7750" w:rsidRPr="005C7750" w:rsidRDefault="005C7750" w:rsidP="005C7750">
      <w:pPr>
        <w:spacing w:line="480" w:lineRule="auto"/>
        <w:rPr>
          <w:rFonts w:ascii="Arial" w:hAnsi="Arial" w:cs="Arial"/>
          <w:b/>
          <w:bCs/>
          <w:szCs w:val="24"/>
        </w:rPr>
      </w:pPr>
      <w:r w:rsidRPr="005C7750">
        <w:rPr>
          <w:rFonts w:ascii="Arial" w:hAnsi="Arial" w:cs="Arial"/>
          <w:b/>
          <w:bCs/>
          <w:szCs w:val="24"/>
        </w:rPr>
        <w:t>Conceptual Foundations of Consumer Protection in Tourism</w:t>
      </w:r>
    </w:p>
    <w:p w14:paraId="3207180A" w14:textId="77777777" w:rsidR="005C7750" w:rsidRPr="005C7750" w:rsidRDefault="005C7750" w:rsidP="005C7750">
      <w:pPr>
        <w:spacing w:line="480" w:lineRule="auto"/>
        <w:rPr>
          <w:rFonts w:ascii="Arial" w:hAnsi="Arial" w:cs="Arial"/>
          <w:szCs w:val="24"/>
        </w:rPr>
      </w:pPr>
      <w:r w:rsidRPr="005C7750">
        <w:rPr>
          <w:rFonts w:ascii="Arial" w:hAnsi="Arial" w:cs="Arial"/>
          <w:szCs w:val="24"/>
        </w:rPr>
        <w:t>Consumer protection law is commonly defined as a regulatory framework aimed at safeguarding consumers from unfair commercial practices, misleading information, and unsafe products or services. In the tourism context, researchers emphasise that consumer protection serves as a corrective mechanism that compensates for structural imbalances between tourists and service providers (Howells et al., 2018). Unlike standard consumer goods, tourism services are intangible and experiential, meaning that quality cannot be fully assessed before consumption. This limitation significantly increases reliance on information supplied by businesses and intermediaries.</w:t>
      </w:r>
    </w:p>
    <w:p w14:paraId="5531F67F" w14:textId="77777777" w:rsidR="005C7750" w:rsidRPr="005C7750" w:rsidRDefault="005C7750" w:rsidP="005C7750">
      <w:pPr>
        <w:spacing w:line="480" w:lineRule="auto"/>
        <w:rPr>
          <w:rFonts w:ascii="Arial" w:hAnsi="Arial" w:cs="Arial"/>
          <w:szCs w:val="24"/>
        </w:rPr>
      </w:pPr>
      <w:r w:rsidRPr="005C7750">
        <w:rPr>
          <w:rFonts w:ascii="Arial" w:hAnsi="Arial" w:cs="Arial"/>
          <w:szCs w:val="24"/>
        </w:rPr>
        <w:lastRenderedPageBreak/>
        <w:t>Academic literature highlights that traditional contract law principles, such as freedom of contract and caveat emptor, are insufficient to protect tourists in mass tourism markets. Standard-form contracts, non-negotiable terms, and extensive disclaimers limit genuine consumer consent. Consumer protection laws therefore operate as mandatory safeguards that override unfair contractual provisions and promote substantive fairness (</w:t>
      </w:r>
      <w:proofErr w:type="spellStart"/>
      <w:r w:rsidRPr="005C7750">
        <w:rPr>
          <w:rFonts w:ascii="Arial" w:hAnsi="Arial" w:cs="Arial"/>
          <w:szCs w:val="24"/>
        </w:rPr>
        <w:t>Micklitz</w:t>
      </w:r>
      <w:proofErr w:type="spellEnd"/>
      <w:r w:rsidRPr="005C7750">
        <w:rPr>
          <w:rFonts w:ascii="Arial" w:hAnsi="Arial" w:cs="Arial"/>
          <w:szCs w:val="24"/>
        </w:rPr>
        <w:t>, 2015).</w:t>
      </w:r>
    </w:p>
    <w:p w14:paraId="78CA4F2F" w14:textId="77777777" w:rsidR="005C7750" w:rsidRPr="005C7750" w:rsidRDefault="005C7750" w:rsidP="005C7750">
      <w:pPr>
        <w:spacing w:line="480" w:lineRule="auto"/>
        <w:rPr>
          <w:rFonts w:ascii="Arial" w:hAnsi="Arial" w:cs="Arial"/>
          <w:b/>
          <w:bCs/>
          <w:szCs w:val="24"/>
        </w:rPr>
      </w:pPr>
      <w:r w:rsidRPr="005C7750">
        <w:rPr>
          <w:rFonts w:ascii="Arial" w:hAnsi="Arial" w:cs="Arial"/>
          <w:b/>
          <w:bCs/>
          <w:szCs w:val="24"/>
        </w:rPr>
        <w:t>Tourist Vulnerability and Information Asymmetry</w:t>
      </w:r>
    </w:p>
    <w:p w14:paraId="044CB13E" w14:textId="77777777" w:rsidR="005C7750" w:rsidRPr="005C7750" w:rsidRDefault="005C7750" w:rsidP="005C7750">
      <w:pPr>
        <w:spacing w:line="480" w:lineRule="auto"/>
        <w:rPr>
          <w:rFonts w:ascii="Arial" w:hAnsi="Arial" w:cs="Arial"/>
          <w:szCs w:val="24"/>
        </w:rPr>
      </w:pPr>
      <w:r w:rsidRPr="005C7750">
        <w:rPr>
          <w:rFonts w:ascii="Arial" w:hAnsi="Arial" w:cs="Arial"/>
          <w:szCs w:val="24"/>
        </w:rPr>
        <w:t>A dominant theme within the literature is tourist vulnerability. Tourists are often unfamiliar with destinations, legal systems, and local standards, which places them at a disadvantage when problems arise. Studies suggest that vulnerability is intensified by language barriers, cultural differences, and limited access to redress mechanisms during travel (Wilks &amp; Pendergast, 2017). Consumer protection laws aim to reduce this vulnerability by imposing obligations on businesses to provide clear, accurate, and timely information.</w:t>
      </w:r>
    </w:p>
    <w:p w14:paraId="0D38520C" w14:textId="77777777" w:rsidR="005C7750" w:rsidRPr="005C7750" w:rsidRDefault="005C7750" w:rsidP="005C7750">
      <w:pPr>
        <w:spacing w:line="480" w:lineRule="auto"/>
        <w:rPr>
          <w:rFonts w:ascii="Arial" w:hAnsi="Arial" w:cs="Arial"/>
          <w:szCs w:val="24"/>
        </w:rPr>
      </w:pPr>
      <w:r w:rsidRPr="005C7750">
        <w:rPr>
          <w:rFonts w:ascii="Arial" w:hAnsi="Arial" w:cs="Arial"/>
          <w:szCs w:val="24"/>
        </w:rPr>
        <w:t>Information asymmetry is particularly evident in tourism marketing and pricing practices. Scholars note that tourists frequently rely on visual imagery, promotional descriptions, and online reviews when selecting travel services. While digital platforms have increased access to information, they have also created opportunities for misleading representations and selective disclosure (</w:t>
      </w:r>
      <w:proofErr w:type="spellStart"/>
      <w:r w:rsidRPr="005C7750">
        <w:rPr>
          <w:rFonts w:ascii="Arial" w:hAnsi="Arial" w:cs="Arial"/>
          <w:szCs w:val="24"/>
        </w:rPr>
        <w:t>Dolnicar</w:t>
      </w:r>
      <w:proofErr w:type="spellEnd"/>
      <w:r w:rsidRPr="005C7750">
        <w:rPr>
          <w:rFonts w:ascii="Arial" w:hAnsi="Arial" w:cs="Arial"/>
          <w:szCs w:val="24"/>
        </w:rPr>
        <w:t>, 2019). Consumer protection frameworks address these risks by regulating advertising practices and prohibiting deceptive or misleading conduct.</w:t>
      </w:r>
    </w:p>
    <w:p w14:paraId="44B04484" w14:textId="77777777" w:rsidR="005C7750" w:rsidRPr="005C7750" w:rsidRDefault="005C7750" w:rsidP="005C7750">
      <w:pPr>
        <w:spacing w:line="480" w:lineRule="auto"/>
        <w:rPr>
          <w:rFonts w:ascii="Arial" w:hAnsi="Arial" w:cs="Arial"/>
          <w:b/>
          <w:bCs/>
          <w:szCs w:val="24"/>
        </w:rPr>
      </w:pPr>
      <w:r w:rsidRPr="005C7750">
        <w:rPr>
          <w:rFonts w:ascii="Arial" w:hAnsi="Arial" w:cs="Arial"/>
          <w:b/>
          <w:bCs/>
          <w:szCs w:val="24"/>
        </w:rPr>
        <w:t>Regulation of Unfair Commercial Practices</w:t>
      </w:r>
    </w:p>
    <w:p w14:paraId="39415199" w14:textId="77777777" w:rsidR="005C7750" w:rsidRPr="005C7750" w:rsidRDefault="005C7750" w:rsidP="005C7750">
      <w:pPr>
        <w:spacing w:line="480" w:lineRule="auto"/>
        <w:rPr>
          <w:rFonts w:ascii="Arial" w:hAnsi="Arial" w:cs="Arial"/>
          <w:szCs w:val="24"/>
        </w:rPr>
      </w:pPr>
      <w:r w:rsidRPr="005C7750">
        <w:rPr>
          <w:rFonts w:ascii="Arial" w:hAnsi="Arial" w:cs="Arial"/>
          <w:szCs w:val="24"/>
        </w:rPr>
        <w:lastRenderedPageBreak/>
        <w:t>The regulation of unfair commercial practices is a core component of tourism consumer protection. Unfair practices include misleading advertising, hidden fees, false price comparisons, and aggressive sales techniques. Empirical research indicates that pricing-related complaints are among the most common issues raised by tourism consumers, particularly in online booking environments (Santos &amp; Basso, 2019).</w:t>
      </w:r>
    </w:p>
    <w:p w14:paraId="19E425AA" w14:textId="77777777" w:rsidR="005C7750" w:rsidRPr="005C7750" w:rsidRDefault="005C7750" w:rsidP="005C7750">
      <w:pPr>
        <w:spacing w:line="480" w:lineRule="auto"/>
        <w:rPr>
          <w:rFonts w:ascii="Arial" w:hAnsi="Arial" w:cs="Arial"/>
          <w:szCs w:val="24"/>
        </w:rPr>
      </w:pPr>
      <w:r w:rsidRPr="005C7750">
        <w:rPr>
          <w:rFonts w:ascii="Arial" w:hAnsi="Arial" w:cs="Arial"/>
          <w:szCs w:val="24"/>
        </w:rPr>
        <w:t>Digitalisation has significantly complicated the regulation of unfair practices. Dynamic pricing algorithms, bundled services, and optional add-ons often obscure the true cost of tourism services. Scholars argue that consumer protection laws must evolve to ensure transparency in digital markets, requiring businesses to disclose total prices and material conditions clearly and prominently (Sigala, 2018). Regulatory intervention in this area reflects a broader shift toward protecting informed consumer choice.</w:t>
      </w:r>
    </w:p>
    <w:p w14:paraId="60859E62" w14:textId="77777777" w:rsidR="005C7750" w:rsidRPr="005C7750" w:rsidRDefault="005C7750" w:rsidP="005C7750">
      <w:pPr>
        <w:spacing w:line="480" w:lineRule="auto"/>
        <w:rPr>
          <w:rFonts w:ascii="Arial" w:hAnsi="Arial" w:cs="Arial"/>
          <w:b/>
          <w:bCs/>
          <w:szCs w:val="24"/>
        </w:rPr>
      </w:pPr>
      <w:r w:rsidRPr="005C7750">
        <w:rPr>
          <w:rFonts w:ascii="Arial" w:hAnsi="Arial" w:cs="Arial"/>
          <w:b/>
          <w:bCs/>
          <w:szCs w:val="24"/>
        </w:rPr>
        <w:t>Package Travel and Organiser Accountability</w:t>
      </w:r>
    </w:p>
    <w:p w14:paraId="0119F537" w14:textId="77777777" w:rsidR="005C7750" w:rsidRPr="005C7750" w:rsidRDefault="005C7750" w:rsidP="005C7750">
      <w:pPr>
        <w:spacing w:line="480" w:lineRule="auto"/>
        <w:rPr>
          <w:rFonts w:ascii="Arial" w:hAnsi="Arial" w:cs="Arial"/>
          <w:szCs w:val="24"/>
        </w:rPr>
      </w:pPr>
      <w:r w:rsidRPr="005C7750">
        <w:rPr>
          <w:rFonts w:ascii="Arial" w:hAnsi="Arial" w:cs="Arial"/>
          <w:szCs w:val="24"/>
        </w:rPr>
        <w:t>Package travel regulation represents one of the most developed areas of consumer protection in tourism. The literature consistently highlights that package travel laws were introduced to address the complexity of multi-component travel arrangements. By assigning responsibility to a single organiser, these laws reduce the burden on consumers and simplify dispute resolution (Lohmann &amp; Netto, 2016).</w:t>
      </w:r>
    </w:p>
    <w:p w14:paraId="5BE0E9C3" w14:textId="77777777" w:rsidR="005C7750" w:rsidRPr="005C7750" w:rsidRDefault="005C7750" w:rsidP="005C7750">
      <w:pPr>
        <w:spacing w:line="480" w:lineRule="auto"/>
        <w:rPr>
          <w:rFonts w:ascii="Arial" w:hAnsi="Arial" w:cs="Arial"/>
          <w:szCs w:val="24"/>
        </w:rPr>
      </w:pPr>
      <w:r w:rsidRPr="005C7750">
        <w:rPr>
          <w:rFonts w:ascii="Arial" w:hAnsi="Arial" w:cs="Arial"/>
          <w:szCs w:val="24"/>
        </w:rPr>
        <w:t xml:space="preserve">Researchers argue that organiser accountability is essential for effective consumer protection, as tourists would otherwise face significant challenges in pursuing claims against multiple suppliers across jurisdictions. Package travel regulation also strengthens consumer rights by guaranteeing remedies such as refunds, compensation, and assistance in cases of service failure or insolvency. Comparative studies suggest </w:t>
      </w:r>
      <w:r w:rsidRPr="005C7750">
        <w:rPr>
          <w:rFonts w:ascii="Arial" w:hAnsi="Arial" w:cs="Arial"/>
          <w:szCs w:val="24"/>
        </w:rPr>
        <w:lastRenderedPageBreak/>
        <w:t>that while regulatory approaches vary internationally, the principle of organiser responsibility remains central to tourism consumer protection frameworks (Howells et al., 2018).</w:t>
      </w:r>
    </w:p>
    <w:p w14:paraId="5E74D32D" w14:textId="77777777" w:rsidR="005C7750" w:rsidRPr="005C7750" w:rsidRDefault="005C7750" w:rsidP="005C7750">
      <w:pPr>
        <w:spacing w:line="480" w:lineRule="auto"/>
        <w:rPr>
          <w:rFonts w:ascii="Arial" w:hAnsi="Arial" w:cs="Arial"/>
          <w:b/>
          <w:bCs/>
          <w:szCs w:val="24"/>
        </w:rPr>
      </w:pPr>
      <w:r w:rsidRPr="005C7750">
        <w:rPr>
          <w:rFonts w:ascii="Arial" w:hAnsi="Arial" w:cs="Arial"/>
          <w:b/>
          <w:bCs/>
          <w:szCs w:val="24"/>
        </w:rPr>
        <w:t>Safety and Service Quality in Tourism</w:t>
      </w:r>
    </w:p>
    <w:p w14:paraId="42D65BE2" w14:textId="77777777" w:rsidR="005C7750" w:rsidRPr="005C7750" w:rsidRDefault="005C7750" w:rsidP="005C7750">
      <w:pPr>
        <w:spacing w:line="480" w:lineRule="auto"/>
        <w:rPr>
          <w:rFonts w:ascii="Arial" w:hAnsi="Arial" w:cs="Arial"/>
          <w:szCs w:val="24"/>
        </w:rPr>
      </w:pPr>
      <w:r w:rsidRPr="005C7750">
        <w:rPr>
          <w:rFonts w:ascii="Arial" w:hAnsi="Arial" w:cs="Arial"/>
          <w:szCs w:val="24"/>
        </w:rPr>
        <w:t>Safety and service quality are critical dimensions of consumer protection in tourism. Tourism activities frequently involve transportation, accommodation, and recreational experiences that pose physical and psychological risks. Scholars emphasise that consumer protection laws complement sector-specific safety regulations by establishing minimum standards that cannot be excluded by contract (</w:t>
      </w:r>
      <w:proofErr w:type="spellStart"/>
      <w:r w:rsidRPr="005C7750">
        <w:rPr>
          <w:rFonts w:ascii="Arial" w:hAnsi="Arial" w:cs="Arial"/>
          <w:szCs w:val="24"/>
        </w:rPr>
        <w:t>Pizam</w:t>
      </w:r>
      <w:proofErr w:type="spellEnd"/>
      <w:r w:rsidRPr="005C7750">
        <w:rPr>
          <w:rFonts w:ascii="Arial" w:hAnsi="Arial" w:cs="Arial"/>
          <w:szCs w:val="24"/>
        </w:rPr>
        <w:t xml:space="preserve"> &amp; Mansfeld, 2016).</w:t>
      </w:r>
    </w:p>
    <w:p w14:paraId="348FD494" w14:textId="77777777" w:rsidR="005C7750" w:rsidRPr="005C7750" w:rsidRDefault="005C7750" w:rsidP="005C7750">
      <w:pPr>
        <w:spacing w:line="480" w:lineRule="auto"/>
        <w:rPr>
          <w:rFonts w:ascii="Arial" w:hAnsi="Arial" w:cs="Arial"/>
          <w:szCs w:val="24"/>
        </w:rPr>
      </w:pPr>
      <w:r w:rsidRPr="005C7750">
        <w:rPr>
          <w:rFonts w:ascii="Arial" w:hAnsi="Arial" w:cs="Arial"/>
          <w:szCs w:val="24"/>
        </w:rPr>
        <w:t>Research into adventure tourism and peer-to-peer accommodation highlights regulatory gaps created by rapid market innovation. In such contexts, consumer protection laws play a crucial role in filling enforcement gaps and ensuring that basic safety and quality standards are maintained. The literature suggests that statutory safety obligations enhance consumer trust and contribute to the long-term sustainability of tourism destinations.</w:t>
      </w:r>
    </w:p>
    <w:p w14:paraId="0CDB05B0" w14:textId="77777777" w:rsidR="005C7750" w:rsidRPr="005C7750" w:rsidRDefault="005C7750" w:rsidP="005C7750">
      <w:pPr>
        <w:spacing w:line="480" w:lineRule="auto"/>
        <w:rPr>
          <w:rFonts w:ascii="Arial" w:hAnsi="Arial" w:cs="Arial"/>
          <w:b/>
          <w:bCs/>
          <w:szCs w:val="24"/>
        </w:rPr>
      </w:pPr>
      <w:r w:rsidRPr="005C7750">
        <w:rPr>
          <w:rFonts w:ascii="Arial" w:hAnsi="Arial" w:cs="Arial"/>
          <w:b/>
          <w:bCs/>
          <w:szCs w:val="24"/>
        </w:rPr>
        <w:t>Responsibilities of Tourism Service Providers</w:t>
      </w:r>
    </w:p>
    <w:p w14:paraId="4975F532" w14:textId="77777777" w:rsidR="005C7750" w:rsidRPr="005C7750" w:rsidRDefault="005C7750" w:rsidP="005C7750">
      <w:pPr>
        <w:spacing w:line="480" w:lineRule="auto"/>
        <w:rPr>
          <w:rFonts w:ascii="Arial" w:hAnsi="Arial" w:cs="Arial"/>
          <w:szCs w:val="24"/>
        </w:rPr>
      </w:pPr>
      <w:r w:rsidRPr="005C7750">
        <w:rPr>
          <w:rFonts w:ascii="Arial" w:hAnsi="Arial" w:cs="Arial"/>
          <w:szCs w:val="24"/>
        </w:rPr>
        <w:t>The responsibilities imposed on tourism service providers are a central focus of consumer protection scholarship. Businesses are expected to ensure truthful marketing, transparent pricing, fair contractual terms, and accessible complaint-handling mechanisms. Studies indicate that compliance with consumer protection laws has become a key aspect of corporate governance and risk management within tourism organisations (OECD, 2020).</w:t>
      </w:r>
    </w:p>
    <w:p w14:paraId="4D4C6B36" w14:textId="77777777" w:rsidR="005C7750" w:rsidRPr="005C7750" w:rsidRDefault="005C7750" w:rsidP="005C7750">
      <w:pPr>
        <w:spacing w:line="480" w:lineRule="auto"/>
        <w:rPr>
          <w:rFonts w:ascii="Arial" w:hAnsi="Arial" w:cs="Arial"/>
          <w:szCs w:val="24"/>
        </w:rPr>
      </w:pPr>
      <w:r w:rsidRPr="005C7750">
        <w:rPr>
          <w:rFonts w:ascii="Arial" w:hAnsi="Arial" w:cs="Arial"/>
          <w:szCs w:val="24"/>
        </w:rPr>
        <w:lastRenderedPageBreak/>
        <w:t>Failure to comply with these obligations can result in regulatory sanctions, financial penalties, and reputational damage. Scholars argue that this deterrent effect encourages ethical conduct and reduces the incidence of consumer disputes. Moreover, consumer protection laws increasingly require service providers to monitor third-party suppliers, reflecting the interconnected nature of tourism supply chains.</w:t>
      </w:r>
    </w:p>
    <w:p w14:paraId="07B9CD9D" w14:textId="77777777" w:rsidR="005C7750" w:rsidRPr="005C7750" w:rsidRDefault="005C7750" w:rsidP="005C7750">
      <w:pPr>
        <w:spacing w:line="480" w:lineRule="auto"/>
        <w:rPr>
          <w:rFonts w:ascii="Arial" w:hAnsi="Arial" w:cs="Arial"/>
          <w:b/>
          <w:bCs/>
          <w:szCs w:val="24"/>
        </w:rPr>
      </w:pPr>
      <w:r w:rsidRPr="005C7750">
        <w:rPr>
          <w:rFonts w:ascii="Arial" w:hAnsi="Arial" w:cs="Arial"/>
          <w:b/>
          <w:bCs/>
          <w:szCs w:val="24"/>
        </w:rPr>
        <w:t>Consumer Redress and Dispute Resolution</w:t>
      </w:r>
    </w:p>
    <w:p w14:paraId="7E11AF16" w14:textId="77777777" w:rsidR="005C7750" w:rsidRPr="005C7750" w:rsidRDefault="005C7750" w:rsidP="005C7750">
      <w:pPr>
        <w:spacing w:line="480" w:lineRule="auto"/>
        <w:rPr>
          <w:rFonts w:ascii="Arial" w:hAnsi="Arial" w:cs="Arial"/>
          <w:szCs w:val="24"/>
        </w:rPr>
      </w:pPr>
      <w:r w:rsidRPr="005C7750">
        <w:rPr>
          <w:rFonts w:ascii="Arial" w:hAnsi="Arial" w:cs="Arial"/>
          <w:szCs w:val="24"/>
        </w:rPr>
        <w:t>Effective redress mechanisms are essential for the enforcement of consumer protection laws. The literature identifies multiple avenues for resolving tourism disputes, including courts, regulatory agencies, and alternative dispute resolution (ADR) mechanisms. ADR is often promoted as a cost-effective and efficient means of resolving disputes, particularly in cross-border tourism contexts (Spencer, 2020).</w:t>
      </w:r>
    </w:p>
    <w:p w14:paraId="0776E1E5" w14:textId="77777777" w:rsidR="005C7750" w:rsidRPr="005C7750" w:rsidRDefault="005C7750" w:rsidP="005C7750">
      <w:pPr>
        <w:spacing w:line="480" w:lineRule="auto"/>
        <w:rPr>
          <w:rFonts w:ascii="Arial" w:hAnsi="Arial" w:cs="Arial"/>
          <w:szCs w:val="24"/>
        </w:rPr>
      </w:pPr>
      <w:r w:rsidRPr="005C7750">
        <w:rPr>
          <w:rFonts w:ascii="Arial" w:hAnsi="Arial" w:cs="Arial"/>
          <w:szCs w:val="24"/>
        </w:rPr>
        <w:t>However, critical scholarship raises concerns regarding accessibility, transparency, and procedural fairness in ADR systems. Mandatory ADR clauses may disadvantage tourists if they restrict access to judicial remedies or impose unfamiliar procedures. This has led to calls for stronger regulatory oversight to ensure that ADR complements, rather than undermines, consumer protection objectives (Ramsay, 2012).</w:t>
      </w:r>
    </w:p>
    <w:p w14:paraId="76C4CE41" w14:textId="77777777" w:rsidR="005C7750" w:rsidRPr="005C7750" w:rsidRDefault="005C7750" w:rsidP="005C7750">
      <w:pPr>
        <w:spacing w:line="480" w:lineRule="auto"/>
        <w:rPr>
          <w:rFonts w:ascii="Arial" w:hAnsi="Arial" w:cs="Arial"/>
          <w:b/>
          <w:bCs/>
          <w:szCs w:val="24"/>
        </w:rPr>
      </w:pPr>
      <w:r w:rsidRPr="005C7750">
        <w:rPr>
          <w:rFonts w:ascii="Arial" w:hAnsi="Arial" w:cs="Arial"/>
          <w:b/>
          <w:bCs/>
          <w:szCs w:val="24"/>
        </w:rPr>
        <w:t>Critical Evaluation and Research Gaps</w:t>
      </w:r>
    </w:p>
    <w:p w14:paraId="77297910" w14:textId="77777777" w:rsidR="005C7750" w:rsidRPr="005C7750" w:rsidRDefault="005C7750" w:rsidP="005C7750">
      <w:pPr>
        <w:spacing w:line="480" w:lineRule="auto"/>
        <w:rPr>
          <w:rFonts w:ascii="Arial" w:hAnsi="Arial" w:cs="Arial"/>
          <w:szCs w:val="24"/>
        </w:rPr>
      </w:pPr>
      <w:r w:rsidRPr="005C7750">
        <w:rPr>
          <w:rFonts w:ascii="Arial" w:hAnsi="Arial" w:cs="Arial"/>
          <w:szCs w:val="24"/>
        </w:rPr>
        <w:t>Despite extensive research, gaps remain in the literature on consumer protection in tourism. Much of the existing scholarship focuses on developed economies, with limited attention to emerging destinations where enforcement capacity may be weaker. Additionally, rapid digital transformation continues to challenge traditional regulatory models, particularly in relation to platform-based tourism services.</w:t>
      </w:r>
    </w:p>
    <w:p w14:paraId="0D1658EC" w14:textId="77777777" w:rsidR="005C7750" w:rsidRPr="005C7750" w:rsidRDefault="005C7750" w:rsidP="005C7750">
      <w:pPr>
        <w:spacing w:line="480" w:lineRule="auto"/>
        <w:rPr>
          <w:rFonts w:ascii="Arial" w:hAnsi="Arial" w:cs="Arial"/>
          <w:szCs w:val="24"/>
        </w:rPr>
      </w:pPr>
      <w:r w:rsidRPr="005C7750">
        <w:rPr>
          <w:rFonts w:ascii="Arial" w:hAnsi="Arial" w:cs="Arial"/>
          <w:szCs w:val="24"/>
        </w:rPr>
        <w:lastRenderedPageBreak/>
        <w:t>Overall, the literature confirms that consumer protection laws are essential to addressing structural vulnerabilities in tourism markets. At the same time, it highlights the need for continuous legal adaptation and international cooperation to ensure effective protection in an evolving tourism landscape.</w:t>
      </w:r>
    </w:p>
    <w:p w14:paraId="3F7FC278" w14:textId="2D5DFDD3" w:rsidR="00057821" w:rsidRPr="00D349AA" w:rsidRDefault="00057821" w:rsidP="003A5BF6">
      <w:pPr>
        <w:spacing w:line="480" w:lineRule="auto"/>
        <w:rPr>
          <w:rStyle w:val="Heading1Char"/>
          <w:rFonts w:ascii="Arial" w:hAnsi="Arial" w:cs="Arial"/>
          <w:b/>
          <w:bCs/>
          <w:color w:val="auto"/>
          <w:sz w:val="24"/>
          <w:szCs w:val="24"/>
        </w:rPr>
      </w:pPr>
    </w:p>
    <w:p w14:paraId="74FF40EA" w14:textId="77777777" w:rsidR="00057821" w:rsidRPr="00D349AA" w:rsidRDefault="00057821" w:rsidP="003A5BF6">
      <w:pPr>
        <w:spacing w:line="480" w:lineRule="auto"/>
        <w:rPr>
          <w:rStyle w:val="Heading1Char"/>
          <w:rFonts w:ascii="Arial" w:hAnsi="Arial" w:cs="Arial"/>
          <w:b/>
          <w:bCs/>
          <w:color w:val="auto"/>
          <w:sz w:val="24"/>
          <w:szCs w:val="24"/>
        </w:rPr>
      </w:pPr>
    </w:p>
    <w:p w14:paraId="201C1B87" w14:textId="77777777" w:rsidR="00D92241" w:rsidRPr="00D349AA" w:rsidRDefault="00D92241" w:rsidP="003A5BF6">
      <w:pPr>
        <w:spacing w:line="480" w:lineRule="auto"/>
        <w:rPr>
          <w:rStyle w:val="Heading1Char"/>
          <w:rFonts w:ascii="Arial" w:hAnsi="Arial" w:cs="Arial"/>
          <w:b/>
          <w:bCs/>
          <w:color w:val="auto"/>
          <w:sz w:val="24"/>
          <w:szCs w:val="24"/>
        </w:rPr>
      </w:pPr>
    </w:p>
    <w:p w14:paraId="75571E61" w14:textId="77777777" w:rsidR="00D92241" w:rsidRPr="00D349AA" w:rsidRDefault="00D92241" w:rsidP="003A5BF6">
      <w:pPr>
        <w:spacing w:line="480" w:lineRule="auto"/>
        <w:rPr>
          <w:rStyle w:val="Heading1Char"/>
          <w:rFonts w:ascii="Arial" w:hAnsi="Arial" w:cs="Arial"/>
          <w:b/>
          <w:bCs/>
          <w:color w:val="auto"/>
          <w:sz w:val="24"/>
          <w:szCs w:val="24"/>
        </w:rPr>
      </w:pPr>
    </w:p>
    <w:p w14:paraId="18A7F6A2" w14:textId="77777777" w:rsidR="00057821" w:rsidRPr="00D349AA" w:rsidRDefault="00057821" w:rsidP="003A5BF6">
      <w:pPr>
        <w:spacing w:line="480" w:lineRule="auto"/>
        <w:rPr>
          <w:rStyle w:val="Heading1Char"/>
          <w:rFonts w:ascii="Arial" w:hAnsi="Arial" w:cs="Arial"/>
          <w:b/>
          <w:bCs/>
          <w:color w:val="auto"/>
          <w:sz w:val="24"/>
          <w:szCs w:val="24"/>
        </w:rPr>
      </w:pPr>
    </w:p>
    <w:p w14:paraId="762B68EC" w14:textId="77777777" w:rsidR="008125F0" w:rsidRPr="00D349AA" w:rsidRDefault="00843EDD" w:rsidP="008125F0">
      <w:pPr>
        <w:spacing w:line="480" w:lineRule="auto"/>
        <w:rPr>
          <w:rFonts w:ascii="Arial" w:hAnsi="Arial" w:cs="Arial"/>
          <w:szCs w:val="24"/>
        </w:rPr>
      </w:pPr>
      <w:r w:rsidRPr="00D349AA">
        <w:rPr>
          <w:rStyle w:val="Heading1Char"/>
          <w:rFonts w:ascii="Arial" w:hAnsi="Arial" w:cs="Arial"/>
          <w:b/>
          <w:bCs/>
          <w:color w:val="auto"/>
          <w:sz w:val="24"/>
          <w:szCs w:val="24"/>
        </w:rPr>
        <w:t>3</w:t>
      </w:r>
      <w:r w:rsidR="00582227" w:rsidRPr="00D349AA">
        <w:rPr>
          <w:rStyle w:val="Heading1Char"/>
          <w:rFonts w:ascii="Arial" w:hAnsi="Arial" w:cs="Arial"/>
          <w:b/>
          <w:bCs/>
          <w:color w:val="auto"/>
          <w:sz w:val="24"/>
          <w:szCs w:val="24"/>
        </w:rPr>
        <w:t xml:space="preserve"> Methodology</w:t>
      </w:r>
      <w:bookmarkEnd w:id="3"/>
      <w:r w:rsidR="00582227" w:rsidRPr="00D349AA">
        <w:rPr>
          <w:rFonts w:ascii="Arial" w:hAnsi="Arial" w:cs="Arial"/>
          <w:b/>
          <w:bCs/>
          <w:szCs w:val="24"/>
        </w:rPr>
        <w:t xml:space="preserve"> </w:t>
      </w:r>
      <w:r w:rsidR="00582227" w:rsidRPr="00D349AA">
        <w:rPr>
          <w:rFonts w:ascii="Arial" w:hAnsi="Arial" w:cs="Arial"/>
          <w:szCs w:val="24"/>
        </w:rPr>
        <w:br/>
      </w:r>
      <w:r w:rsidR="008125F0" w:rsidRPr="00D349AA">
        <w:rPr>
          <w:rFonts w:ascii="Arial" w:hAnsi="Arial" w:cs="Arial"/>
          <w:szCs w:val="24"/>
        </w:rPr>
        <w:t xml:space="preserve">This study adopts a </w:t>
      </w:r>
      <w:r w:rsidR="008125F0" w:rsidRPr="00D349AA">
        <w:rPr>
          <w:rFonts w:ascii="Arial" w:hAnsi="Arial" w:cs="Arial"/>
          <w:b/>
          <w:bCs/>
          <w:szCs w:val="24"/>
        </w:rPr>
        <w:t>qualitative doctrinal research methodology</w:t>
      </w:r>
      <w:r w:rsidR="008125F0" w:rsidRPr="00D349AA">
        <w:rPr>
          <w:rFonts w:ascii="Arial" w:hAnsi="Arial" w:cs="Arial"/>
          <w:szCs w:val="24"/>
        </w:rPr>
        <w:t xml:space="preserve"> to examine the role of consumer protection laws in the tourism industry. Doctrinal research is widely used in legal and regulatory studies as it focuses on the systematic analysis of legislation, judicial interpretations, policy documents, and academic scholarship. Given that the aim of this assignment is to evaluate legal frameworks protecting tourists rather than to measure consumer behaviour empirically, a doctrinal approach is considered the most appropriate research strategy (Howells et al., 2018).</w:t>
      </w:r>
    </w:p>
    <w:p w14:paraId="7A650C88" w14:textId="77777777" w:rsidR="008125F0" w:rsidRPr="008125F0" w:rsidRDefault="008125F0" w:rsidP="008125F0">
      <w:pPr>
        <w:spacing w:line="480" w:lineRule="auto"/>
        <w:rPr>
          <w:rFonts w:ascii="Arial" w:hAnsi="Arial" w:cs="Arial"/>
          <w:b/>
          <w:bCs/>
          <w:szCs w:val="24"/>
        </w:rPr>
      </w:pPr>
      <w:r w:rsidRPr="008125F0">
        <w:rPr>
          <w:rFonts w:ascii="Arial" w:hAnsi="Arial" w:cs="Arial"/>
          <w:b/>
          <w:bCs/>
          <w:szCs w:val="24"/>
        </w:rPr>
        <w:t>Research Design</w:t>
      </w:r>
    </w:p>
    <w:p w14:paraId="119EC5B4" w14:textId="77777777" w:rsidR="008125F0" w:rsidRPr="008125F0" w:rsidRDefault="008125F0" w:rsidP="008125F0">
      <w:pPr>
        <w:spacing w:line="480" w:lineRule="auto"/>
        <w:rPr>
          <w:rFonts w:ascii="Arial" w:hAnsi="Arial" w:cs="Arial"/>
          <w:szCs w:val="24"/>
        </w:rPr>
      </w:pPr>
      <w:r w:rsidRPr="008125F0">
        <w:rPr>
          <w:rFonts w:ascii="Arial" w:hAnsi="Arial" w:cs="Arial"/>
          <w:szCs w:val="24"/>
        </w:rPr>
        <w:t xml:space="preserve">The research follows a </w:t>
      </w:r>
      <w:r w:rsidRPr="008125F0">
        <w:rPr>
          <w:rFonts w:ascii="Arial" w:hAnsi="Arial" w:cs="Arial"/>
          <w:b/>
          <w:bCs/>
          <w:szCs w:val="24"/>
        </w:rPr>
        <w:t>descriptive and analytical design</w:t>
      </w:r>
      <w:r w:rsidRPr="008125F0">
        <w:rPr>
          <w:rFonts w:ascii="Arial" w:hAnsi="Arial" w:cs="Arial"/>
          <w:szCs w:val="24"/>
        </w:rPr>
        <w:t xml:space="preserve">. The descriptive component outlines key consumer protection laws applicable to tourism, including regulations addressing unfair commercial practices, misleading advertising, package travel </w:t>
      </w:r>
      <w:r w:rsidRPr="008125F0">
        <w:rPr>
          <w:rFonts w:ascii="Arial" w:hAnsi="Arial" w:cs="Arial"/>
          <w:szCs w:val="24"/>
        </w:rPr>
        <w:lastRenderedPageBreak/>
        <w:t xml:space="preserve">arrangements, service safety, and consumer redress mechanisms. The analytical component critically assesses how these laws function in practice to protect </w:t>
      </w:r>
      <w:proofErr w:type="spellStart"/>
      <w:r w:rsidRPr="008125F0">
        <w:rPr>
          <w:rFonts w:ascii="Arial" w:hAnsi="Arial" w:cs="Arial"/>
          <w:szCs w:val="24"/>
        </w:rPr>
        <w:t>travelers</w:t>
      </w:r>
      <w:proofErr w:type="spellEnd"/>
      <w:r w:rsidRPr="008125F0">
        <w:rPr>
          <w:rFonts w:ascii="Arial" w:hAnsi="Arial" w:cs="Arial"/>
          <w:szCs w:val="24"/>
        </w:rPr>
        <w:t xml:space="preserve"> and regulate the conduct of tourism service providers. This design allows the study to connect legal theory with practical regulatory outcomes in tourism markets.</w:t>
      </w:r>
    </w:p>
    <w:p w14:paraId="13134D74" w14:textId="77777777" w:rsidR="008125F0" w:rsidRPr="008125F0" w:rsidRDefault="008125F0" w:rsidP="008125F0">
      <w:pPr>
        <w:spacing w:line="480" w:lineRule="auto"/>
        <w:rPr>
          <w:rFonts w:ascii="Arial" w:hAnsi="Arial" w:cs="Arial"/>
          <w:szCs w:val="24"/>
        </w:rPr>
      </w:pPr>
      <w:r w:rsidRPr="008125F0">
        <w:rPr>
          <w:rFonts w:ascii="Arial" w:hAnsi="Arial" w:cs="Arial"/>
          <w:szCs w:val="24"/>
        </w:rPr>
        <w:t xml:space="preserve">The analytical focus is particularly relevant in tourism, where consumer protection operates across multiple legal domains, including contract law, regulatory law, and public policy. By adopting this approach, the study </w:t>
      </w:r>
      <w:proofErr w:type="gramStart"/>
      <w:r w:rsidRPr="008125F0">
        <w:rPr>
          <w:rFonts w:ascii="Arial" w:hAnsi="Arial" w:cs="Arial"/>
          <w:szCs w:val="24"/>
        </w:rPr>
        <w:t>is able to</w:t>
      </w:r>
      <w:proofErr w:type="gramEnd"/>
      <w:r w:rsidRPr="008125F0">
        <w:rPr>
          <w:rFonts w:ascii="Arial" w:hAnsi="Arial" w:cs="Arial"/>
          <w:szCs w:val="24"/>
        </w:rPr>
        <w:t xml:space="preserve"> identify recurring legal issues and assess the effectiveness of existing consumer protection mechanisms in addressing tourist vulnerability (</w:t>
      </w:r>
      <w:proofErr w:type="spellStart"/>
      <w:r w:rsidRPr="008125F0">
        <w:rPr>
          <w:rFonts w:ascii="Arial" w:hAnsi="Arial" w:cs="Arial"/>
          <w:szCs w:val="24"/>
        </w:rPr>
        <w:t>Micklitz</w:t>
      </w:r>
      <w:proofErr w:type="spellEnd"/>
      <w:r w:rsidRPr="008125F0">
        <w:rPr>
          <w:rFonts w:ascii="Arial" w:hAnsi="Arial" w:cs="Arial"/>
          <w:szCs w:val="24"/>
        </w:rPr>
        <w:t>, 2015).</w:t>
      </w:r>
    </w:p>
    <w:p w14:paraId="668F246B" w14:textId="77777777" w:rsidR="008125F0" w:rsidRPr="008125F0" w:rsidRDefault="008125F0" w:rsidP="008125F0">
      <w:pPr>
        <w:spacing w:line="480" w:lineRule="auto"/>
        <w:rPr>
          <w:rFonts w:ascii="Arial" w:hAnsi="Arial" w:cs="Arial"/>
          <w:b/>
          <w:bCs/>
          <w:szCs w:val="24"/>
        </w:rPr>
      </w:pPr>
      <w:r w:rsidRPr="008125F0">
        <w:rPr>
          <w:rFonts w:ascii="Arial" w:hAnsi="Arial" w:cs="Arial"/>
          <w:b/>
          <w:bCs/>
          <w:szCs w:val="24"/>
        </w:rPr>
        <w:t>Sources of Data</w:t>
      </w:r>
    </w:p>
    <w:p w14:paraId="1C750F70" w14:textId="77777777" w:rsidR="008125F0" w:rsidRPr="008125F0" w:rsidRDefault="008125F0" w:rsidP="008125F0">
      <w:pPr>
        <w:spacing w:line="480" w:lineRule="auto"/>
        <w:rPr>
          <w:rFonts w:ascii="Arial" w:hAnsi="Arial" w:cs="Arial"/>
          <w:szCs w:val="24"/>
        </w:rPr>
      </w:pPr>
      <w:r w:rsidRPr="008125F0">
        <w:rPr>
          <w:rFonts w:ascii="Arial" w:hAnsi="Arial" w:cs="Arial"/>
          <w:szCs w:val="24"/>
        </w:rPr>
        <w:t xml:space="preserve">The study relies exclusively on </w:t>
      </w:r>
      <w:r w:rsidRPr="008125F0">
        <w:rPr>
          <w:rFonts w:ascii="Arial" w:hAnsi="Arial" w:cs="Arial"/>
          <w:b/>
          <w:bCs/>
          <w:szCs w:val="24"/>
        </w:rPr>
        <w:t>secondary data sources</w:t>
      </w:r>
      <w:r w:rsidRPr="008125F0">
        <w:rPr>
          <w:rFonts w:ascii="Arial" w:hAnsi="Arial" w:cs="Arial"/>
          <w:szCs w:val="24"/>
        </w:rPr>
        <w:t>, which are considered authoritative for doctrinal legal research. These sources include:</w:t>
      </w:r>
    </w:p>
    <w:p w14:paraId="51DE0B1C" w14:textId="77777777" w:rsidR="008125F0" w:rsidRPr="008125F0" w:rsidRDefault="008125F0" w:rsidP="008125F0">
      <w:pPr>
        <w:numPr>
          <w:ilvl w:val="0"/>
          <w:numId w:val="35"/>
        </w:numPr>
        <w:spacing w:line="480" w:lineRule="auto"/>
        <w:rPr>
          <w:rFonts w:ascii="Arial" w:hAnsi="Arial" w:cs="Arial"/>
          <w:szCs w:val="24"/>
        </w:rPr>
      </w:pPr>
      <w:r w:rsidRPr="008125F0">
        <w:rPr>
          <w:rFonts w:ascii="Arial" w:hAnsi="Arial" w:cs="Arial"/>
          <w:szCs w:val="24"/>
        </w:rPr>
        <w:t>Peer-reviewed academic journal articles on consumer law and tourism regulation</w:t>
      </w:r>
    </w:p>
    <w:p w14:paraId="4E5D1FB1" w14:textId="77777777" w:rsidR="008125F0" w:rsidRPr="008125F0" w:rsidRDefault="008125F0" w:rsidP="008125F0">
      <w:pPr>
        <w:numPr>
          <w:ilvl w:val="0"/>
          <w:numId w:val="35"/>
        </w:numPr>
        <w:spacing w:line="480" w:lineRule="auto"/>
        <w:rPr>
          <w:rFonts w:ascii="Arial" w:hAnsi="Arial" w:cs="Arial"/>
          <w:szCs w:val="24"/>
        </w:rPr>
      </w:pPr>
      <w:r w:rsidRPr="008125F0">
        <w:rPr>
          <w:rFonts w:ascii="Arial" w:hAnsi="Arial" w:cs="Arial"/>
          <w:szCs w:val="24"/>
        </w:rPr>
        <w:t>Scholarly books and edited volumes addressing consumer protection and tourism policy</w:t>
      </w:r>
    </w:p>
    <w:p w14:paraId="6595A011" w14:textId="77777777" w:rsidR="008125F0" w:rsidRPr="008125F0" w:rsidRDefault="008125F0" w:rsidP="008125F0">
      <w:pPr>
        <w:numPr>
          <w:ilvl w:val="0"/>
          <w:numId w:val="35"/>
        </w:numPr>
        <w:spacing w:line="480" w:lineRule="auto"/>
        <w:rPr>
          <w:rFonts w:ascii="Arial" w:hAnsi="Arial" w:cs="Arial"/>
          <w:szCs w:val="24"/>
        </w:rPr>
      </w:pPr>
      <w:r w:rsidRPr="008125F0">
        <w:rPr>
          <w:rFonts w:ascii="Arial" w:hAnsi="Arial" w:cs="Arial"/>
          <w:szCs w:val="24"/>
        </w:rPr>
        <w:t>International and regional regulatory instruments governing tourism and consumer rights</w:t>
      </w:r>
    </w:p>
    <w:p w14:paraId="382A930E" w14:textId="77777777" w:rsidR="008125F0" w:rsidRPr="008125F0" w:rsidRDefault="008125F0" w:rsidP="008125F0">
      <w:pPr>
        <w:numPr>
          <w:ilvl w:val="0"/>
          <w:numId w:val="35"/>
        </w:numPr>
        <w:spacing w:line="480" w:lineRule="auto"/>
        <w:rPr>
          <w:rFonts w:ascii="Arial" w:hAnsi="Arial" w:cs="Arial"/>
          <w:szCs w:val="24"/>
        </w:rPr>
      </w:pPr>
      <w:r w:rsidRPr="008125F0">
        <w:rPr>
          <w:rFonts w:ascii="Arial" w:hAnsi="Arial" w:cs="Arial"/>
          <w:szCs w:val="24"/>
        </w:rPr>
        <w:t>Reports and guidelines issued by organisations such as the OECD and UNWTO</w:t>
      </w:r>
    </w:p>
    <w:p w14:paraId="5458429F" w14:textId="77777777" w:rsidR="008125F0" w:rsidRPr="008125F0" w:rsidRDefault="008125F0" w:rsidP="008125F0">
      <w:pPr>
        <w:numPr>
          <w:ilvl w:val="0"/>
          <w:numId w:val="35"/>
        </w:numPr>
        <w:spacing w:line="480" w:lineRule="auto"/>
        <w:rPr>
          <w:rFonts w:ascii="Arial" w:hAnsi="Arial" w:cs="Arial"/>
          <w:szCs w:val="24"/>
        </w:rPr>
      </w:pPr>
      <w:r w:rsidRPr="008125F0">
        <w:rPr>
          <w:rFonts w:ascii="Arial" w:hAnsi="Arial" w:cs="Arial"/>
          <w:szCs w:val="24"/>
        </w:rPr>
        <w:t>Documented tourism dispute cases and regulatory enforcement examples</w:t>
      </w:r>
    </w:p>
    <w:p w14:paraId="5900B2FD" w14:textId="77777777" w:rsidR="008125F0" w:rsidRPr="008125F0" w:rsidRDefault="008125F0" w:rsidP="008125F0">
      <w:pPr>
        <w:spacing w:line="480" w:lineRule="auto"/>
        <w:rPr>
          <w:rFonts w:ascii="Arial" w:hAnsi="Arial" w:cs="Arial"/>
          <w:szCs w:val="24"/>
        </w:rPr>
      </w:pPr>
      <w:r w:rsidRPr="008125F0">
        <w:rPr>
          <w:rFonts w:ascii="Arial" w:hAnsi="Arial" w:cs="Arial"/>
          <w:szCs w:val="24"/>
        </w:rPr>
        <w:t xml:space="preserve">These materials provide both theoretical perspectives and practical insights into how consumer protection laws are applied within tourism contexts. Emphasis is placed on </w:t>
      </w:r>
      <w:r w:rsidRPr="008125F0">
        <w:rPr>
          <w:rFonts w:ascii="Arial" w:hAnsi="Arial" w:cs="Arial"/>
          <w:szCs w:val="24"/>
        </w:rPr>
        <w:lastRenderedPageBreak/>
        <w:t>contemporary sources that address digital tourism markets and evolving regulatory challenges (Sigala, 2018).</w:t>
      </w:r>
    </w:p>
    <w:p w14:paraId="0ADF7CF7" w14:textId="77777777" w:rsidR="008125F0" w:rsidRPr="008125F0" w:rsidRDefault="008125F0" w:rsidP="008125F0">
      <w:pPr>
        <w:spacing w:line="480" w:lineRule="auto"/>
        <w:rPr>
          <w:rFonts w:ascii="Arial" w:hAnsi="Arial" w:cs="Arial"/>
          <w:b/>
          <w:bCs/>
          <w:szCs w:val="24"/>
        </w:rPr>
      </w:pPr>
      <w:r w:rsidRPr="008125F0">
        <w:rPr>
          <w:rFonts w:ascii="Arial" w:hAnsi="Arial" w:cs="Arial"/>
          <w:b/>
          <w:bCs/>
          <w:szCs w:val="24"/>
        </w:rPr>
        <w:t>Analytical Framework</w:t>
      </w:r>
    </w:p>
    <w:p w14:paraId="3AC9B62B" w14:textId="77777777" w:rsidR="008125F0" w:rsidRPr="008125F0" w:rsidRDefault="008125F0" w:rsidP="008125F0">
      <w:pPr>
        <w:spacing w:line="480" w:lineRule="auto"/>
        <w:rPr>
          <w:rFonts w:ascii="Arial" w:hAnsi="Arial" w:cs="Arial"/>
          <w:szCs w:val="24"/>
        </w:rPr>
      </w:pPr>
      <w:r w:rsidRPr="008125F0">
        <w:rPr>
          <w:rFonts w:ascii="Arial" w:hAnsi="Arial" w:cs="Arial"/>
          <w:szCs w:val="24"/>
        </w:rPr>
        <w:t xml:space="preserve">Data were analysed using </w:t>
      </w:r>
      <w:r w:rsidRPr="008125F0">
        <w:rPr>
          <w:rFonts w:ascii="Arial" w:hAnsi="Arial" w:cs="Arial"/>
          <w:b/>
          <w:bCs/>
          <w:szCs w:val="24"/>
        </w:rPr>
        <w:t>thematic legal analysis</w:t>
      </w:r>
      <w:r w:rsidRPr="008125F0">
        <w:rPr>
          <w:rFonts w:ascii="Arial" w:hAnsi="Arial" w:cs="Arial"/>
          <w:szCs w:val="24"/>
        </w:rPr>
        <w:t xml:space="preserve">, a method that involves identifying and examining recurring legal themes across the literature. Key themes analysed in this study include </w:t>
      </w:r>
      <w:proofErr w:type="spellStart"/>
      <w:r w:rsidRPr="008125F0">
        <w:rPr>
          <w:rFonts w:ascii="Arial" w:hAnsi="Arial" w:cs="Arial"/>
          <w:szCs w:val="24"/>
        </w:rPr>
        <w:t>traveler</w:t>
      </w:r>
      <w:proofErr w:type="spellEnd"/>
      <w:r w:rsidRPr="008125F0">
        <w:rPr>
          <w:rFonts w:ascii="Arial" w:hAnsi="Arial" w:cs="Arial"/>
          <w:szCs w:val="24"/>
        </w:rPr>
        <w:t xml:space="preserve"> vulnerability, transparency and information disclosure, unfair commercial practices, service safety obligations, provider accountability, and consumer redress mechanisms. Each theme was explored in relation to different tourism contexts, such as package holidays, online bookings, and accommodation services.</w:t>
      </w:r>
    </w:p>
    <w:p w14:paraId="675E706D" w14:textId="77777777" w:rsidR="008125F0" w:rsidRPr="008125F0" w:rsidRDefault="008125F0" w:rsidP="008125F0">
      <w:pPr>
        <w:spacing w:line="480" w:lineRule="auto"/>
        <w:rPr>
          <w:rFonts w:ascii="Arial" w:hAnsi="Arial" w:cs="Arial"/>
          <w:szCs w:val="24"/>
        </w:rPr>
      </w:pPr>
      <w:r w:rsidRPr="008125F0">
        <w:rPr>
          <w:rFonts w:ascii="Arial" w:hAnsi="Arial" w:cs="Arial"/>
          <w:szCs w:val="24"/>
        </w:rPr>
        <w:t xml:space="preserve">A </w:t>
      </w:r>
      <w:r w:rsidRPr="008125F0">
        <w:rPr>
          <w:rFonts w:ascii="Arial" w:hAnsi="Arial" w:cs="Arial"/>
          <w:b/>
          <w:bCs/>
          <w:szCs w:val="24"/>
        </w:rPr>
        <w:t>comparative perspective</w:t>
      </w:r>
      <w:r w:rsidRPr="008125F0">
        <w:rPr>
          <w:rFonts w:ascii="Arial" w:hAnsi="Arial" w:cs="Arial"/>
          <w:szCs w:val="24"/>
        </w:rPr>
        <w:t xml:space="preserve"> was also applied to highlight differences and similarities in consumer protection approaches across jurisdictions. This is particularly important in tourism research due to the cross-border nature of travel and the diversity of legal systems governing tourism services (Lohmann &amp; Netto, 2016).</w:t>
      </w:r>
    </w:p>
    <w:p w14:paraId="2D0BF983" w14:textId="77777777" w:rsidR="008125F0" w:rsidRPr="008125F0" w:rsidRDefault="008125F0" w:rsidP="008125F0">
      <w:pPr>
        <w:spacing w:line="480" w:lineRule="auto"/>
        <w:rPr>
          <w:rFonts w:ascii="Arial" w:hAnsi="Arial" w:cs="Arial"/>
          <w:b/>
          <w:bCs/>
          <w:szCs w:val="24"/>
        </w:rPr>
      </w:pPr>
      <w:r w:rsidRPr="008125F0">
        <w:rPr>
          <w:rFonts w:ascii="Arial" w:hAnsi="Arial" w:cs="Arial"/>
          <w:b/>
          <w:bCs/>
          <w:szCs w:val="24"/>
        </w:rPr>
        <w:t>Ethical Considerations</w:t>
      </w:r>
    </w:p>
    <w:p w14:paraId="3F6FF05B" w14:textId="77777777" w:rsidR="008125F0" w:rsidRPr="008125F0" w:rsidRDefault="008125F0" w:rsidP="008125F0">
      <w:pPr>
        <w:spacing w:line="480" w:lineRule="auto"/>
        <w:rPr>
          <w:rFonts w:ascii="Arial" w:hAnsi="Arial" w:cs="Arial"/>
          <w:szCs w:val="24"/>
        </w:rPr>
      </w:pPr>
      <w:r w:rsidRPr="008125F0">
        <w:rPr>
          <w:rFonts w:ascii="Arial" w:hAnsi="Arial" w:cs="Arial"/>
          <w:szCs w:val="24"/>
        </w:rPr>
        <w:t>As the study is based solely on secondary data, no ethical concerns relating to human participants arise. Academic integrity has been maintained by accurately citing all sources and avoiding misrepresentation of legal principles. The analysis remains objective by acknowledging differing scholarly viewpoints and regulatory approaches where relevant.</w:t>
      </w:r>
    </w:p>
    <w:p w14:paraId="44649DC3" w14:textId="77777777" w:rsidR="008125F0" w:rsidRPr="008125F0" w:rsidRDefault="008125F0" w:rsidP="008125F0">
      <w:pPr>
        <w:spacing w:line="480" w:lineRule="auto"/>
        <w:rPr>
          <w:rFonts w:ascii="Arial" w:hAnsi="Arial" w:cs="Arial"/>
          <w:b/>
          <w:bCs/>
          <w:szCs w:val="24"/>
        </w:rPr>
      </w:pPr>
      <w:r w:rsidRPr="008125F0">
        <w:rPr>
          <w:rFonts w:ascii="Arial" w:hAnsi="Arial" w:cs="Arial"/>
          <w:b/>
          <w:bCs/>
          <w:szCs w:val="24"/>
        </w:rPr>
        <w:t>Limitations of the Methodology</w:t>
      </w:r>
    </w:p>
    <w:p w14:paraId="63051F59" w14:textId="77777777" w:rsidR="008125F0" w:rsidRPr="008125F0" w:rsidRDefault="008125F0" w:rsidP="008125F0">
      <w:pPr>
        <w:spacing w:line="480" w:lineRule="auto"/>
        <w:rPr>
          <w:rFonts w:ascii="Arial" w:hAnsi="Arial" w:cs="Arial"/>
          <w:szCs w:val="24"/>
        </w:rPr>
      </w:pPr>
      <w:r w:rsidRPr="008125F0">
        <w:rPr>
          <w:rFonts w:ascii="Arial" w:hAnsi="Arial" w:cs="Arial"/>
          <w:szCs w:val="24"/>
        </w:rPr>
        <w:lastRenderedPageBreak/>
        <w:t>Despite its strengths, this methodology has limitations. The reliance on secondary sources means that the study does not capture tourists’ personal experiences or service providers’ operational perspectives. Additionally, variations in enforcement across jurisdictions may limit the generalisability of findings. However, these limitations do not undermine the validity of the study, as its primary aim is to provide a legal and regulatory analysis rather than empirical measurement.</w:t>
      </w:r>
    </w:p>
    <w:p w14:paraId="56908D8B" w14:textId="77777777" w:rsidR="008125F0" w:rsidRPr="008125F0" w:rsidRDefault="008125F0" w:rsidP="008125F0">
      <w:pPr>
        <w:spacing w:line="480" w:lineRule="auto"/>
        <w:rPr>
          <w:rFonts w:ascii="Arial" w:hAnsi="Arial" w:cs="Arial"/>
          <w:szCs w:val="24"/>
        </w:rPr>
      </w:pPr>
      <w:r w:rsidRPr="008125F0">
        <w:rPr>
          <w:rFonts w:ascii="Arial" w:hAnsi="Arial" w:cs="Arial"/>
          <w:szCs w:val="24"/>
        </w:rPr>
        <w:t xml:space="preserve">Overall, the chosen methodology provides a rigorous framework for evaluating consumer protection laws in the tourism industry and supports a comprehensive analysis of </w:t>
      </w:r>
      <w:proofErr w:type="spellStart"/>
      <w:r w:rsidRPr="008125F0">
        <w:rPr>
          <w:rFonts w:ascii="Arial" w:hAnsi="Arial" w:cs="Arial"/>
          <w:szCs w:val="24"/>
        </w:rPr>
        <w:t>travelers’</w:t>
      </w:r>
      <w:proofErr w:type="spellEnd"/>
      <w:r w:rsidRPr="008125F0">
        <w:rPr>
          <w:rFonts w:ascii="Arial" w:hAnsi="Arial" w:cs="Arial"/>
          <w:szCs w:val="24"/>
        </w:rPr>
        <w:t xml:space="preserve"> rights and provider obligations.</w:t>
      </w:r>
    </w:p>
    <w:p w14:paraId="609B0C5C" w14:textId="02930323" w:rsidR="0033247F" w:rsidRPr="00D349AA" w:rsidRDefault="0033247F" w:rsidP="003A5BF6">
      <w:pPr>
        <w:spacing w:line="480" w:lineRule="auto"/>
        <w:rPr>
          <w:rStyle w:val="Heading1Char"/>
          <w:rFonts w:ascii="Arial" w:hAnsi="Arial" w:cs="Arial"/>
          <w:b/>
          <w:bCs/>
          <w:color w:val="auto"/>
          <w:sz w:val="24"/>
          <w:szCs w:val="24"/>
        </w:rPr>
      </w:pPr>
    </w:p>
    <w:p w14:paraId="258695B1" w14:textId="77777777" w:rsidR="008125F0" w:rsidRPr="00D349AA" w:rsidRDefault="008125F0" w:rsidP="003A5BF6">
      <w:pPr>
        <w:spacing w:line="480" w:lineRule="auto"/>
        <w:rPr>
          <w:rStyle w:val="Heading1Char"/>
          <w:rFonts w:ascii="Arial" w:hAnsi="Arial" w:cs="Arial"/>
          <w:b/>
          <w:bCs/>
          <w:color w:val="auto"/>
          <w:sz w:val="24"/>
          <w:szCs w:val="24"/>
        </w:rPr>
      </w:pPr>
    </w:p>
    <w:p w14:paraId="2F744928" w14:textId="77777777" w:rsidR="0033247F" w:rsidRPr="00D349AA" w:rsidRDefault="0033247F" w:rsidP="003A5BF6">
      <w:pPr>
        <w:spacing w:line="480" w:lineRule="auto"/>
        <w:rPr>
          <w:rStyle w:val="Heading1Char"/>
          <w:rFonts w:ascii="Arial" w:hAnsi="Arial" w:cs="Arial"/>
          <w:b/>
          <w:bCs/>
          <w:color w:val="auto"/>
          <w:sz w:val="24"/>
          <w:szCs w:val="24"/>
        </w:rPr>
      </w:pPr>
    </w:p>
    <w:p w14:paraId="42BBF498" w14:textId="77777777" w:rsidR="00D92241" w:rsidRPr="00D349AA" w:rsidRDefault="00D92241" w:rsidP="003A5BF6">
      <w:pPr>
        <w:spacing w:line="480" w:lineRule="auto"/>
        <w:rPr>
          <w:rStyle w:val="Heading1Char"/>
          <w:rFonts w:ascii="Arial" w:hAnsi="Arial" w:cs="Arial"/>
          <w:b/>
          <w:bCs/>
          <w:color w:val="auto"/>
          <w:sz w:val="24"/>
          <w:szCs w:val="24"/>
        </w:rPr>
      </w:pPr>
    </w:p>
    <w:p w14:paraId="7829A4C3" w14:textId="77777777" w:rsidR="00D92241" w:rsidRPr="00D349AA" w:rsidRDefault="00D92241" w:rsidP="003A5BF6">
      <w:pPr>
        <w:spacing w:line="480" w:lineRule="auto"/>
        <w:rPr>
          <w:rStyle w:val="Heading1Char"/>
          <w:rFonts w:ascii="Arial" w:hAnsi="Arial" w:cs="Arial"/>
          <w:b/>
          <w:bCs/>
          <w:color w:val="auto"/>
          <w:sz w:val="24"/>
          <w:szCs w:val="24"/>
        </w:rPr>
      </w:pPr>
    </w:p>
    <w:p w14:paraId="2E596AEC" w14:textId="77777777" w:rsidR="00D92241" w:rsidRPr="00D349AA" w:rsidRDefault="00D92241" w:rsidP="003A5BF6">
      <w:pPr>
        <w:spacing w:line="480" w:lineRule="auto"/>
        <w:rPr>
          <w:rStyle w:val="Heading1Char"/>
          <w:rFonts w:ascii="Arial" w:hAnsi="Arial" w:cs="Arial"/>
          <w:b/>
          <w:bCs/>
          <w:color w:val="auto"/>
          <w:sz w:val="24"/>
          <w:szCs w:val="24"/>
        </w:rPr>
      </w:pPr>
    </w:p>
    <w:p w14:paraId="0A4288D5" w14:textId="77777777" w:rsidR="0033247F" w:rsidRPr="00D349AA" w:rsidRDefault="0033247F" w:rsidP="003A5BF6">
      <w:pPr>
        <w:spacing w:line="480" w:lineRule="auto"/>
        <w:rPr>
          <w:rStyle w:val="Heading1Char"/>
          <w:rFonts w:ascii="Arial" w:hAnsi="Arial" w:cs="Arial"/>
          <w:b/>
          <w:bCs/>
          <w:color w:val="auto"/>
          <w:sz w:val="24"/>
          <w:szCs w:val="24"/>
        </w:rPr>
      </w:pPr>
    </w:p>
    <w:p w14:paraId="273E8125" w14:textId="77777777" w:rsidR="0033247F" w:rsidRPr="00D349AA" w:rsidRDefault="0033247F" w:rsidP="003A5BF6">
      <w:pPr>
        <w:spacing w:line="480" w:lineRule="auto"/>
        <w:rPr>
          <w:rStyle w:val="Heading1Char"/>
          <w:rFonts w:ascii="Arial" w:hAnsi="Arial" w:cs="Arial"/>
          <w:b/>
          <w:bCs/>
          <w:color w:val="auto"/>
          <w:sz w:val="24"/>
          <w:szCs w:val="24"/>
        </w:rPr>
      </w:pPr>
    </w:p>
    <w:p w14:paraId="2B1EBA3D" w14:textId="77777777" w:rsidR="0033247F" w:rsidRPr="00D349AA" w:rsidRDefault="0033247F" w:rsidP="003A5BF6">
      <w:pPr>
        <w:spacing w:line="480" w:lineRule="auto"/>
        <w:rPr>
          <w:rStyle w:val="Heading1Char"/>
          <w:rFonts w:ascii="Arial" w:hAnsi="Arial" w:cs="Arial"/>
          <w:b/>
          <w:bCs/>
          <w:color w:val="auto"/>
          <w:sz w:val="24"/>
          <w:szCs w:val="24"/>
        </w:rPr>
      </w:pPr>
    </w:p>
    <w:p w14:paraId="33BFA5F9" w14:textId="66A174C3" w:rsidR="00C82410" w:rsidRPr="00D349AA" w:rsidRDefault="00A433D7" w:rsidP="00AB5112">
      <w:pPr>
        <w:spacing w:line="480" w:lineRule="auto"/>
        <w:rPr>
          <w:rStyle w:val="Heading1Char"/>
          <w:rFonts w:ascii="Arial" w:hAnsi="Arial" w:cs="Arial"/>
          <w:b/>
          <w:bCs/>
          <w:color w:val="auto"/>
          <w:sz w:val="24"/>
          <w:szCs w:val="24"/>
        </w:rPr>
      </w:pPr>
      <w:bookmarkStart w:id="4" w:name="_Toc221201958"/>
      <w:r w:rsidRPr="00D349AA">
        <w:rPr>
          <w:rStyle w:val="Heading1Char"/>
          <w:rFonts w:ascii="Arial" w:hAnsi="Arial" w:cs="Arial"/>
          <w:b/>
          <w:bCs/>
          <w:color w:val="auto"/>
          <w:sz w:val="24"/>
          <w:szCs w:val="24"/>
        </w:rPr>
        <w:t>4</w:t>
      </w:r>
      <w:r w:rsidR="00582227" w:rsidRPr="00D349AA">
        <w:rPr>
          <w:rStyle w:val="Heading1Char"/>
          <w:rFonts w:ascii="Arial" w:hAnsi="Arial" w:cs="Arial"/>
          <w:b/>
          <w:bCs/>
          <w:color w:val="auto"/>
          <w:sz w:val="24"/>
          <w:szCs w:val="24"/>
        </w:rPr>
        <w:t xml:space="preserve"> </w:t>
      </w:r>
      <w:r w:rsidR="00160E9C" w:rsidRPr="00D349AA">
        <w:rPr>
          <w:rStyle w:val="Heading1Char"/>
          <w:rFonts w:ascii="Arial" w:hAnsi="Arial" w:cs="Arial"/>
          <w:b/>
          <w:bCs/>
          <w:color w:val="auto"/>
          <w:sz w:val="24"/>
          <w:szCs w:val="24"/>
        </w:rPr>
        <w:t>Finding</w:t>
      </w:r>
      <w:bookmarkEnd w:id="4"/>
    </w:p>
    <w:p w14:paraId="643B0E28" w14:textId="77777777" w:rsidR="008125F0" w:rsidRPr="008125F0" w:rsidRDefault="008125F0" w:rsidP="008125F0">
      <w:pPr>
        <w:spacing w:line="480" w:lineRule="auto"/>
        <w:rPr>
          <w:rFonts w:ascii="Arial" w:hAnsi="Arial" w:cs="Arial"/>
          <w:szCs w:val="24"/>
        </w:rPr>
      </w:pPr>
      <w:r w:rsidRPr="008125F0">
        <w:rPr>
          <w:rFonts w:ascii="Arial" w:hAnsi="Arial" w:cs="Arial"/>
          <w:szCs w:val="24"/>
        </w:rPr>
        <w:lastRenderedPageBreak/>
        <w:t>The analysis of legislative frameworks, policy documents, and academic literature reveals that consumer protection laws play a fundamental role in addressing the unique vulnerabilities faced by tourists. One of the most prominent findings is that tourism consumers are structurally disadvantaged due to advance payment requirements, reliance on promotional information, and limited bargaining power. Consumer protection laws directly address these vulnerabilities by imposing mandatory obligations on tourism service providers that cannot be excluded through contractual terms (Howells et al., 2018).</w:t>
      </w:r>
    </w:p>
    <w:p w14:paraId="489B05E6" w14:textId="77777777" w:rsidR="008125F0" w:rsidRPr="008125F0" w:rsidRDefault="008125F0" w:rsidP="008125F0">
      <w:pPr>
        <w:spacing w:line="480" w:lineRule="auto"/>
        <w:rPr>
          <w:rFonts w:ascii="Arial" w:hAnsi="Arial" w:cs="Arial"/>
          <w:szCs w:val="24"/>
        </w:rPr>
      </w:pPr>
      <w:r w:rsidRPr="008125F0">
        <w:rPr>
          <w:rFonts w:ascii="Arial" w:hAnsi="Arial" w:cs="Arial"/>
          <w:szCs w:val="24"/>
        </w:rPr>
        <w:t xml:space="preserve">A significant finding concerns the </w:t>
      </w:r>
      <w:r w:rsidRPr="008125F0">
        <w:rPr>
          <w:rFonts w:ascii="Arial" w:hAnsi="Arial" w:cs="Arial"/>
          <w:b/>
          <w:bCs/>
          <w:szCs w:val="24"/>
        </w:rPr>
        <w:t xml:space="preserve">strengthening of </w:t>
      </w:r>
      <w:proofErr w:type="spellStart"/>
      <w:r w:rsidRPr="008125F0">
        <w:rPr>
          <w:rFonts w:ascii="Arial" w:hAnsi="Arial" w:cs="Arial"/>
          <w:b/>
          <w:bCs/>
          <w:szCs w:val="24"/>
        </w:rPr>
        <w:t>travelers’</w:t>
      </w:r>
      <w:proofErr w:type="spellEnd"/>
      <w:r w:rsidRPr="008125F0">
        <w:rPr>
          <w:rFonts w:ascii="Arial" w:hAnsi="Arial" w:cs="Arial"/>
          <w:b/>
          <w:bCs/>
          <w:szCs w:val="24"/>
        </w:rPr>
        <w:t xml:space="preserve"> rights through statutory protection</w:t>
      </w:r>
      <w:r w:rsidRPr="008125F0">
        <w:rPr>
          <w:rFonts w:ascii="Arial" w:hAnsi="Arial" w:cs="Arial"/>
          <w:szCs w:val="24"/>
        </w:rPr>
        <w:t xml:space="preserve">. Consumer protection legislation ensures that tourists have enforceable rights to clear and accurate information, transparent pricing, and fair contractual conditions. These rights are particularly important in tourism markets, where consumers often commit financially before experiencing the service. The analysis shows that statutory protections frequently override unfair contractual clauses, thereby correcting power imbalances between </w:t>
      </w:r>
      <w:proofErr w:type="spellStart"/>
      <w:r w:rsidRPr="008125F0">
        <w:rPr>
          <w:rFonts w:ascii="Arial" w:hAnsi="Arial" w:cs="Arial"/>
          <w:szCs w:val="24"/>
        </w:rPr>
        <w:t>travelers</w:t>
      </w:r>
      <w:proofErr w:type="spellEnd"/>
      <w:r w:rsidRPr="008125F0">
        <w:rPr>
          <w:rFonts w:ascii="Arial" w:hAnsi="Arial" w:cs="Arial"/>
          <w:szCs w:val="24"/>
        </w:rPr>
        <w:t xml:space="preserve"> and tourism businesses (</w:t>
      </w:r>
      <w:proofErr w:type="spellStart"/>
      <w:r w:rsidRPr="008125F0">
        <w:rPr>
          <w:rFonts w:ascii="Arial" w:hAnsi="Arial" w:cs="Arial"/>
          <w:szCs w:val="24"/>
        </w:rPr>
        <w:t>Micklitz</w:t>
      </w:r>
      <w:proofErr w:type="spellEnd"/>
      <w:r w:rsidRPr="008125F0">
        <w:rPr>
          <w:rFonts w:ascii="Arial" w:hAnsi="Arial" w:cs="Arial"/>
          <w:szCs w:val="24"/>
        </w:rPr>
        <w:t>, 2015).</w:t>
      </w:r>
    </w:p>
    <w:p w14:paraId="7E3E1B92" w14:textId="77777777" w:rsidR="008125F0" w:rsidRPr="008125F0" w:rsidRDefault="008125F0" w:rsidP="008125F0">
      <w:pPr>
        <w:spacing w:line="480" w:lineRule="auto"/>
        <w:rPr>
          <w:rFonts w:ascii="Arial" w:hAnsi="Arial" w:cs="Arial"/>
          <w:szCs w:val="24"/>
        </w:rPr>
      </w:pPr>
      <w:r w:rsidRPr="008125F0">
        <w:rPr>
          <w:rFonts w:ascii="Arial" w:hAnsi="Arial" w:cs="Arial"/>
          <w:szCs w:val="24"/>
        </w:rPr>
        <w:t xml:space="preserve">Another key finding relates to the regulation of </w:t>
      </w:r>
      <w:r w:rsidRPr="008125F0">
        <w:rPr>
          <w:rFonts w:ascii="Arial" w:hAnsi="Arial" w:cs="Arial"/>
          <w:b/>
          <w:bCs/>
          <w:szCs w:val="24"/>
        </w:rPr>
        <w:t>misleading advertising and deceptive pricing practices</w:t>
      </w:r>
      <w:r w:rsidRPr="008125F0">
        <w:rPr>
          <w:rFonts w:ascii="Arial" w:hAnsi="Arial" w:cs="Arial"/>
          <w:szCs w:val="24"/>
        </w:rPr>
        <w:t>. The literature consistently identifies misleading representations, hidden charges, and unclear cancellation policies as major sources of consumer complaints in tourism. Consumer protection laws increasingly classify misleading omissions—such as failure to disclose additional fees or service limitations—as unlawful practices. This approach reflects a regulatory shift toward prioritising transparency and informed consumer choice, particularly in online booking environments (Santos &amp; Basso, 2019).</w:t>
      </w:r>
    </w:p>
    <w:p w14:paraId="2FB4BA22" w14:textId="77777777" w:rsidR="008125F0" w:rsidRPr="008125F0" w:rsidRDefault="008125F0" w:rsidP="008125F0">
      <w:pPr>
        <w:spacing w:line="480" w:lineRule="auto"/>
        <w:rPr>
          <w:rFonts w:ascii="Arial" w:hAnsi="Arial" w:cs="Arial"/>
          <w:szCs w:val="24"/>
        </w:rPr>
      </w:pPr>
      <w:r w:rsidRPr="008125F0">
        <w:rPr>
          <w:rFonts w:ascii="Arial" w:hAnsi="Arial" w:cs="Arial"/>
          <w:szCs w:val="24"/>
        </w:rPr>
        <w:lastRenderedPageBreak/>
        <w:t xml:space="preserve">The findings also highlight the importance of </w:t>
      </w:r>
      <w:r w:rsidRPr="008125F0">
        <w:rPr>
          <w:rFonts w:ascii="Arial" w:hAnsi="Arial" w:cs="Arial"/>
          <w:b/>
          <w:bCs/>
          <w:szCs w:val="24"/>
        </w:rPr>
        <w:t>package travel regulation</w:t>
      </w:r>
      <w:r w:rsidRPr="008125F0">
        <w:rPr>
          <w:rFonts w:ascii="Arial" w:hAnsi="Arial" w:cs="Arial"/>
          <w:szCs w:val="24"/>
        </w:rPr>
        <w:t xml:space="preserve"> in enhancing consumer protection. Package travel frameworks simplify complex travel arrangements by assigning responsibility to a single organiser for the overall performance of the travel package. This significantly reduces legal uncertainty for consumers, who might otherwise be required to pursue claims against multiple suppliers across different jurisdictions. Evidence from policy guidance suggests that such frameworks have improved access to refunds, compensation, and assistance during travel disruptions (Lohmann &amp; Netto, 2016).</w:t>
      </w:r>
    </w:p>
    <w:p w14:paraId="43557B33" w14:textId="77777777" w:rsidR="008125F0" w:rsidRPr="008125F0" w:rsidRDefault="008125F0" w:rsidP="008125F0">
      <w:pPr>
        <w:spacing w:line="480" w:lineRule="auto"/>
        <w:rPr>
          <w:rFonts w:ascii="Arial" w:hAnsi="Arial" w:cs="Arial"/>
          <w:szCs w:val="24"/>
        </w:rPr>
      </w:pPr>
      <w:r w:rsidRPr="008125F0">
        <w:rPr>
          <w:rFonts w:ascii="Arial" w:hAnsi="Arial" w:cs="Arial"/>
          <w:szCs w:val="24"/>
        </w:rPr>
        <w:t>Safety and service quality standards emerge as another critical dimension of consumer protection in tourism. Tourism services frequently involve transportation, accommodation, and recreational activities that carry inherent risks. The analysis reveals that consumer protection laws complement sector-specific safety regulations by imposing minimum standards of care and quality that cannot be waived by contract. This has been particularly relevant in emerging tourism models, such as peer-to-peer accommodation and adventure tourism, where regulatory oversight has struggled to keep pace with innovation (</w:t>
      </w:r>
      <w:proofErr w:type="spellStart"/>
      <w:r w:rsidRPr="008125F0">
        <w:rPr>
          <w:rFonts w:ascii="Arial" w:hAnsi="Arial" w:cs="Arial"/>
          <w:szCs w:val="24"/>
        </w:rPr>
        <w:t>Pizam</w:t>
      </w:r>
      <w:proofErr w:type="spellEnd"/>
      <w:r w:rsidRPr="008125F0">
        <w:rPr>
          <w:rFonts w:ascii="Arial" w:hAnsi="Arial" w:cs="Arial"/>
          <w:szCs w:val="24"/>
        </w:rPr>
        <w:t xml:space="preserve"> &amp; Mansfeld, 2016).</w:t>
      </w:r>
    </w:p>
    <w:p w14:paraId="41642CFE" w14:textId="77777777" w:rsidR="008125F0" w:rsidRPr="008125F0" w:rsidRDefault="008125F0" w:rsidP="008125F0">
      <w:pPr>
        <w:spacing w:line="480" w:lineRule="auto"/>
        <w:rPr>
          <w:rFonts w:ascii="Arial" w:hAnsi="Arial" w:cs="Arial"/>
          <w:szCs w:val="24"/>
        </w:rPr>
      </w:pPr>
      <w:r w:rsidRPr="008125F0">
        <w:rPr>
          <w:rFonts w:ascii="Arial" w:hAnsi="Arial" w:cs="Arial"/>
          <w:szCs w:val="24"/>
        </w:rPr>
        <w:t xml:space="preserve">The findings further indicate that consumer protection laws impose </w:t>
      </w:r>
      <w:r w:rsidRPr="008125F0">
        <w:rPr>
          <w:rFonts w:ascii="Arial" w:hAnsi="Arial" w:cs="Arial"/>
          <w:b/>
          <w:bCs/>
          <w:szCs w:val="24"/>
        </w:rPr>
        <w:t>expanded compliance responsibilities on tourism service providers</w:t>
      </w:r>
      <w:r w:rsidRPr="008125F0">
        <w:rPr>
          <w:rFonts w:ascii="Arial" w:hAnsi="Arial" w:cs="Arial"/>
          <w:szCs w:val="24"/>
        </w:rPr>
        <w:t>. Businesses are required to ensure truthful marketing, fair pricing practices, transparent contractual terms, and accessible complaint-handling mechanisms. Failure to comply with these obligations may result in regulatory sanctions, compensation orders, and reputational damage. This deterrent effect encourages ethical conduct and contributes to improved service standards across the tourism sector (OECD, 2020).</w:t>
      </w:r>
    </w:p>
    <w:p w14:paraId="3B1EE178" w14:textId="77777777" w:rsidR="008125F0" w:rsidRPr="008125F0" w:rsidRDefault="008125F0" w:rsidP="008125F0">
      <w:pPr>
        <w:spacing w:line="480" w:lineRule="auto"/>
        <w:rPr>
          <w:rFonts w:ascii="Arial" w:hAnsi="Arial" w:cs="Arial"/>
          <w:szCs w:val="24"/>
        </w:rPr>
      </w:pPr>
      <w:r w:rsidRPr="008125F0">
        <w:rPr>
          <w:rFonts w:ascii="Arial" w:hAnsi="Arial" w:cs="Arial"/>
          <w:szCs w:val="24"/>
        </w:rPr>
        <w:lastRenderedPageBreak/>
        <w:t xml:space="preserve">Finally, the analysis identifies the growing significance of </w:t>
      </w:r>
      <w:r w:rsidRPr="008125F0">
        <w:rPr>
          <w:rFonts w:ascii="Arial" w:hAnsi="Arial" w:cs="Arial"/>
          <w:b/>
          <w:bCs/>
          <w:szCs w:val="24"/>
        </w:rPr>
        <w:t>consumer redress mechanisms</w:t>
      </w:r>
      <w:r w:rsidRPr="008125F0">
        <w:rPr>
          <w:rFonts w:ascii="Arial" w:hAnsi="Arial" w:cs="Arial"/>
          <w:szCs w:val="24"/>
        </w:rPr>
        <w:t xml:space="preserve">, including alternative dispute resolution (ADR). ADR mechanisms are widely promoted as efficient and cost-effective means of resolving tourism disputes, particularly in cross-border contexts. However, the findings also reveal concerns regarding accessibility, consumer awareness, and procedural fairness. Mandatory ADR clauses may disadvantage </w:t>
      </w:r>
      <w:proofErr w:type="spellStart"/>
      <w:r w:rsidRPr="008125F0">
        <w:rPr>
          <w:rFonts w:ascii="Arial" w:hAnsi="Arial" w:cs="Arial"/>
          <w:szCs w:val="24"/>
        </w:rPr>
        <w:t>travelers</w:t>
      </w:r>
      <w:proofErr w:type="spellEnd"/>
      <w:r w:rsidRPr="008125F0">
        <w:rPr>
          <w:rFonts w:ascii="Arial" w:hAnsi="Arial" w:cs="Arial"/>
          <w:szCs w:val="24"/>
        </w:rPr>
        <w:t xml:space="preserve"> if they restrict access to judicial remedies or impose unfamiliar procedures (Spencer, 2020).</w:t>
      </w:r>
    </w:p>
    <w:p w14:paraId="2ABC803A" w14:textId="77777777" w:rsidR="008125F0" w:rsidRPr="008125F0" w:rsidRDefault="008125F0" w:rsidP="008125F0">
      <w:pPr>
        <w:spacing w:line="480" w:lineRule="auto"/>
        <w:rPr>
          <w:rFonts w:ascii="Arial" w:hAnsi="Arial" w:cs="Arial"/>
          <w:szCs w:val="24"/>
        </w:rPr>
      </w:pPr>
      <w:r w:rsidRPr="008125F0">
        <w:rPr>
          <w:rFonts w:ascii="Arial" w:hAnsi="Arial" w:cs="Arial"/>
          <w:szCs w:val="24"/>
        </w:rPr>
        <w:t xml:space="preserve">Overall, the findings confirm that consumer protection laws are essential in mitigating the risks inherent in tourism transactions. By enhancing transparency, enforcing safety standards, and providing effective remedies, these laws strengthen </w:t>
      </w:r>
      <w:proofErr w:type="spellStart"/>
      <w:r w:rsidRPr="008125F0">
        <w:rPr>
          <w:rFonts w:ascii="Arial" w:hAnsi="Arial" w:cs="Arial"/>
          <w:szCs w:val="24"/>
        </w:rPr>
        <w:t>traveler</w:t>
      </w:r>
      <w:proofErr w:type="spellEnd"/>
      <w:r w:rsidRPr="008125F0">
        <w:rPr>
          <w:rFonts w:ascii="Arial" w:hAnsi="Arial" w:cs="Arial"/>
          <w:szCs w:val="24"/>
        </w:rPr>
        <w:t xml:space="preserve"> confidence and contribute to the integrity and sustainability of the tourism industry.</w:t>
      </w:r>
    </w:p>
    <w:p w14:paraId="62699313" w14:textId="77777777" w:rsidR="0033247F" w:rsidRPr="00D349AA" w:rsidRDefault="0033247F" w:rsidP="008C18CC">
      <w:pPr>
        <w:spacing w:line="480" w:lineRule="auto"/>
        <w:rPr>
          <w:rStyle w:val="Heading1Char"/>
          <w:rFonts w:ascii="Arial" w:hAnsi="Arial" w:cs="Arial"/>
          <w:b/>
          <w:bCs/>
          <w:color w:val="auto"/>
          <w:sz w:val="24"/>
          <w:szCs w:val="24"/>
        </w:rPr>
      </w:pPr>
    </w:p>
    <w:p w14:paraId="7741BD77" w14:textId="77777777" w:rsidR="008125F0" w:rsidRPr="00D349AA" w:rsidRDefault="008125F0" w:rsidP="008C18CC">
      <w:pPr>
        <w:spacing w:line="480" w:lineRule="auto"/>
        <w:rPr>
          <w:rStyle w:val="Heading1Char"/>
          <w:rFonts w:ascii="Arial" w:hAnsi="Arial" w:cs="Arial"/>
          <w:b/>
          <w:bCs/>
          <w:color w:val="auto"/>
          <w:sz w:val="24"/>
          <w:szCs w:val="24"/>
        </w:rPr>
      </w:pPr>
    </w:p>
    <w:p w14:paraId="34F032B3" w14:textId="77777777" w:rsidR="008125F0" w:rsidRPr="00D349AA" w:rsidRDefault="008125F0" w:rsidP="008C18CC">
      <w:pPr>
        <w:spacing w:line="480" w:lineRule="auto"/>
        <w:rPr>
          <w:rStyle w:val="Heading1Char"/>
          <w:rFonts w:ascii="Arial" w:hAnsi="Arial" w:cs="Arial"/>
          <w:b/>
          <w:bCs/>
          <w:color w:val="auto"/>
          <w:sz w:val="24"/>
          <w:szCs w:val="24"/>
        </w:rPr>
      </w:pPr>
    </w:p>
    <w:p w14:paraId="2918CFA9" w14:textId="77777777" w:rsidR="0033247F" w:rsidRPr="00D349AA" w:rsidRDefault="0033247F" w:rsidP="008C18CC">
      <w:pPr>
        <w:spacing w:line="480" w:lineRule="auto"/>
        <w:rPr>
          <w:rStyle w:val="Heading1Char"/>
          <w:rFonts w:ascii="Arial" w:hAnsi="Arial" w:cs="Arial"/>
          <w:b/>
          <w:bCs/>
          <w:color w:val="auto"/>
          <w:sz w:val="24"/>
          <w:szCs w:val="24"/>
        </w:rPr>
      </w:pPr>
    </w:p>
    <w:p w14:paraId="27070575" w14:textId="77777777" w:rsidR="0033247F" w:rsidRPr="00D349AA" w:rsidRDefault="0033247F" w:rsidP="008C18CC">
      <w:pPr>
        <w:spacing w:line="480" w:lineRule="auto"/>
        <w:rPr>
          <w:rStyle w:val="Heading1Char"/>
          <w:rFonts w:ascii="Arial" w:hAnsi="Arial" w:cs="Arial"/>
          <w:b/>
          <w:bCs/>
          <w:color w:val="auto"/>
          <w:sz w:val="24"/>
          <w:szCs w:val="24"/>
        </w:rPr>
      </w:pPr>
    </w:p>
    <w:p w14:paraId="0193BA4E" w14:textId="77777777" w:rsidR="0033247F" w:rsidRPr="00D349AA" w:rsidRDefault="0033247F" w:rsidP="008C18CC">
      <w:pPr>
        <w:spacing w:line="480" w:lineRule="auto"/>
        <w:rPr>
          <w:rStyle w:val="Heading1Char"/>
          <w:rFonts w:ascii="Arial" w:hAnsi="Arial" w:cs="Arial"/>
          <w:b/>
          <w:bCs/>
          <w:color w:val="auto"/>
          <w:sz w:val="24"/>
          <w:szCs w:val="24"/>
        </w:rPr>
      </w:pPr>
    </w:p>
    <w:p w14:paraId="2667AE76" w14:textId="77777777" w:rsidR="0033247F" w:rsidRPr="00D349AA" w:rsidRDefault="0033247F" w:rsidP="008C18CC">
      <w:pPr>
        <w:spacing w:line="480" w:lineRule="auto"/>
        <w:rPr>
          <w:rStyle w:val="Heading1Char"/>
          <w:rFonts w:ascii="Arial" w:hAnsi="Arial" w:cs="Arial"/>
          <w:b/>
          <w:bCs/>
          <w:color w:val="auto"/>
          <w:sz w:val="24"/>
          <w:szCs w:val="24"/>
        </w:rPr>
      </w:pPr>
    </w:p>
    <w:p w14:paraId="7D99FD8C" w14:textId="77777777" w:rsidR="0033247F" w:rsidRPr="00D349AA" w:rsidRDefault="0033247F" w:rsidP="008C18CC">
      <w:pPr>
        <w:spacing w:line="480" w:lineRule="auto"/>
        <w:rPr>
          <w:rStyle w:val="Heading1Char"/>
          <w:rFonts w:ascii="Arial" w:hAnsi="Arial" w:cs="Arial"/>
          <w:b/>
          <w:bCs/>
          <w:color w:val="auto"/>
          <w:sz w:val="24"/>
          <w:szCs w:val="24"/>
        </w:rPr>
      </w:pPr>
    </w:p>
    <w:p w14:paraId="38B863FC" w14:textId="77777777" w:rsidR="00D92241" w:rsidRPr="00D349AA" w:rsidRDefault="00D92241" w:rsidP="008C18CC">
      <w:pPr>
        <w:spacing w:line="480" w:lineRule="auto"/>
        <w:rPr>
          <w:rStyle w:val="Heading1Char"/>
          <w:rFonts w:ascii="Arial" w:hAnsi="Arial" w:cs="Arial"/>
          <w:b/>
          <w:bCs/>
          <w:color w:val="auto"/>
          <w:sz w:val="24"/>
          <w:szCs w:val="24"/>
        </w:rPr>
      </w:pPr>
    </w:p>
    <w:p w14:paraId="02D8179D" w14:textId="77777777" w:rsidR="00D92241" w:rsidRPr="00D349AA" w:rsidRDefault="00D92241" w:rsidP="008C18CC">
      <w:pPr>
        <w:spacing w:line="480" w:lineRule="auto"/>
        <w:rPr>
          <w:rStyle w:val="Heading1Char"/>
          <w:rFonts w:ascii="Arial" w:hAnsi="Arial" w:cs="Arial"/>
          <w:b/>
          <w:bCs/>
          <w:color w:val="auto"/>
          <w:sz w:val="24"/>
          <w:szCs w:val="24"/>
        </w:rPr>
      </w:pPr>
    </w:p>
    <w:p w14:paraId="0F29B04B" w14:textId="77777777" w:rsidR="0033247F" w:rsidRPr="00D349AA" w:rsidRDefault="0033247F" w:rsidP="008C18CC">
      <w:pPr>
        <w:spacing w:line="480" w:lineRule="auto"/>
        <w:rPr>
          <w:rStyle w:val="Heading1Char"/>
          <w:rFonts w:ascii="Arial" w:hAnsi="Arial" w:cs="Arial"/>
          <w:b/>
          <w:bCs/>
          <w:color w:val="auto"/>
          <w:sz w:val="24"/>
          <w:szCs w:val="24"/>
        </w:rPr>
      </w:pPr>
    </w:p>
    <w:p w14:paraId="049E7AB9" w14:textId="77777777" w:rsidR="003A5BF6" w:rsidRPr="00D349AA" w:rsidRDefault="003A5BF6" w:rsidP="008C18CC">
      <w:pPr>
        <w:spacing w:line="480" w:lineRule="auto"/>
        <w:rPr>
          <w:rStyle w:val="Heading1Char"/>
          <w:rFonts w:ascii="Arial" w:hAnsi="Arial" w:cs="Arial"/>
          <w:b/>
          <w:bCs/>
          <w:color w:val="auto"/>
          <w:sz w:val="24"/>
          <w:szCs w:val="24"/>
        </w:rPr>
      </w:pPr>
    </w:p>
    <w:p w14:paraId="0CD9F296" w14:textId="77777777" w:rsidR="00763D1C" w:rsidRPr="00D349AA" w:rsidRDefault="00763D1C" w:rsidP="008C18CC">
      <w:pPr>
        <w:spacing w:line="480" w:lineRule="auto"/>
        <w:rPr>
          <w:rStyle w:val="Heading1Char"/>
          <w:rFonts w:ascii="Arial" w:hAnsi="Arial" w:cs="Arial"/>
          <w:b/>
          <w:bCs/>
          <w:color w:val="auto"/>
          <w:sz w:val="24"/>
          <w:szCs w:val="24"/>
        </w:rPr>
      </w:pPr>
    </w:p>
    <w:p w14:paraId="197834E8" w14:textId="77777777" w:rsidR="008125F0" w:rsidRPr="00D349AA" w:rsidRDefault="00496E55" w:rsidP="008125F0">
      <w:pPr>
        <w:spacing w:line="480" w:lineRule="auto"/>
        <w:rPr>
          <w:rFonts w:ascii="Arial" w:hAnsi="Arial" w:cs="Arial"/>
          <w:szCs w:val="24"/>
        </w:rPr>
      </w:pPr>
      <w:bookmarkStart w:id="5" w:name="_Toc221201959"/>
      <w:r w:rsidRPr="00D349AA">
        <w:rPr>
          <w:rStyle w:val="Heading1Char"/>
          <w:rFonts w:ascii="Arial" w:hAnsi="Arial" w:cs="Arial"/>
          <w:b/>
          <w:bCs/>
          <w:color w:val="auto"/>
          <w:sz w:val="24"/>
          <w:szCs w:val="24"/>
        </w:rPr>
        <w:t>5</w:t>
      </w:r>
      <w:r w:rsidR="00F11085" w:rsidRPr="00D349AA">
        <w:rPr>
          <w:rStyle w:val="Heading1Char"/>
          <w:rFonts w:ascii="Arial" w:hAnsi="Arial" w:cs="Arial"/>
          <w:b/>
          <w:bCs/>
          <w:color w:val="auto"/>
          <w:sz w:val="24"/>
          <w:szCs w:val="24"/>
        </w:rPr>
        <w:t>. Discussion</w:t>
      </w:r>
      <w:bookmarkEnd w:id="5"/>
      <w:r w:rsidR="00F11085" w:rsidRPr="00D349AA">
        <w:rPr>
          <w:rFonts w:ascii="Arial" w:hAnsi="Arial" w:cs="Arial"/>
          <w:szCs w:val="24"/>
        </w:rPr>
        <w:t xml:space="preserve"> </w:t>
      </w:r>
      <w:r w:rsidR="00F11085" w:rsidRPr="00D349AA">
        <w:rPr>
          <w:rFonts w:ascii="Arial" w:hAnsi="Arial" w:cs="Arial"/>
          <w:szCs w:val="24"/>
        </w:rPr>
        <w:br/>
      </w:r>
      <w:r w:rsidR="008125F0" w:rsidRPr="00D349AA">
        <w:rPr>
          <w:rFonts w:ascii="Arial" w:hAnsi="Arial" w:cs="Arial"/>
          <w:szCs w:val="24"/>
        </w:rPr>
        <w:t xml:space="preserve">The findings of this study confirm that consumer protection laws are essential to addressing the structural weaknesses inherent in tourism markets. Tourism transactions differ fundamentally from many other consumer activities because </w:t>
      </w:r>
      <w:proofErr w:type="spellStart"/>
      <w:r w:rsidR="008125F0" w:rsidRPr="00D349AA">
        <w:rPr>
          <w:rFonts w:ascii="Arial" w:hAnsi="Arial" w:cs="Arial"/>
          <w:szCs w:val="24"/>
        </w:rPr>
        <w:t>travelers</w:t>
      </w:r>
      <w:proofErr w:type="spellEnd"/>
      <w:r w:rsidR="008125F0" w:rsidRPr="00D349AA">
        <w:rPr>
          <w:rFonts w:ascii="Arial" w:hAnsi="Arial" w:cs="Arial"/>
          <w:szCs w:val="24"/>
        </w:rPr>
        <w:t xml:space="preserve"> must often make advance payments, rely on promotional information, and consume services in unfamiliar or foreign environments. These conditions create persistent power imbalances that justify stronger regulatory intervention beyond traditional contract law (Howells et al., 2018). The discussion below critically evaluates how consumer protection laws respond to these challenges and the implications for both </w:t>
      </w:r>
      <w:proofErr w:type="spellStart"/>
      <w:r w:rsidR="008125F0" w:rsidRPr="00D349AA">
        <w:rPr>
          <w:rFonts w:ascii="Arial" w:hAnsi="Arial" w:cs="Arial"/>
          <w:szCs w:val="24"/>
        </w:rPr>
        <w:t>travelers</w:t>
      </w:r>
      <w:proofErr w:type="spellEnd"/>
      <w:r w:rsidR="008125F0" w:rsidRPr="00D349AA">
        <w:rPr>
          <w:rFonts w:ascii="Arial" w:hAnsi="Arial" w:cs="Arial"/>
          <w:szCs w:val="24"/>
        </w:rPr>
        <w:t xml:space="preserve"> and tourism service providers.</w:t>
      </w:r>
    </w:p>
    <w:p w14:paraId="33926221" w14:textId="77777777" w:rsidR="008125F0" w:rsidRPr="008125F0" w:rsidRDefault="008125F0" w:rsidP="008125F0">
      <w:pPr>
        <w:spacing w:line="480" w:lineRule="auto"/>
        <w:rPr>
          <w:rFonts w:ascii="Arial" w:hAnsi="Arial" w:cs="Arial"/>
          <w:szCs w:val="24"/>
        </w:rPr>
      </w:pPr>
      <w:r w:rsidRPr="008125F0">
        <w:rPr>
          <w:rFonts w:ascii="Arial" w:hAnsi="Arial" w:cs="Arial"/>
          <w:szCs w:val="24"/>
        </w:rPr>
        <w:t xml:space="preserve">One of the most significant issues highlighted by the findings is tourist vulnerability caused by information asymmetry. Tourism consumers typically depend on marketing materials, digital platforms, and intermediaries when making travel decisions. While digitalisation has expanded access to information, it has also increased the risk of misleading representations and opaque pricing structures. The regulatory focus on transparency and truthful advertising reflects recognition that informed consumer choice cannot exist without clear and accurate information (Santos &amp; Basso, 2019). Consumer </w:t>
      </w:r>
      <w:r w:rsidRPr="008125F0">
        <w:rPr>
          <w:rFonts w:ascii="Arial" w:hAnsi="Arial" w:cs="Arial"/>
          <w:szCs w:val="24"/>
        </w:rPr>
        <w:lastRenderedPageBreak/>
        <w:t>protection laws therefore play a crucial role in shifting responsibility onto tourism businesses to disclose material information proactively.</w:t>
      </w:r>
    </w:p>
    <w:p w14:paraId="11CB4829" w14:textId="77777777" w:rsidR="008125F0" w:rsidRPr="008125F0" w:rsidRDefault="008125F0" w:rsidP="008125F0">
      <w:pPr>
        <w:spacing w:line="480" w:lineRule="auto"/>
        <w:rPr>
          <w:rFonts w:ascii="Arial" w:hAnsi="Arial" w:cs="Arial"/>
          <w:szCs w:val="24"/>
        </w:rPr>
      </w:pPr>
      <w:r w:rsidRPr="008125F0">
        <w:rPr>
          <w:rFonts w:ascii="Arial" w:hAnsi="Arial" w:cs="Arial"/>
          <w:szCs w:val="24"/>
        </w:rPr>
        <w:t xml:space="preserve">The discussion of package travel regulation illustrates how sector-specific consumer protection frameworks can enhance legal certainty. By assigning responsibility to a single organiser, package travel laws simplify dispute resolution and reduce the burden placed on </w:t>
      </w:r>
      <w:proofErr w:type="spellStart"/>
      <w:r w:rsidRPr="008125F0">
        <w:rPr>
          <w:rFonts w:ascii="Arial" w:hAnsi="Arial" w:cs="Arial"/>
          <w:szCs w:val="24"/>
        </w:rPr>
        <w:t>travelers</w:t>
      </w:r>
      <w:proofErr w:type="spellEnd"/>
      <w:r w:rsidRPr="008125F0">
        <w:rPr>
          <w:rFonts w:ascii="Arial" w:hAnsi="Arial" w:cs="Arial"/>
          <w:szCs w:val="24"/>
        </w:rPr>
        <w:t xml:space="preserve"> to pursue claims against multiple suppliers. This approach aligns with broader consumer protection objectives of accessibility and enforceability of rights (Lohmann &amp; Netto, 2016). However, the discussion also recognises potential drawbacks, including increased compliance costs for organisers and smaller tourism enterprises, suggesting the need for proportional enforcement and regulatory guidance.</w:t>
      </w:r>
    </w:p>
    <w:p w14:paraId="3E9BFAE7" w14:textId="77777777" w:rsidR="008125F0" w:rsidRPr="008125F0" w:rsidRDefault="008125F0" w:rsidP="008125F0">
      <w:pPr>
        <w:spacing w:line="480" w:lineRule="auto"/>
        <w:rPr>
          <w:rFonts w:ascii="Arial" w:hAnsi="Arial" w:cs="Arial"/>
          <w:szCs w:val="24"/>
        </w:rPr>
      </w:pPr>
      <w:r w:rsidRPr="008125F0">
        <w:rPr>
          <w:rFonts w:ascii="Arial" w:hAnsi="Arial" w:cs="Arial"/>
          <w:szCs w:val="24"/>
        </w:rPr>
        <w:t xml:space="preserve">Safety and service quality obligations emerge as another critical dimension of consumer protection. The findings show that consumer protection laws complement health and safety regulations by preventing tourism operators from excluding liability through contractual clauses. This is particularly important in high-risk tourism activities and emerging business models, where regulatory oversight may </w:t>
      </w:r>
      <w:proofErr w:type="gramStart"/>
      <w:r w:rsidRPr="008125F0">
        <w:rPr>
          <w:rFonts w:ascii="Arial" w:hAnsi="Arial" w:cs="Arial"/>
          <w:szCs w:val="24"/>
        </w:rPr>
        <w:t>lag behind</w:t>
      </w:r>
      <w:proofErr w:type="gramEnd"/>
      <w:r w:rsidRPr="008125F0">
        <w:rPr>
          <w:rFonts w:ascii="Arial" w:hAnsi="Arial" w:cs="Arial"/>
          <w:szCs w:val="24"/>
        </w:rPr>
        <w:t xml:space="preserve"> market innovation (</w:t>
      </w:r>
      <w:proofErr w:type="spellStart"/>
      <w:r w:rsidRPr="008125F0">
        <w:rPr>
          <w:rFonts w:ascii="Arial" w:hAnsi="Arial" w:cs="Arial"/>
          <w:szCs w:val="24"/>
        </w:rPr>
        <w:t>Pizam</w:t>
      </w:r>
      <w:proofErr w:type="spellEnd"/>
      <w:r w:rsidRPr="008125F0">
        <w:rPr>
          <w:rFonts w:ascii="Arial" w:hAnsi="Arial" w:cs="Arial"/>
          <w:szCs w:val="24"/>
        </w:rPr>
        <w:t xml:space="preserve"> &amp; Mansfeld, 2016). From a policy perspective, statutory safety obligations serve a preventive function, reducing the likelihood of harm before disputes arise.</w:t>
      </w:r>
    </w:p>
    <w:p w14:paraId="00F537A1" w14:textId="77777777" w:rsidR="008125F0" w:rsidRPr="008125F0" w:rsidRDefault="008125F0" w:rsidP="008125F0">
      <w:pPr>
        <w:spacing w:line="480" w:lineRule="auto"/>
        <w:rPr>
          <w:rFonts w:ascii="Arial" w:hAnsi="Arial" w:cs="Arial"/>
          <w:szCs w:val="24"/>
        </w:rPr>
      </w:pPr>
      <w:r w:rsidRPr="008125F0">
        <w:rPr>
          <w:rFonts w:ascii="Arial" w:hAnsi="Arial" w:cs="Arial"/>
          <w:szCs w:val="24"/>
        </w:rPr>
        <w:t xml:space="preserve">The expanding compliance responsibilities imposed on tourism service providers reflect a shift toward proactive consumer protection. Businesses are increasingly required to implement internal compliance systems, monitor third-party suppliers, and maintain accessible complaint-handling mechanisms. While these obligations enhance accountability and ethical conduct, the discussion highlights </w:t>
      </w:r>
      <w:proofErr w:type="gramStart"/>
      <w:r w:rsidRPr="008125F0">
        <w:rPr>
          <w:rFonts w:ascii="Arial" w:hAnsi="Arial" w:cs="Arial"/>
          <w:szCs w:val="24"/>
        </w:rPr>
        <w:t>concerns</w:t>
      </w:r>
      <w:proofErr w:type="gramEnd"/>
      <w:r w:rsidRPr="008125F0">
        <w:rPr>
          <w:rFonts w:ascii="Arial" w:hAnsi="Arial" w:cs="Arial"/>
          <w:szCs w:val="24"/>
        </w:rPr>
        <w:t xml:space="preserve"> regarding uneven </w:t>
      </w:r>
      <w:r w:rsidRPr="008125F0">
        <w:rPr>
          <w:rFonts w:ascii="Arial" w:hAnsi="Arial" w:cs="Arial"/>
          <w:szCs w:val="24"/>
        </w:rPr>
        <w:lastRenderedPageBreak/>
        <w:t>enforcement across jurisdictions. Inconsistent regulatory capacity may undermine consumer confidence, particularly in international tourism contexts, supporting calls for greater international coordination (</w:t>
      </w:r>
      <w:proofErr w:type="spellStart"/>
      <w:r w:rsidRPr="008125F0">
        <w:rPr>
          <w:rFonts w:ascii="Arial" w:hAnsi="Arial" w:cs="Arial"/>
          <w:szCs w:val="24"/>
        </w:rPr>
        <w:t>Micklitz</w:t>
      </w:r>
      <w:proofErr w:type="spellEnd"/>
      <w:r w:rsidRPr="008125F0">
        <w:rPr>
          <w:rFonts w:ascii="Arial" w:hAnsi="Arial" w:cs="Arial"/>
          <w:szCs w:val="24"/>
        </w:rPr>
        <w:t>, 2015).</w:t>
      </w:r>
    </w:p>
    <w:p w14:paraId="5A63C872" w14:textId="77777777" w:rsidR="008125F0" w:rsidRPr="008125F0" w:rsidRDefault="008125F0" w:rsidP="008125F0">
      <w:pPr>
        <w:spacing w:line="480" w:lineRule="auto"/>
        <w:rPr>
          <w:rFonts w:ascii="Arial" w:hAnsi="Arial" w:cs="Arial"/>
          <w:szCs w:val="24"/>
        </w:rPr>
      </w:pPr>
      <w:r w:rsidRPr="008125F0">
        <w:rPr>
          <w:rFonts w:ascii="Arial" w:hAnsi="Arial" w:cs="Arial"/>
          <w:szCs w:val="24"/>
        </w:rPr>
        <w:t xml:space="preserve">The growing reliance on alternative dispute resolution (ADR) mechanisms also warrants critical evaluation. Although ADR offers efficiency and cost-effectiveness, particularly in cross-border disputes, concerns remain regarding transparency, consumer awareness, and procedural fairness. Mandatory ADR clauses may disadvantage </w:t>
      </w:r>
      <w:proofErr w:type="spellStart"/>
      <w:r w:rsidRPr="008125F0">
        <w:rPr>
          <w:rFonts w:ascii="Arial" w:hAnsi="Arial" w:cs="Arial"/>
          <w:szCs w:val="24"/>
        </w:rPr>
        <w:t>travelers</w:t>
      </w:r>
      <w:proofErr w:type="spellEnd"/>
      <w:r w:rsidRPr="008125F0">
        <w:rPr>
          <w:rFonts w:ascii="Arial" w:hAnsi="Arial" w:cs="Arial"/>
          <w:szCs w:val="24"/>
        </w:rPr>
        <w:t xml:space="preserve"> if they restrict access to courts or impose unfamiliar processes (Spencer, 2020). The discussion therefore suggests that ADR should complement, rather than replace, judicial remedies and should be subject to regulatory safeguards.</w:t>
      </w:r>
    </w:p>
    <w:p w14:paraId="410D96A8" w14:textId="77777777" w:rsidR="008125F0" w:rsidRPr="008125F0" w:rsidRDefault="008125F0" w:rsidP="008125F0">
      <w:pPr>
        <w:spacing w:line="480" w:lineRule="auto"/>
        <w:rPr>
          <w:rFonts w:ascii="Arial" w:hAnsi="Arial" w:cs="Arial"/>
          <w:szCs w:val="24"/>
        </w:rPr>
      </w:pPr>
      <w:r w:rsidRPr="008125F0">
        <w:rPr>
          <w:rFonts w:ascii="Arial" w:hAnsi="Arial" w:cs="Arial"/>
          <w:szCs w:val="24"/>
        </w:rPr>
        <w:t xml:space="preserve">Overall, the discussion demonstrates that consumer protection laws function as both </w:t>
      </w:r>
      <w:r w:rsidRPr="008125F0">
        <w:rPr>
          <w:rFonts w:ascii="Arial" w:hAnsi="Arial" w:cs="Arial"/>
          <w:b/>
          <w:bCs/>
          <w:szCs w:val="24"/>
        </w:rPr>
        <w:t>preventive and corrective mechanisms</w:t>
      </w:r>
      <w:r w:rsidRPr="008125F0">
        <w:rPr>
          <w:rFonts w:ascii="Arial" w:hAnsi="Arial" w:cs="Arial"/>
          <w:szCs w:val="24"/>
        </w:rPr>
        <w:t xml:space="preserve"> in the tourism industry. They influence business behaviour, promote transparency and safety, and provide effective remedies when disputes arise. As tourism continues to evolve through digitalisation and global uncertainty, adaptive and well-enforced consumer protection frameworks will remain vital to maintaining </w:t>
      </w:r>
      <w:proofErr w:type="spellStart"/>
      <w:r w:rsidRPr="008125F0">
        <w:rPr>
          <w:rFonts w:ascii="Arial" w:hAnsi="Arial" w:cs="Arial"/>
          <w:szCs w:val="24"/>
        </w:rPr>
        <w:t>traveler</w:t>
      </w:r>
      <w:proofErr w:type="spellEnd"/>
      <w:r w:rsidRPr="008125F0">
        <w:rPr>
          <w:rFonts w:ascii="Arial" w:hAnsi="Arial" w:cs="Arial"/>
          <w:szCs w:val="24"/>
        </w:rPr>
        <w:t xml:space="preserve"> trust and sustainable tourism development.</w:t>
      </w:r>
    </w:p>
    <w:p w14:paraId="3007DCD9" w14:textId="415976C9" w:rsidR="00831A6D" w:rsidRPr="00D349AA" w:rsidRDefault="00831A6D" w:rsidP="00831A6D">
      <w:pPr>
        <w:spacing w:line="480" w:lineRule="auto"/>
        <w:rPr>
          <w:rFonts w:ascii="Arial" w:hAnsi="Arial" w:cs="Arial"/>
          <w:szCs w:val="24"/>
        </w:rPr>
      </w:pPr>
    </w:p>
    <w:p w14:paraId="65C04CBE" w14:textId="77777777" w:rsidR="008125F0" w:rsidRPr="00D349AA" w:rsidRDefault="008125F0" w:rsidP="00831A6D">
      <w:pPr>
        <w:spacing w:line="480" w:lineRule="auto"/>
        <w:rPr>
          <w:rFonts w:ascii="Arial" w:hAnsi="Arial" w:cs="Arial"/>
          <w:szCs w:val="24"/>
        </w:rPr>
      </w:pPr>
    </w:p>
    <w:p w14:paraId="2E34A646" w14:textId="77777777" w:rsidR="008125F0" w:rsidRPr="00D349AA" w:rsidRDefault="008125F0" w:rsidP="00831A6D">
      <w:pPr>
        <w:spacing w:line="480" w:lineRule="auto"/>
        <w:rPr>
          <w:rFonts w:ascii="Arial" w:hAnsi="Arial" w:cs="Arial"/>
          <w:szCs w:val="24"/>
        </w:rPr>
      </w:pPr>
    </w:p>
    <w:p w14:paraId="677A4F98" w14:textId="77777777" w:rsidR="008125F0" w:rsidRPr="00D349AA" w:rsidRDefault="008125F0" w:rsidP="00831A6D">
      <w:pPr>
        <w:spacing w:line="480" w:lineRule="auto"/>
        <w:rPr>
          <w:rFonts w:ascii="Arial" w:hAnsi="Arial" w:cs="Arial"/>
          <w:szCs w:val="24"/>
        </w:rPr>
      </w:pPr>
    </w:p>
    <w:p w14:paraId="3E136BAE" w14:textId="77777777" w:rsidR="008125F0" w:rsidRPr="00D349AA" w:rsidRDefault="008125F0" w:rsidP="00831A6D">
      <w:pPr>
        <w:spacing w:line="480" w:lineRule="auto"/>
        <w:rPr>
          <w:rFonts w:ascii="Arial" w:hAnsi="Arial" w:cs="Arial"/>
          <w:szCs w:val="24"/>
        </w:rPr>
      </w:pPr>
    </w:p>
    <w:p w14:paraId="287676B2" w14:textId="77777777" w:rsidR="008125F0" w:rsidRPr="00D349AA" w:rsidRDefault="008125F0" w:rsidP="00831A6D">
      <w:pPr>
        <w:spacing w:line="480" w:lineRule="auto"/>
        <w:rPr>
          <w:rFonts w:ascii="Arial" w:hAnsi="Arial" w:cs="Arial"/>
          <w:szCs w:val="24"/>
        </w:rPr>
      </w:pPr>
    </w:p>
    <w:p w14:paraId="1A1BDF10" w14:textId="77777777" w:rsidR="008125F0" w:rsidRPr="00D349AA" w:rsidRDefault="008125F0" w:rsidP="00831A6D">
      <w:pPr>
        <w:spacing w:line="480" w:lineRule="auto"/>
        <w:rPr>
          <w:rFonts w:ascii="Arial" w:hAnsi="Arial" w:cs="Arial"/>
          <w:szCs w:val="24"/>
        </w:rPr>
      </w:pPr>
    </w:p>
    <w:p w14:paraId="261C0306" w14:textId="77777777" w:rsidR="008125F0" w:rsidRPr="00D349AA" w:rsidRDefault="008125F0" w:rsidP="00831A6D">
      <w:pPr>
        <w:spacing w:line="480" w:lineRule="auto"/>
        <w:rPr>
          <w:rFonts w:ascii="Arial" w:hAnsi="Arial" w:cs="Arial"/>
          <w:szCs w:val="24"/>
        </w:rPr>
      </w:pPr>
    </w:p>
    <w:p w14:paraId="4FDE96B4" w14:textId="77777777" w:rsidR="008125F0" w:rsidRPr="00D349AA" w:rsidRDefault="008125F0" w:rsidP="00831A6D">
      <w:pPr>
        <w:spacing w:line="480" w:lineRule="auto"/>
        <w:rPr>
          <w:rFonts w:ascii="Arial" w:hAnsi="Arial" w:cs="Arial"/>
          <w:szCs w:val="24"/>
        </w:rPr>
      </w:pPr>
    </w:p>
    <w:p w14:paraId="591B96AE" w14:textId="77777777" w:rsidR="008125F0" w:rsidRPr="00D349AA" w:rsidRDefault="008125F0" w:rsidP="00831A6D">
      <w:pPr>
        <w:spacing w:line="480" w:lineRule="auto"/>
        <w:rPr>
          <w:rFonts w:ascii="Arial" w:hAnsi="Arial" w:cs="Arial"/>
          <w:szCs w:val="24"/>
        </w:rPr>
      </w:pPr>
    </w:p>
    <w:p w14:paraId="65FF5A01" w14:textId="77777777" w:rsidR="00D92241" w:rsidRPr="00D349AA" w:rsidRDefault="00D92241" w:rsidP="00831A6D">
      <w:pPr>
        <w:spacing w:line="480" w:lineRule="auto"/>
        <w:rPr>
          <w:rFonts w:ascii="Arial" w:hAnsi="Arial" w:cs="Arial"/>
          <w:szCs w:val="24"/>
        </w:rPr>
      </w:pPr>
    </w:p>
    <w:p w14:paraId="1EDCB9A2" w14:textId="77777777" w:rsidR="00D92241" w:rsidRPr="00D349AA" w:rsidRDefault="00D92241" w:rsidP="00831A6D">
      <w:pPr>
        <w:spacing w:line="480" w:lineRule="auto"/>
        <w:rPr>
          <w:rFonts w:ascii="Arial" w:hAnsi="Arial" w:cs="Arial"/>
          <w:szCs w:val="24"/>
        </w:rPr>
      </w:pPr>
    </w:p>
    <w:p w14:paraId="2CF0AAE5" w14:textId="77777777" w:rsidR="00D92241" w:rsidRPr="00D349AA" w:rsidRDefault="00D92241" w:rsidP="00831A6D">
      <w:pPr>
        <w:spacing w:line="480" w:lineRule="auto"/>
        <w:rPr>
          <w:rFonts w:ascii="Arial" w:hAnsi="Arial" w:cs="Arial"/>
          <w:szCs w:val="24"/>
        </w:rPr>
      </w:pPr>
    </w:p>
    <w:p w14:paraId="44E541CA" w14:textId="77777777" w:rsidR="00D92241" w:rsidRPr="00D349AA" w:rsidRDefault="00D92241" w:rsidP="00831A6D">
      <w:pPr>
        <w:spacing w:line="480" w:lineRule="auto"/>
        <w:rPr>
          <w:rFonts w:ascii="Arial" w:hAnsi="Arial" w:cs="Arial"/>
          <w:szCs w:val="24"/>
        </w:rPr>
      </w:pPr>
    </w:p>
    <w:p w14:paraId="6454E5B3" w14:textId="77777777" w:rsidR="000437FE" w:rsidRPr="00D349AA" w:rsidRDefault="000437FE" w:rsidP="002F73F5">
      <w:pPr>
        <w:spacing w:line="480" w:lineRule="auto"/>
        <w:rPr>
          <w:rFonts w:ascii="Arial" w:hAnsi="Arial" w:cs="Arial"/>
          <w:szCs w:val="24"/>
        </w:rPr>
      </w:pPr>
    </w:p>
    <w:p w14:paraId="3A86B486" w14:textId="77777777" w:rsidR="008125F0" w:rsidRPr="00D349AA" w:rsidRDefault="00EB264E" w:rsidP="008125F0">
      <w:pPr>
        <w:spacing w:line="480" w:lineRule="auto"/>
        <w:rPr>
          <w:rFonts w:ascii="Arial" w:hAnsi="Arial" w:cs="Arial"/>
          <w:szCs w:val="24"/>
        </w:rPr>
      </w:pPr>
      <w:bookmarkStart w:id="6" w:name="_Toc221201960"/>
      <w:r w:rsidRPr="00D349AA">
        <w:rPr>
          <w:rStyle w:val="Heading1Char"/>
          <w:rFonts w:ascii="Arial" w:hAnsi="Arial" w:cs="Arial"/>
          <w:b/>
          <w:bCs/>
          <w:color w:val="auto"/>
          <w:sz w:val="24"/>
          <w:szCs w:val="24"/>
        </w:rPr>
        <w:t>6</w:t>
      </w:r>
      <w:r w:rsidR="00F11085" w:rsidRPr="00D349AA">
        <w:rPr>
          <w:rStyle w:val="Heading1Char"/>
          <w:rFonts w:ascii="Arial" w:hAnsi="Arial" w:cs="Arial"/>
          <w:b/>
          <w:bCs/>
          <w:color w:val="auto"/>
          <w:sz w:val="24"/>
          <w:szCs w:val="24"/>
        </w:rPr>
        <w:t>. Conclusion</w:t>
      </w:r>
      <w:bookmarkEnd w:id="6"/>
      <w:r w:rsidR="00F11085" w:rsidRPr="00D349AA">
        <w:rPr>
          <w:rFonts w:ascii="Arial" w:hAnsi="Arial" w:cs="Arial"/>
          <w:b/>
          <w:bCs/>
          <w:szCs w:val="24"/>
        </w:rPr>
        <w:t xml:space="preserve"> </w:t>
      </w:r>
      <w:r w:rsidR="00F11085" w:rsidRPr="00D349AA">
        <w:rPr>
          <w:rFonts w:ascii="Arial" w:hAnsi="Arial" w:cs="Arial"/>
          <w:szCs w:val="24"/>
        </w:rPr>
        <w:br/>
      </w:r>
      <w:bookmarkStart w:id="7" w:name="_Toc221201961"/>
      <w:r w:rsidR="008125F0" w:rsidRPr="00D349AA">
        <w:rPr>
          <w:rFonts w:ascii="Arial" w:hAnsi="Arial" w:cs="Arial"/>
          <w:szCs w:val="24"/>
        </w:rPr>
        <w:t xml:space="preserve">This assignment has examined the role of consumer protection laws in the tourism industry, demonstrating their critical importance in safeguarding </w:t>
      </w:r>
      <w:proofErr w:type="spellStart"/>
      <w:r w:rsidR="008125F0" w:rsidRPr="00D349AA">
        <w:rPr>
          <w:rFonts w:ascii="Arial" w:hAnsi="Arial" w:cs="Arial"/>
          <w:szCs w:val="24"/>
        </w:rPr>
        <w:t>travelers’</w:t>
      </w:r>
      <w:proofErr w:type="spellEnd"/>
      <w:r w:rsidR="008125F0" w:rsidRPr="00D349AA">
        <w:rPr>
          <w:rFonts w:ascii="Arial" w:hAnsi="Arial" w:cs="Arial"/>
          <w:szCs w:val="24"/>
        </w:rPr>
        <w:t xml:space="preserve"> rights and ensuring fair market practices. Tourism consumers face heightened risks due to advance payment requirements, reliance on promotional information, and cross-border service delivery. These structural characteristics make traditional contract law insufficient on its own, necessitating robust statutory consumer protection frameworks.</w:t>
      </w:r>
    </w:p>
    <w:p w14:paraId="5CC83FA3" w14:textId="77777777" w:rsidR="008125F0" w:rsidRPr="008125F0" w:rsidRDefault="008125F0" w:rsidP="008125F0">
      <w:pPr>
        <w:spacing w:line="480" w:lineRule="auto"/>
        <w:rPr>
          <w:rFonts w:ascii="Arial" w:hAnsi="Arial" w:cs="Arial"/>
          <w:szCs w:val="24"/>
        </w:rPr>
      </w:pPr>
      <w:r w:rsidRPr="008125F0">
        <w:rPr>
          <w:rFonts w:ascii="Arial" w:hAnsi="Arial" w:cs="Arial"/>
          <w:szCs w:val="24"/>
        </w:rPr>
        <w:t xml:space="preserve">The analysis confirms that consumer protection laws play a vital role in addressing misleading advertising, unfair pricing practices, and unsafe tourism services. Regulatory frameworks governing package travel, transparency, and service quality strengthen </w:t>
      </w:r>
      <w:r w:rsidRPr="008125F0">
        <w:rPr>
          <w:rFonts w:ascii="Arial" w:hAnsi="Arial" w:cs="Arial"/>
          <w:szCs w:val="24"/>
        </w:rPr>
        <w:lastRenderedPageBreak/>
        <w:t>consumer confidence by assigning clear responsibilities to tourism service providers and ensuring access to effective remedies. In doing so, these laws correct power imbalances between businesses and consumers and promote ethical conduct across the tourism sector.</w:t>
      </w:r>
    </w:p>
    <w:p w14:paraId="093E2A95" w14:textId="77777777" w:rsidR="008125F0" w:rsidRPr="008125F0" w:rsidRDefault="008125F0" w:rsidP="008125F0">
      <w:pPr>
        <w:spacing w:line="480" w:lineRule="auto"/>
        <w:rPr>
          <w:rFonts w:ascii="Arial" w:hAnsi="Arial" w:cs="Arial"/>
          <w:szCs w:val="24"/>
        </w:rPr>
      </w:pPr>
      <w:r w:rsidRPr="008125F0">
        <w:rPr>
          <w:rFonts w:ascii="Arial" w:hAnsi="Arial" w:cs="Arial"/>
          <w:szCs w:val="24"/>
        </w:rPr>
        <w:t>The discussion further highlights that while enhanced consumer protection imposes greater compliance obligations on tourism businesses, such regulation is essential for long-term market integrity and sustainability. Alternative dispute resolution mechanisms also contribute to efficient redress, provided they are supported by safeguards that ensure fairness and accessibility.</w:t>
      </w:r>
    </w:p>
    <w:p w14:paraId="30F44BDB" w14:textId="77777777" w:rsidR="008125F0" w:rsidRPr="008125F0" w:rsidRDefault="008125F0" w:rsidP="008125F0">
      <w:pPr>
        <w:spacing w:line="480" w:lineRule="auto"/>
        <w:rPr>
          <w:rFonts w:ascii="Arial" w:hAnsi="Arial" w:cs="Arial"/>
          <w:szCs w:val="24"/>
        </w:rPr>
      </w:pPr>
      <w:r w:rsidRPr="008125F0">
        <w:rPr>
          <w:rFonts w:ascii="Arial" w:hAnsi="Arial" w:cs="Arial"/>
          <w:szCs w:val="24"/>
        </w:rPr>
        <w:t xml:space="preserve">Overall, consumer protection laws function as both preventive and corrective mechanisms within tourism markets. As tourism continues to evolve through digitalisation and global uncertainty, adaptable and well-enforced consumer protection frameworks will remain fundamental to protecting </w:t>
      </w:r>
      <w:proofErr w:type="spellStart"/>
      <w:r w:rsidRPr="008125F0">
        <w:rPr>
          <w:rFonts w:ascii="Arial" w:hAnsi="Arial" w:cs="Arial"/>
          <w:szCs w:val="24"/>
        </w:rPr>
        <w:t>travelers</w:t>
      </w:r>
      <w:proofErr w:type="spellEnd"/>
      <w:r w:rsidRPr="008125F0">
        <w:rPr>
          <w:rFonts w:ascii="Arial" w:hAnsi="Arial" w:cs="Arial"/>
          <w:szCs w:val="24"/>
        </w:rPr>
        <w:t xml:space="preserve"> and supporting sustainable tourism development.</w:t>
      </w:r>
    </w:p>
    <w:p w14:paraId="6C251984" w14:textId="77777777" w:rsidR="00C06DEB" w:rsidRPr="00D349AA" w:rsidRDefault="00C06DEB" w:rsidP="00C06DEB">
      <w:pPr>
        <w:spacing w:line="480" w:lineRule="auto"/>
        <w:rPr>
          <w:rFonts w:ascii="Arial" w:hAnsi="Arial" w:cs="Arial"/>
          <w:b/>
          <w:bCs/>
          <w:szCs w:val="24"/>
        </w:rPr>
      </w:pPr>
    </w:p>
    <w:p w14:paraId="0881047A" w14:textId="49F23697" w:rsidR="004D7D13" w:rsidRPr="00D349AA" w:rsidRDefault="004D7D13" w:rsidP="00C06DEB">
      <w:pPr>
        <w:spacing w:line="480" w:lineRule="auto"/>
        <w:rPr>
          <w:rFonts w:ascii="Arial" w:hAnsi="Arial" w:cs="Arial"/>
          <w:b/>
          <w:bCs/>
          <w:szCs w:val="24"/>
        </w:rPr>
      </w:pPr>
      <w:r w:rsidRPr="00D349AA">
        <w:rPr>
          <w:rFonts w:ascii="Arial" w:hAnsi="Arial" w:cs="Arial"/>
          <w:b/>
          <w:bCs/>
          <w:szCs w:val="24"/>
        </w:rPr>
        <w:t>Reference List</w:t>
      </w:r>
      <w:bookmarkEnd w:id="7"/>
      <w:r w:rsidRPr="00D349AA">
        <w:rPr>
          <w:rFonts w:ascii="Arial" w:hAnsi="Arial" w:cs="Arial"/>
          <w:b/>
          <w:bCs/>
          <w:szCs w:val="24"/>
        </w:rPr>
        <w:t xml:space="preserve"> </w:t>
      </w:r>
    </w:p>
    <w:p w14:paraId="7E077137" w14:textId="77777777" w:rsidR="008125F0" w:rsidRPr="008125F0" w:rsidRDefault="008125F0" w:rsidP="008125F0">
      <w:pPr>
        <w:spacing w:line="480" w:lineRule="auto"/>
        <w:rPr>
          <w:rFonts w:ascii="Arial" w:hAnsi="Arial" w:cs="Arial"/>
          <w:szCs w:val="24"/>
        </w:rPr>
      </w:pPr>
      <w:proofErr w:type="spellStart"/>
      <w:r w:rsidRPr="008125F0">
        <w:rPr>
          <w:rFonts w:ascii="Arial" w:hAnsi="Arial" w:cs="Arial"/>
          <w:szCs w:val="24"/>
        </w:rPr>
        <w:t>Dolnicar</w:t>
      </w:r>
      <w:proofErr w:type="spellEnd"/>
      <w:r w:rsidRPr="008125F0">
        <w:rPr>
          <w:rFonts w:ascii="Arial" w:hAnsi="Arial" w:cs="Arial"/>
          <w:szCs w:val="24"/>
        </w:rPr>
        <w:t xml:space="preserve">, S. (2019). A review of research into paid online reviews. </w:t>
      </w:r>
      <w:r w:rsidRPr="008125F0">
        <w:rPr>
          <w:rFonts w:ascii="Arial" w:hAnsi="Arial" w:cs="Arial"/>
          <w:i/>
          <w:iCs/>
          <w:szCs w:val="24"/>
        </w:rPr>
        <w:t>Journal of Travel Research, 58</w:t>
      </w:r>
      <w:r w:rsidRPr="008125F0">
        <w:rPr>
          <w:rFonts w:ascii="Arial" w:hAnsi="Arial" w:cs="Arial"/>
          <w:szCs w:val="24"/>
        </w:rPr>
        <w:t>(2), 255–269. https://doi.org/10.1177/0047287517746018</w:t>
      </w:r>
    </w:p>
    <w:p w14:paraId="7E8F3D18" w14:textId="77777777" w:rsidR="008125F0" w:rsidRPr="008125F0" w:rsidRDefault="008125F0" w:rsidP="008125F0">
      <w:pPr>
        <w:spacing w:line="480" w:lineRule="auto"/>
        <w:rPr>
          <w:rFonts w:ascii="Arial" w:hAnsi="Arial" w:cs="Arial"/>
          <w:szCs w:val="24"/>
        </w:rPr>
      </w:pPr>
      <w:r w:rsidRPr="008125F0">
        <w:rPr>
          <w:rFonts w:ascii="Arial" w:hAnsi="Arial" w:cs="Arial"/>
          <w:szCs w:val="24"/>
        </w:rPr>
        <w:t xml:space="preserve">Howells, G., Ramsay, I., &amp; Wilhelmsson, T. (2018). </w:t>
      </w:r>
      <w:r w:rsidRPr="008125F0">
        <w:rPr>
          <w:rFonts w:ascii="Arial" w:hAnsi="Arial" w:cs="Arial"/>
          <w:i/>
          <w:iCs/>
          <w:szCs w:val="24"/>
        </w:rPr>
        <w:t>Handbook of research on international consumer law</w:t>
      </w:r>
      <w:r w:rsidRPr="008125F0">
        <w:rPr>
          <w:rFonts w:ascii="Arial" w:hAnsi="Arial" w:cs="Arial"/>
          <w:szCs w:val="24"/>
        </w:rPr>
        <w:t xml:space="preserve"> (2nd ed.). Edward Elgar Publishing. https://doi.org/10.4337/9781785366544</w:t>
      </w:r>
    </w:p>
    <w:p w14:paraId="5827B422" w14:textId="77777777" w:rsidR="008125F0" w:rsidRPr="008125F0" w:rsidRDefault="008125F0" w:rsidP="008125F0">
      <w:pPr>
        <w:spacing w:line="480" w:lineRule="auto"/>
        <w:rPr>
          <w:rFonts w:ascii="Arial" w:hAnsi="Arial" w:cs="Arial"/>
          <w:szCs w:val="24"/>
        </w:rPr>
      </w:pPr>
      <w:r w:rsidRPr="008125F0">
        <w:rPr>
          <w:rFonts w:ascii="Arial" w:hAnsi="Arial" w:cs="Arial"/>
          <w:szCs w:val="24"/>
        </w:rPr>
        <w:lastRenderedPageBreak/>
        <w:t xml:space="preserve">Lohmann, G., &amp; Netto, A. P. (2016). </w:t>
      </w:r>
      <w:r w:rsidRPr="008125F0">
        <w:rPr>
          <w:rFonts w:ascii="Arial" w:hAnsi="Arial" w:cs="Arial"/>
          <w:i/>
          <w:iCs/>
          <w:szCs w:val="24"/>
        </w:rPr>
        <w:t>Tourism theory: Concepts, models and systems</w:t>
      </w:r>
      <w:r w:rsidRPr="008125F0">
        <w:rPr>
          <w:rFonts w:ascii="Arial" w:hAnsi="Arial" w:cs="Arial"/>
          <w:szCs w:val="24"/>
        </w:rPr>
        <w:t>. CABI. https://doi.org/10.1079/9781780646504.0000</w:t>
      </w:r>
    </w:p>
    <w:p w14:paraId="06366448" w14:textId="77777777" w:rsidR="008125F0" w:rsidRPr="008125F0" w:rsidRDefault="008125F0" w:rsidP="008125F0">
      <w:pPr>
        <w:spacing w:line="480" w:lineRule="auto"/>
        <w:rPr>
          <w:rFonts w:ascii="Arial" w:hAnsi="Arial" w:cs="Arial"/>
          <w:szCs w:val="24"/>
        </w:rPr>
      </w:pPr>
      <w:r w:rsidRPr="008125F0">
        <w:rPr>
          <w:rFonts w:ascii="Arial" w:hAnsi="Arial" w:cs="Arial"/>
          <w:szCs w:val="24"/>
        </w:rPr>
        <w:t xml:space="preserve">Micklitz, H.-W. (2015). </w:t>
      </w:r>
      <w:r w:rsidRPr="008125F0">
        <w:rPr>
          <w:rFonts w:ascii="Arial" w:hAnsi="Arial" w:cs="Arial"/>
          <w:i/>
          <w:iCs/>
          <w:szCs w:val="24"/>
        </w:rPr>
        <w:t>The politics of consumer rights</w:t>
      </w:r>
      <w:r w:rsidRPr="008125F0">
        <w:rPr>
          <w:rFonts w:ascii="Arial" w:hAnsi="Arial" w:cs="Arial"/>
          <w:szCs w:val="24"/>
        </w:rPr>
        <w:t>. Cambridge University Press. https://doi.org/10.1017/CBO9781316104306</w:t>
      </w:r>
    </w:p>
    <w:p w14:paraId="6FB1CF28" w14:textId="77777777" w:rsidR="008125F0" w:rsidRPr="008125F0" w:rsidRDefault="008125F0" w:rsidP="008125F0">
      <w:pPr>
        <w:spacing w:line="480" w:lineRule="auto"/>
        <w:rPr>
          <w:rFonts w:ascii="Arial" w:hAnsi="Arial" w:cs="Arial"/>
          <w:szCs w:val="24"/>
        </w:rPr>
      </w:pPr>
      <w:r w:rsidRPr="008125F0">
        <w:rPr>
          <w:rFonts w:ascii="Arial" w:hAnsi="Arial" w:cs="Arial"/>
          <w:szCs w:val="24"/>
        </w:rPr>
        <w:t xml:space="preserve">OECD. (2020). </w:t>
      </w:r>
      <w:r w:rsidRPr="008125F0">
        <w:rPr>
          <w:rFonts w:ascii="Arial" w:hAnsi="Arial" w:cs="Arial"/>
          <w:i/>
          <w:iCs/>
          <w:szCs w:val="24"/>
        </w:rPr>
        <w:t>Consumer policy and fraud: Global perspectives</w:t>
      </w:r>
      <w:r w:rsidRPr="008125F0">
        <w:rPr>
          <w:rFonts w:ascii="Arial" w:hAnsi="Arial" w:cs="Arial"/>
          <w:szCs w:val="24"/>
        </w:rPr>
        <w:t xml:space="preserve">. Organisation for Economic Co-operation and Development. </w:t>
      </w:r>
      <w:hyperlink r:id="rId8" w:tgtFrame="_new" w:history="1">
        <w:r w:rsidRPr="008125F0">
          <w:rPr>
            <w:rStyle w:val="Hyperlink"/>
            <w:rFonts w:ascii="Arial" w:hAnsi="Arial" w:cs="Arial"/>
            <w:szCs w:val="24"/>
          </w:rPr>
          <w:t>https://www.oecd.org</w:t>
        </w:r>
      </w:hyperlink>
    </w:p>
    <w:p w14:paraId="136529CB" w14:textId="77777777" w:rsidR="008125F0" w:rsidRPr="008125F0" w:rsidRDefault="008125F0" w:rsidP="008125F0">
      <w:pPr>
        <w:spacing w:line="480" w:lineRule="auto"/>
        <w:rPr>
          <w:rFonts w:ascii="Arial" w:hAnsi="Arial" w:cs="Arial"/>
          <w:szCs w:val="24"/>
        </w:rPr>
      </w:pPr>
      <w:proofErr w:type="spellStart"/>
      <w:r w:rsidRPr="008125F0">
        <w:rPr>
          <w:rFonts w:ascii="Arial" w:hAnsi="Arial" w:cs="Arial"/>
          <w:szCs w:val="24"/>
        </w:rPr>
        <w:t>Pizam</w:t>
      </w:r>
      <w:proofErr w:type="spellEnd"/>
      <w:r w:rsidRPr="008125F0">
        <w:rPr>
          <w:rFonts w:ascii="Arial" w:hAnsi="Arial" w:cs="Arial"/>
          <w:szCs w:val="24"/>
        </w:rPr>
        <w:t xml:space="preserve">, A., &amp; Mansfeld, Y. (2016). </w:t>
      </w:r>
      <w:r w:rsidRPr="008125F0">
        <w:rPr>
          <w:rFonts w:ascii="Arial" w:hAnsi="Arial" w:cs="Arial"/>
          <w:i/>
          <w:iCs/>
          <w:szCs w:val="24"/>
        </w:rPr>
        <w:t>Tourism, crime and international security issues</w:t>
      </w:r>
      <w:r w:rsidRPr="008125F0">
        <w:rPr>
          <w:rFonts w:ascii="Arial" w:hAnsi="Arial" w:cs="Arial"/>
          <w:szCs w:val="24"/>
        </w:rPr>
        <w:t>. Wiley. https://doi.org/10.1002/9781118923986</w:t>
      </w:r>
    </w:p>
    <w:p w14:paraId="2B0118C1" w14:textId="77777777" w:rsidR="008125F0" w:rsidRPr="008125F0" w:rsidRDefault="008125F0" w:rsidP="008125F0">
      <w:pPr>
        <w:spacing w:line="480" w:lineRule="auto"/>
        <w:rPr>
          <w:rFonts w:ascii="Arial" w:hAnsi="Arial" w:cs="Arial"/>
          <w:szCs w:val="24"/>
        </w:rPr>
      </w:pPr>
      <w:r w:rsidRPr="008125F0">
        <w:rPr>
          <w:rFonts w:ascii="Arial" w:hAnsi="Arial" w:cs="Arial"/>
          <w:szCs w:val="24"/>
        </w:rPr>
        <w:t xml:space="preserve">Ramsay, I. (2012). </w:t>
      </w:r>
      <w:r w:rsidRPr="008125F0">
        <w:rPr>
          <w:rFonts w:ascii="Arial" w:hAnsi="Arial" w:cs="Arial"/>
          <w:i/>
          <w:iCs/>
          <w:szCs w:val="24"/>
        </w:rPr>
        <w:t>Consumer law and policy: Text and materials</w:t>
      </w:r>
      <w:r w:rsidRPr="008125F0">
        <w:rPr>
          <w:rFonts w:ascii="Arial" w:hAnsi="Arial" w:cs="Arial"/>
          <w:szCs w:val="24"/>
        </w:rPr>
        <w:t xml:space="preserve"> (3rd ed.). Hart Publishing.</w:t>
      </w:r>
    </w:p>
    <w:p w14:paraId="641F6CF1" w14:textId="77777777" w:rsidR="008125F0" w:rsidRPr="008125F0" w:rsidRDefault="008125F0" w:rsidP="008125F0">
      <w:pPr>
        <w:spacing w:line="480" w:lineRule="auto"/>
        <w:rPr>
          <w:rFonts w:ascii="Arial" w:hAnsi="Arial" w:cs="Arial"/>
          <w:szCs w:val="24"/>
        </w:rPr>
      </w:pPr>
      <w:r w:rsidRPr="008125F0">
        <w:rPr>
          <w:rFonts w:ascii="Arial" w:hAnsi="Arial" w:cs="Arial"/>
          <w:szCs w:val="24"/>
        </w:rPr>
        <w:t xml:space="preserve">Santos, J. A. C., &amp; Basso, K. (2019). Price transparency and consumer trust in tourism services. </w:t>
      </w:r>
      <w:r w:rsidRPr="008125F0">
        <w:rPr>
          <w:rFonts w:ascii="Arial" w:hAnsi="Arial" w:cs="Arial"/>
          <w:i/>
          <w:iCs/>
          <w:szCs w:val="24"/>
        </w:rPr>
        <w:t>Tourism Economics, 25</w:t>
      </w:r>
      <w:r w:rsidRPr="008125F0">
        <w:rPr>
          <w:rFonts w:ascii="Arial" w:hAnsi="Arial" w:cs="Arial"/>
          <w:szCs w:val="24"/>
        </w:rPr>
        <w:t>(4), 605–623. https://doi.org/10.1177/1354816618796107</w:t>
      </w:r>
    </w:p>
    <w:p w14:paraId="24A348AC" w14:textId="77777777" w:rsidR="008125F0" w:rsidRPr="008125F0" w:rsidRDefault="008125F0" w:rsidP="008125F0">
      <w:pPr>
        <w:spacing w:line="480" w:lineRule="auto"/>
        <w:rPr>
          <w:rFonts w:ascii="Arial" w:hAnsi="Arial" w:cs="Arial"/>
          <w:szCs w:val="24"/>
        </w:rPr>
      </w:pPr>
      <w:r w:rsidRPr="008125F0">
        <w:rPr>
          <w:rFonts w:ascii="Arial" w:hAnsi="Arial" w:cs="Arial"/>
          <w:szCs w:val="24"/>
        </w:rPr>
        <w:t xml:space="preserve">Sigala, M. (2018). Market formation in the sharing economy. </w:t>
      </w:r>
      <w:r w:rsidRPr="008125F0">
        <w:rPr>
          <w:rFonts w:ascii="Arial" w:hAnsi="Arial" w:cs="Arial"/>
          <w:i/>
          <w:iCs/>
          <w:szCs w:val="24"/>
        </w:rPr>
        <w:t>Electronic Markets, 28</w:t>
      </w:r>
      <w:r w:rsidRPr="008125F0">
        <w:rPr>
          <w:rFonts w:ascii="Arial" w:hAnsi="Arial" w:cs="Arial"/>
          <w:szCs w:val="24"/>
        </w:rPr>
        <w:t>(4), 371–379. https://doi.org/10.1007/s12525-018-0301-0</w:t>
      </w:r>
    </w:p>
    <w:p w14:paraId="2727B046" w14:textId="77777777" w:rsidR="008125F0" w:rsidRPr="008125F0" w:rsidRDefault="008125F0" w:rsidP="008125F0">
      <w:pPr>
        <w:spacing w:line="480" w:lineRule="auto"/>
        <w:rPr>
          <w:rFonts w:ascii="Arial" w:hAnsi="Arial" w:cs="Arial"/>
          <w:szCs w:val="24"/>
        </w:rPr>
      </w:pPr>
      <w:r w:rsidRPr="008125F0">
        <w:rPr>
          <w:rFonts w:ascii="Arial" w:hAnsi="Arial" w:cs="Arial"/>
          <w:szCs w:val="24"/>
        </w:rPr>
        <w:t xml:space="preserve">Spencer, J. (2020). Consumer redress mechanisms in tourism services. </w:t>
      </w:r>
      <w:r w:rsidRPr="008125F0">
        <w:rPr>
          <w:rFonts w:ascii="Arial" w:hAnsi="Arial" w:cs="Arial"/>
          <w:i/>
          <w:iCs/>
          <w:szCs w:val="24"/>
        </w:rPr>
        <w:t>International Journal of Consumer Studies, 44</w:t>
      </w:r>
      <w:r w:rsidRPr="008125F0">
        <w:rPr>
          <w:rFonts w:ascii="Arial" w:hAnsi="Arial" w:cs="Arial"/>
          <w:szCs w:val="24"/>
        </w:rPr>
        <w:t>(3), 247–258. https://doi.org/10.1111/ijcs.12563</w:t>
      </w:r>
    </w:p>
    <w:p w14:paraId="38A23357" w14:textId="77777777" w:rsidR="008125F0" w:rsidRPr="008125F0" w:rsidRDefault="008125F0" w:rsidP="008125F0">
      <w:pPr>
        <w:spacing w:line="480" w:lineRule="auto"/>
        <w:rPr>
          <w:rFonts w:ascii="Arial" w:hAnsi="Arial" w:cs="Arial"/>
          <w:szCs w:val="24"/>
        </w:rPr>
      </w:pPr>
      <w:r w:rsidRPr="008125F0">
        <w:rPr>
          <w:rFonts w:ascii="Arial" w:hAnsi="Arial" w:cs="Arial"/>
          <w:szCs w:val="24"/>
        </w:rPr>
        <w:t xml:space="preserve">UN World Tourism Organization. (2021). </w:t>
      </w:r>
      <w:r w:rsidRPr="008125F0">
        <w:rPr>
          <w:rFonts w:ascii="Arial" w:hAnsi="Arial" w:cs="Arial"/>
          <w:i/>
          <w:iCs/>
          <w:szCs w:val="24"/>
        </w:rPr>
        <w:t>International code for the protection of tourists</w:t>
      </w:r>
      <w:r w:rsidRPr="008125F0">
        <w:rPr>
          <w:rFonts w:ascii="Arial" w:hAnsi="Arial" w:cs="Arial"/>
          <w:szCs w:val="24"/>
        </w:rPr>
        <w:t xml:space="preserve">. </w:t>
      </w:r>
      <w:hyperlink r:id="rId9" w:tgtFrame="_new" w:history="1">
        <w:r w:rsidRPr="008125F0">
          <w:rPr>
            <w:rStyle w:val="Hyperlink"/>
            <w:rFonts w:ascii="Arial" w:hAnsi="Arial" w:cs="Arial"/>
            <w:szCs w:val="24"/>
          </w:rPr>
          <w:t>https://www.unwto.org</w:t>
        </w:r>
      </w:hyperlink>
    </w:p>
    <w:p w14:paraId="41985624" w14:textId="77777777" w:rsidR="008125F0" w:rsidRPr="008125F0" w:rsidRDefault="008125F0" w:rsidP="008125F0">
      <w:pPr>
        <w:spacing w:line="480" w:lineRule="auto"/>
        <w:rPr>
          <w:rFonts w:ascii="Arial" w:hAnsi="Arial" w:cs="Arial"/>
          <w:szCs w:val="24"/>
        </w:rPr>
      </w:pPr>
      <w:r w:rsidRPr="008125F0">
        <w:rPr>
          <w:rFonts w:ascii="Arial" w:hAnsi="Arial" w:cs="Arial"/>
          <w:szCs w:val="24"/>
        </w:rPr>
        <w:t xml:space="preserve">Wilks, J., &amp; Pendergast, D. (2017). </w:t>
      </w:r>
      <w:r w:rsidRPr="008125F0">
        <w:rPr>
          <w:rFonts w:ascii="Arial" w:hAnsi="Arial" w:cs="Arial"/>
          <w:i/>
          <w:iCs/>
          <w:szCs w:val="24"/>
        </w:rPr>
        <w:t>Tourism in turbulent times: Towards safe experiences for visitors</w:t>
      </w:r>
      <w:r w:rsidRPr="008125F0">
        <w:rPr>
          <w:rFonts w:ascii="Arial" w:hAnsi="Arial" w:cs="Arial"/>
          <w:szCs w:val="24"/>
        </w:rPr>
        <w:t>. Routledge. https://doi.org/10.4324/9780203786240</w:t>
      </w:r>
    </w:p>
    <w:p w14:paraId="0C2D6C23" w14:textId="77777777" w:rsidR="008125F0" w:rsidRPr="008125F0" w:rsidRDefault="008125F0" w:rsidP="008125F0">
      <w:pPr>
        <w:spacing w:line="480" w:lineRule="auto"/>
        <w:rPr>
          <w:rFonts w:ascii="Arial" w:hAnsi="Arial" w:cs="Arial"/>
          <w:szCs w:val="24"/>
        </w:rPr>
      </w:pPr>
      <w:r w:rsidRPr="008125F0">
        <w:rPr>
          <w:rFonts w:ascii="Arial" w:hAnsi="Arial" w:cs="Arial"/>
          <w:szCs w:val="24"/>
        </w:rPr>
        <w:lastRenderedPageBreak/>
        <w:t xml:space="preserve">Xiang, Z., &amp; </w:t>
      </w:r>
      <w:proofErr w:type="spellStart"/>
      <w:r w:rsidRPr="008125F0">
        <w:rPr>
          <w:rFonts w:ascii="Arial" w:hAnsi="Arial" w:cs="Arial"/>
          <w:szCs w:val="24"/>
        </w:rPr>
        <w:t>Gretzel</w:t>
      </w:r>
      <w:proofErr w:type="spellEnd"/>
      <w:r w:rsidRPr="008125F0">
        <w:rPr>
          <w:rFonts w:ascii="Arial" w:hAnsi="Arial" w:cs="Arial"/>
          <w:szCs w:val="24"/>
        </w:rPr>
        <w:t xml:space="preserve">, U. (2010). Role of social media in online travel information search. </w:t>
      </w:r>
      <w:r w:rsidRPr="008125F0">
        <w:rPr>
          <w:rFonts w:ascii="Arial" w:hAnsi="Arial" w:cs="Arial"/>
          <w:i/>
          <w:iCs/>
          <w:szCs w:val="24"/>
        </w:rPr>
        <w:t>Tourism Management, 31</w:t>
      </w:r>
      <w:r w:rsidRPr="008125F0">
        <w:rPr>
          <w:rFonts w:ascii="Arial" w:hAnsi="Arial" w:cs="Arial"/>
          <w:szCs w:val="24"/>
        </w:rPr>
        <w:t xml:space="preserve">(2), 179–188. </w:t>
      </w:r>
      <w:hyperlink r:id="rId10" w:tgtFrame="_new" w:history="1">
        <w:r w:rsidRPr="008125F0">
          <w:rPr>
            <w:rStyle w:val="Hyperlink"/>
            <w:rFonts w:ascii="Arial" w:hAnsi="Arial" w:cs="Arial"/>
            <w:szCs w:val="24"/>
          </w:rPr>
          <w:t>https://doi.org/10.1016/j.tourman.2009.02.016</w:t>
        </w:r>
      </w:hyperlink>
    </w:p>
    <w:p w14:paraId="459A3203" w14:textId="77777777" w:rsidR="008125F0" w:rsidRPr="008125F0" w:rsidRDefault="008125F0" w:rsidP="008125F0">
      <w:pPr>
        <w:spacing w:line="480" w:lineRule="auto"/>
        <w:rPr>
          <w:rFonts w:ascii="Arial" w:hAnsi="Arial" w:cs="Arial"/>
          <w:szCs w:val="24"/>
        </w:rPr>
      </w:pPr>
      <w:r w:rsidRPr="008125F0">
        <w:rPr>
          <w:rFonts w:ascii="Arial" w:hAnsi="Arial" w:cs="Arial"/>
          <w:szCs w:val="24"/>
        </w:rPr>
        <w:t xml:space="preserve">Zhang, M., &amp; Cole, S. (2016). Tourism and consumer vulnerability. </w:t>
      </w:r>
      <w:r w:rsidRPr="008125F0">
        <w:rPr>
          <w:rFonts w:ascii="Arial" w:hAnsi="Arial" w:cs="Arial"/>
          <w:i/>
          <w:iCs/>
          <w:szCs w:val="24"/>
        </w:rPr>
        <w:t>Annals of Tourism Research, 61</w:t>
      </w:r>
      <w:r w:rsidRPr="008125F0">
        <w:rPr>
          <w:rFonts w:ascii="Arial" w:hAnsi="Arial" w:cs="Arial"/>
          <w:szCs w:val="24"/>
        </w:rPr>
        <w:t>, 94–108. https://doi.org/10.1016/j.annals.2016.08.004</w:t>
      </w:r>
    </w:p>
    <w:p w14:paraId="477D78E0" w14:textId="77777777" w:rsidR="008125F0" w:rsidRPr="008125F0" w:rsidRDefault="008125F0" w:rsidP="008125F0">
      <w:pPr>
        <w:spacing w:line="480" w:lineRule="auto"/>
        <w:rPr>
          <w:rFonts w:ascii="Arial" w:hAnsi="Arial" w:cs="Arial"/>
          <w:szCs w:val="24"/>
        </w:rPr>
      </w:pPr>
      <w:r w:rsidRPr="008125F0">
        <w:rPr>
          <w:rFonts w:ascii="Arial" w:hAnsi="Arial" w:cs="Arial"/>
          <w:szCs w:val="24"/>
        </w:rPr>
        <w:t xml:space="preserve">European Parliament. (2020). </w:t>
      </w:r>
      <w:r w:rsidRPr="008125F0">
        <w:rPr>
          <w:rFonts w:ascii="Arial" w:hAnsi="Arial" w:cs="Arial"/>
          <w:i/>
          <w:iCs/>
          <w:szCs w:val="24"/>
        </w:rPr>
        <w:t>Consumer protection in the digital single market</w:t>
      </w:r>
      <w:r w:rsidRPr="008125F0">
        <w:rPr>
          <w:rFonts w:ascii="Arial" w:hAnsi="Arial" w:cs="Arial"/>
          <w:szCs w:val="24"/>
        </w:rPr>
        <w:t xml:space="preserve">. </w:t>
      </w:r>
      <w:hyperlink r:id="rId11" w:tgtFrame="_new" w:history="1">
        <w:r w:rsidRPr="008125F0">
          <w:rPr>
            <w:rStyle w:val="Hyperlink"/>
            <w:rFonts w:ascii="Arial" w:hAnsi="Arial" w:cs="Arial"/>
            <w:szCs w:val="24"/>
          </w:rPr>
          <w:t>https://www.europarl.europa.eu</w:t>
        </w:r>
      </w:hyperlink>
    </w:p>
    <w:p w14:paraId="18D123F1" w14:textId="77777777" w:rsidR="00F11085" w:rsidRPr="00D349AA" w:rsidRDefault="00F11085" w:rsidP="008125F0">
      <w:pPr>
        <w:spacing w:line="480" w:lineRule="auto"/>
        <w:rPr>
          <w:rFonts w:ascii="Arial" w:hAnsi="Arial" w:cs="Arial"/>
          <w:szCs w:val="24"/>
          <w:lang w:val="en-US"/>
        </w:rPr>
      </w:pPr>
    </w:p>
    <w:sectPr w:rsidR="00F11085" w:rsidRPr="00D349A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858C1"/>
    <w:multiLevelType w:val="hybridMultilevel"/>
    <w:tmpl w:val="680E4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47248"/>
    <w:multiLevelType w:val="hybridMultilevel"/>
    <w:tmpl w:val="EB14F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1C3E6A"/>
    <w:multiLevelType w:val="hybridMultilevel"/>
    <w:tmpl w:val="66F0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89667E"/>
    <w:multiLevelType w:val="hybridMultilevel"/>
    <w:tmpl w:val="9666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7849A7"/>
    <w:multiLevelType w:val="hybridMultilevel"/>
    <w:tmpl w:val="A8CC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FE333F"/>
    <w:multiLevelType w:val="hybridMultilevel"/>
    <w:tmpl w:val="8584A8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3E1195"/>
    <w:multiLevelType w:val="hybridMultilevel"/>
    <w:tmpl w:val="624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38D0B9A"/>
    <w:multiLevelType w:val="hybridMultilevel"/>
    <w:tmpl w:val="7504AA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B5515D8"/>
    <w:multiLevelType w:val="multilevel"/>
    <w:tmpl w:val="49A46B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2F527CD"/>
    <w:multiLevelType w:val="hybridMultilevel"/>
    <w:tmpl w:val="23A8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3B6116C"/>
    <w:multiLevelType w:val="hybridMultilevel"/>
    <w:tmpl w:val="17D48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59D0BE3"/>
    <w:multiLevelType w:val="hybridMultilevel"/>
    <w:tmpl w:val="8550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FF97EC3"/>
    <w:multiLevelType w:val="hybridMultilevel"/>
    <w:tmpl w:val="C50A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4035971"/>
    <w:multiLevelType w:val="hybridMultilevel"/>
    <w:tmpl w:val="3A54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4250C54"/>
    <w:multiLevelType w:val="multilevel"/>
    <w:tmpl w:val="6658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BC92737"/>
    <w:multiLevelType w:val="hybridMultilevel"/>
    <w:tmpl w:val="7C320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57A792A"/>
    <w:multiLevelType w:val="hybridMultilevel"/>
    <w:tmpl w:val="478087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AFC2C0F"/>
    <w:multiLevelType w:val="hybridMultilevel"/>
    <w:tmpl w:val="C7AC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D820A8E"/>
    <w:multiLevelType w:val="hybridMultilevel"/>
    <w:tmpl w:val="32B25DD2"/>
    <w:lvl w:ilvl="0" w:tplc="19321710">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61505EE"/>
    <w:multiLevelType w:val="hybridMultilevel"/>
    <w:tmpl w:val="3140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63671EC"/>
    <w:multiLevelType w:val="hybridMultilevel"/>
    <w:tmpl w:val="6DD02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65F27C2"/>
    <w:multiLevelType w:val="hybridMultilevel"/>
    <w:tmpl w:val="D6FA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88C236F"/>
    <w:multiLevelType w:val="hybridMultilevel"/>
    <w:tmpl w:val="2D0E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A1272E9"/>
    <w:multiLevelType w:val="hybridMultilevel"/>
    <w:tmpl w:val="40DC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A574B63"/>
    <w:multiLevelType w:val="hybridMultilevel"/>
    <w:tmpl w:val="B88A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C634F64"/>
    <w:multiLevelType w:val="multilevel"/>
    <w:tmpl w:val="EA7047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06E0685"/>
    <w:multiLevelType w:val="hybridMultilevel"/>
    <w:tmpl w:val="90A4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1702379"/>
    <w:multiLevelType w:val="multilevel"/>
    <w:tmpl w:val="38765F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3BC4A97"/>
    <w:multiLevelType w:val="hybridMultilevel"/>
    <w:tmpl w:val="26D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6363E09"/>
    <w:multiLevelType w:val="hybridMultilevel"/>
    <w:tmpl w:val="3A924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80D6B68"/>
    <w:multiLevelType w:val="hybridMultilevel"/>
    <w:tmpl w:val="67E0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A9E5FF5"/>
    <w:multiLevelType w:val="hybridMultilevel"/>
    <w:tmpl w:val="1E02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AC34F06"/>
    <w:multiLevelType w:val="hybridMultilevel"/>
    <w:tmpl w:val="9AA4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F960184"/>
    <w:multiLevelType w:val="hybridMultilevel"/>
    <w:tmpl w:val="AC96A2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4" w15:restartNumberingAfterBreak="0">
    <w:nsid w:val="7FE54C0C"/>
    <w:multiLevelType w:val="hybridMultilevel"/>
    <w:tmpl w:val="439E9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527413">
    <w:abstractNumId w:val="14"/>
  </w:num>
  <w:num w:numId="2" w16cid:durableId="1928492258">
    <w:abstractNumId w:val="17"/>
  </w:num>
  <w:num w:numId="3" w16cid:durableId="1950237153">
    <w:abstractNumId w:val="3"/>
  </w:num>
  <w:num w:numId="4" w16cid:durableId="1363168827">
    <w:abstractNumId w:val="22"/>
  </w:num>
  <w:num w:numId="5" w16cid:durableId="357974320">
    <w:abstractNumId w:val="6"/>
  </w:num>
  <w:num w:numId="6" w16cid:durableId="579674841">
    <w:abstractNumId w:val="7"/>
  </w:num>
  <w:num w:numId="7" w16cid:durableId="359084666">
    <w:abstractNumId w:val="5"/>
  </w:num>
  <w:num w:numId="8" w16cid:durableId="1333096502">
    <w:abstractNumId w:val="18"/>
  </w:num>
  <w:num w:numId="9" w16cid:durableId="897087251">
    <w:abstractNumId w:val="24"/>
  </w:num>
  <w:num w:numId="10" w16cid:durableId="1949465594">
    <w:abstractNumId w:val="28"/>
  </w:num>
  <w:num w:numId="11" w16cid:durableId="540483361">
    <w:abstractNumId w:val="21"/>
  </w:num>
  <w:num w:numId="12" w16cid:durableId="949244108">
    <w:abstractNumId w:val="26"/>
  </w:num>
  <w:num w:numId="13" w16cid:durableId="646470493">
    <w:abstractNumId w:val="13"/>
  </w:num>
  <w:num w:numId="14" w16cid:durableId="1633947311">
    <w:abstractNumId w:val="31"/>
  </w:num>
  <w:num w:numId="15" w16cid:durableId="958996080">
    <w:abstractNumId w:val="19"/>
  </w:num>
  <w:num w:numId="16" w16cid:durableId="1218054281">
    <w:abstractNumId w:val="10"/>
  </w:num>
  <w:num w:numId="17" w16cid:durableId="303777591">
    <w:abstractNumId w:val="15"/>
  </w:num>
  <w:num w:numId="18" w16cid:durableId="802387298">
    <w:abstractNumId w:val="29"/>
  </w:num>
  <w:num w:numId="19" w16cid:durableId="1948197075">
    <w:abstractNumId w:val="0"/>
  </w:num>
  <w:num w:numId="20" w16cid:durableId="1655917397">
    <w:abstractNumId w:val="9"/>
  </w:num>
  <w:num w:numId="21" w16cid:durableId="1052074971">
    <w:abstractNumId w:val="2"/>
  </w:num>
  <w:num w:numId="22" w16cid:durableId="98644351">
    <w:abstractNumId w:val="33"/>
  </w:num>
  <w:num w:numId="23" w16cid:durableId="1674335103">
    <w:abstractNumId w:val="34"/>
  </w:num>
  <w:num w:numId="24" w16cid:durableId="1212956802">
    <w:abstractNumId w:val="1"/>
  </w:num>
  <w:num w:numId="25" w16cid:durableId="1806390333">
    <w:abstractNumId w:val="30"/>
  </w:num>
  <w:num w:numId="26" w16cid:durableId="1089423568">
    <w:abstractNumId w:val="4"/>
  </w:num>
  <w:num w:numId="27" w16cid:durableId="1158611673">
    <w:abstractNumId w:val="20"/>
  </w:num>
  <w:num w:numId="28" w16cid:durableId="839468264">
    <w:abstractNumId w:val="11"/>
  </w:num>
  <w:num w:numId="29" w16cid:durableId="1218474286">
    <w:abstractNumId w:val="12"/>
  </w:num>
  <w:num w:numId="30" w16cid:durableId="1486164698">
    <w:abstractNumId w:val="32"/>
  </w:num>
  <w:num w:numId="31" w16cid:durableId="2007511022">
    <w:abstractNumId w:val="23"/>
  </w:num>
  <w:num w:numId="32" w16cid:durableId="1795828787">
    <w:abstractNumId w:val="16"/>
  </w:num>
  <w:num w:numId="33" w16cid:durableId="1348405068">
    <w:abstractNumId w:val="25"/>
  </w:num>
  <w:num w:numId="34" w16cid:durableId="1460762161">
    <w:abstractNumId w:val="27"/>
  </w:num>
  <w:num w:numId="35" w16cid:durableId="202200648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02165"/>
    <w:rsid w:val="00013DBD"/>
    <w:rsid w:val="00023322"/>
    <w:rsid w:val="00030EF9"/>
    <w:rsid w:val="000318AA"/>
    <w:rsid w:val="000437FE"/>
    <w:rsid w:val="00045641"/>
    <w:rsid w:val="000512A3"/>
    <w:rsid w:val="00057821"/>
    <w:rsid w:val="00066DA5"/>
    <w:rsid w:val="00085DFC"/>
    <w:rsid w:val="0009281E"/>
    <w:rsid w:val="00092BBD"/>
    <w:rsid w:val="000C4AFA"/>
    <w:rsid w:val="000D12EF"/>
    <w:rsid w:val="000E04F4"/>
    <w:rsid w:val="000E1A2C"/>
    <w:rsid w:val="000F369F"/>
    <w:rsid w:val="00151724"/>
    <w:rsid w:val="00160E9C"/>
    <w:rsid w:val="00174C04"/>
    <w:rsid w:val="00183304"/>
    <w:rsid w:val="0018722F"/>
    <w:rsid w:val="001F1C7B"/>
    <w:rsid w:val="0023731E"/>
    <w:rsid w:val="00253A27"/>
    <w:rsid w:val="0025617E"/>
    <w:rsid w:val="002576A9"/>
    <w:rsid w:val="00275EAE"/>
    <w:rsid w:val="002F73F5"/>
    <w:rsid w:val="0033247F"/>
    <w:rsid w:val="003457EF"/>
    <w:rsid w:val="00375277"/>
    <w:rsid w:val="00377FF0"/>
    <w:rsid w:val="00394C39"/>
    <w:rsid w:val="003A5BF6"/>
    <w:rsid w:val="00426EA7"/>
    <w:rsid w:val="004543F0"/>
    <w:rsid w:val="00461DBF"/>
    <w:rsid w:val="00496E55"/>
    <w:rsid w:val="004A1F6F"/>
    <w:rsid w:val="004C1220"/>
    <w:rsid w:val="004C34DB"/>
    <w:rsid w:val="004D7D13"/>
    <w:rsid w:val="004E3186"/>
    <w:rsid w:val="004E3D1C"/>
    <w:rsid w:val="005236D9"/>
    <w:rsid w:val="005451DE"/>
    <w:rsid w:val="005636D9"/>
    <w:rsid w:val="00563C07"/>
    <w:rsid w:val="00582227"/>
    <w:rsid w:val="00590878"/>
    <w:rsid w:val="00590BBC"/>
    <w:rsid w:val="005A0794"/>
    <w:rsid w:val="005B0192"/>
    <w:rsid w:val="005C7750"/>
    <w:rsid w:val="00613E81"/>
    <w:rsid w:val="00626634"/>
    <w:rsid w:val="00632ED6"/>
    <w:rsid w:val="00635AB0"/>
    <w:rsid w:val="00654B4B"/>
    <w:rsid w:val="006640E0"/>
    <w:rsid w:val="00664D7C"/>
    <w:rsid w:val="006D483F"/>
    <w:rsid w:val="00714A73"/>
    <w:rsid w:val="007469A5"/>
    <w:rsid w:val="00763D1C"/>
    <w:rsid w:val="00770D56"/>
    <w:rsid w:val="007F2D81"/>
    <w:rsid w:val="00810849"/>
    <w:rsid w:val="008125F0"/>
    <w:rsid w:val="00825AA5"/>
    <w:rsid w:val="008302E2"/>
    <w:rsid w:val="00831A6D"/>
    <w:rsid w:val="00835BAE"/>
    <w:rsid w:val="00843EDD"/>
    <w:rsid w:val="00854D19"/>
    <w:rsid w:val="00857685"/>
    <w:rsid w:val="008649B5"/>
    <w:rsid w:val="0086710E"/>
    <w:rsid w:val="00867CF1"/>
    <w:rsid w:val="008C04A8"/>
    <w:rsid w:val="008C18CC"/>
    <w:rsid w:val="0092274C"/>
    <w:rsid w:val="00933716"/>
    <w:rsid w:val="0095171B"/>
    <w:rsid w:val="0095220B"/>
    <w:rsid w:val="00952A7F"/>
    <w:rsid w:val="009541AC"/>
    <w:rsid w:val="009551BB"/>
    <w:rsid w:val="00976F72"/>
    <w:rsid w:val="00986E2A"/>
    <w:rsid w:val="009D42B4"/>
    <w:rsid w:val="00A22E5D"/>
    <w:rsid w:val="00A433D7"/>
    <w:rsid w:val="00A56F7D"/>
    <w:rsid w:val="00A63241"/>
    <w:rsid w:val="00A76B20"/>
    <w:rsid w:val="00AA1438"/>
    <w:rsid w:val="00AB5112"/>
    <w:rsid w:val="00AD05F9"/>
    <w:rsid w:val="00B02610"/>
    <w:rsid w:val="00B06124"/>
    <w:rsid w:val="00B425D9"/>
    <w:rsid w:val="00B6174C"/>
    <w:rsid w:val="00B75166"/>
    <w:rsid w:val="00BA1A47"/>
    <w:rsid w:val="00BD23A3"/>
    <w:rsid w:val="00BD4725"/>
    <w:rsid w:val="00BE2744"/>
    <w:rsid w:val="00BF0D10"/>
    <w:rsid w:val="00C06DEB"/>
    <w:rsid w:val="00C1597C"/>
    <w:rsid w:val="00C766B3"/>
    <w:rsid w:val="00C82410"/>
    <w:rsid w:val="00CC17BF"/>
    <w:rsid w:val="00CE4EE4"/>
    <w:rsid w:val="00D1330E"/>
    <w:rsid w:val="00D16B77"/>
    <w:rsid w:val="00D33052"/>
    <w:rsid w:val="00D346FC"/>
    <w:rsid w:val="00D349AA"/>
    <w:rsid w:val="00D67892"/>
    <w:rsid w:val="00D74A74"/>
    <w:rsid w:val="00D8310C"/>
    <w:rsid w:val="00D84E95"/>
    <w:rsid w:val="00D92241"/>
    <w:rsid w:val="00DD48B2"/>
    <w:rsid w:val="00DF3FD0"/>
    <w:rsid w:val="00E01C5B"/>
    <w:rsid w:val="00E031DE"/>
    <w:rsid w:val="00E34C40"/>
    <w:rsid w:val="00E47DA5"/>
    <w:rsid w:val="00E65C9D"/>
    <w:rsid w:val="00EA7FD8"/>
    <w:rsid w:val="00EB264E"/>
    <w:rsid w:val="00EB37A9"/>
    <w:rsid w:val="00ED1841"/>
    <w:rsid w:val="00ED24CF"/>
    <w:rsid w:val="00F11085"/>
    <w:rsid w:val="00F20A8A"/>
    <w:rsid w:val="00F33F4A"/>
    <w:rsid w:val="00F43E3F"/>
    <w:rsid w:val="00F72ED2"/>
    <w:rsid w:val="00FB4CC9"/>
    <w:rsid w:val="00FD2546"/>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 w:type="paragraph" w:styleId="NormalWeb">
    <w:name w:val="Normal (Web)"/>
    <w:basedOn w:val="Normal"/>
    <w:uiPriority w:val="99"/>
    <w:semiHidden/>
    <w:unhideWhenUsed/>
    <w:rsid w:val="00F20A8A"/>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ecd.org"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europarl.europa.eu" TargetMode="External"/><Relationship Id="rId5" Type="http://schemas.openxmlformats.org/officeDocument/2006/relationships/webSettings" Target="webSettings.xml"/><Relationship Id="rId10" Type="http://schemas.openxmlformats.org/officeDocument/2006/relationships/hyperlink" Target="https://doi.org/10.1016/j.tourman.2009.02.016" TargetMode="External"/><Relationship Id="rId4" Type="http://schemas.openxmlformats.org/officeDocument/2006/relationships/settings" Target="settings.xml"/><Relationship Id="rId9" Type="http://schemas.openxmlformats.org/officeDocument/2006/relationships/hyperlink" Target="https://www.unwto.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24</Pages>
  <Words>4812</Words>
  <Characters>27434</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Sumit</dc:creator>
  <cp:keywords/>
  <dc:description/>
  <cp:lastModifiedBy>Vanshika (24134918)</cp:lastModifiedBy>
  <cp:revision>2</cp:revision>
  <dcterms:created xsi:type="dcterms:W3CDTF">2026-02-05T13:57:00Z</dcterms:created>
  <dcterms:modified xsi:type="dcterms:W3CDTF">2026-02-05T13:57:00Z</dcterms:modified>
</cp:coreProperties>
</file>