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547E6" w:rsidRPr="00A547E6" w:rsidRDefault="00A547E6" w:rsidP="00A547E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547E6">
        <w:rPr>
          <w:rFonts w:ascii="Times New Roman" w:eastAsia="Times New Roman" w:hAnsi="Times New Roman" w:cs="Times New Roman"/>
          <w:b/>
          <w:bCs/>
          <w:kern w:val="36"/>
          <w:sz w:val="48"/>
          <w:szCs w:val="48"/>
          <w14:ligatures w14:val="none"/>
        </w:rPr>
        <w:t>Cross-Border Health-Safe Tourism Corridor Between Italy and Greece: A Proposal for Pandemic-Resilient Travel</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Student Name:</w:t>
      </w:r>
      <w:r w:rsidRPr="00A547E6">
        <w:rPr>
          <w:rFonts w:ascii="Times New Roman" w:eastAsia="Times New Roman" w:hAnsi="Times New Roman" w:cs="Times New Roman"/>
          <w:kern w:val="0"/>
          <w14:ligatures w14:val="none"/>
        </w:rPr>
        <w:t xml:space="preserve"> </w:t>
      </w:r>
      <w:r w:rsidR="00C261D7" w:rsidRPr="00C261D7">
        <w:rPr>
          <w:rFonts w:ascii="Times New Roman" w:eastAsia="Times New Roman" w:hAnsi="Times New Roman" w:cs="Times New Roman"/>
          <w:kern w:val="0"/>
          <w14:ligatures w14:val="none"/>
        </w:rPr>
        <w:t>GURSEWAK SINGH</w:t>
      </w:r>
      <w:r w:rsidRPr="00A547E6">
        <w:rPr>
          <w:rFonts w:ascii="Times New Roman" w:eastAsia="Times New Roman" w:hAnsi="Times New Roman" w:cs="Times New Roman"/>
          <w:kern w:val="0"/>
          <w14:ligatures w14:val="none"/>
        </w:rPr>
        <w:br/>
      </w:r>
      <w:r w:rsidRPr="00A547E6">
        <w:rPr>
          <w:rFonts w:ascii="Times New Roman" w:eastAsia="Times New Roman" w:hAnsi="Times New Roman" w:cs="Times New Roman"/>
          <w:b/>
          <w:bCs/>
          <w:kern w:val="0"/>
          <w14:ligatures w14:val="none"/>
        </w:rPr>
        <w:t>Student ID:</w:t>
      </w:r>
      <w:r w:rsidRPr="00A547E6">
        <w:rPr>
          <w:rFonts w:ascii="Times New Roman" w:eastAsia="Times New Roman" w:hAnsi="Times New Roman" w:cs="Times New Roman"/>
          <w:kern w:val="0"/>
          <w14:ligatures w14:val="none"/>
        </w:rPr>
        <w:t xml:space="preserve"> </w:t>
      </w:r>
      <w:r w:rsidR="00C261D7" w:rsidRPr="00C261D7">
        <w:rPr>
          <w:rFonts w:ascii="Times New Roman" w:eastAsia="Times New Roman" w:hAnsi="Times New Roman" w:cs="Times New Roman"/>
          <w:kern w:val="0"/>
          <w14:ligatures w14:val="none"/>
        </w:rPr>
        <w:t>DE240017</w:t>
      </w:r>
      <w:r w:rsidRPr="00A547E6">
        <w:rPr>
          <w:rFonts w:ascii="Times New Roman" w:eastAsia="Times New Roman" w:hAnsi="Times New Roman" w:cs="Times New Roman"/>
          <w:kern w:val="0"/>
          <w14:ligatures w14:val="none"/>
        </w:rPr>
        <w:br/>
      </w:r>
      <w:r w:rsidRPr="00A547E6">
        <w:rPr>
          <w:rFonts w:ascii="Times New Roman" w:eastAsia="Times New Roman" w:hAnsi="Times New Roman" w:cs="Times New Roman"/>
          <w:b/>
          <w:bCs/>
          <w:kern w:val="0"/>
          <w14:ligatures w14:val="none"/>
        </w:rPr>
        <w:t>Course:</w:t>
      </w:r>
      <w:r w:rsidRPr="00A547E6">
        <w:rPr>
          <w:rFonts w:ascii="Times New Roman" w:eastAsia="Times New Roman" w:hAnsi="Times New Roman" w:cs="Times New Roman"/>
          <w:kern w:val="0"/>
          <w14:ligatures w14:val="none"/>
        </w:rPr>
        <w:t xml:space="preserve"> Health Threats in Tourism and Recreation</w:t>
      </w:r>
      <w:r w:rsidRPr="00A547E6">
        <w:rPr>
          <w:rFonts w:ascii="Times New Roman" w:eastAsia="Times New Roman" w:hAnsi="Times New Roman" w:cs="Times New Roman"/>
          <w:kern w:val="0"/>
          <w14:ligatures w14:val="none"/>
        </w:rPr>
        <w:br/>
      </w:r>
    </w:p>
    <w:p w:rsidR="00A547E6" w:rsidRPr="00A547E6" w:rsidRDefault="00A547E6" w:rsidP="00A547E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547E6">
        <w:rPr>
          <w:rFonts w:ascii="Times New Roman" w:eastAsia="Times New Roman" w:hAnsi="Times New Roman" w:cs="Times New Roman"/>
          <w:b/>
          <w:bCs/>
          <w:kern w:val="0"/>
          <w:sz w:val="36"/>
          <w:szCs w:val="36"/>
          <w14:ligatures w14:val="none"/>
        </w:rPr>
        <w:t>Table of Contents</w:t>
      </w:r>
    </w:p>
    <w:p w:rsidR="00A547E6" w:rsidRPr="00A547E6" w:rsidRDefault="00A547E6" w:rsidP="00A547E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Abstract</w:t>
      </w:r>
    </w:p>
    <w:p w:rsidR="00A547E6" w:rsidRPr="00A547E6" w:rsidRDefault="00A547E6" w:rsidP="00A547E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Introduction</w:t>
      </w:r>
    </w:p>
    <w:p w:rsidR="00A547E6" w:rsidRPr="00A547E6" w:rsidRDefault="00A547E6" w:rsidP="00A547E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Literature Review</w:t>
      </w:r>
    </w:p>
    <w:p w:rsidR="00A547E6" w:rsidRPr="00A547E6" w:rsidRDefault="00A547E6" w:rsidP="00A547E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Methodology</w:t>
      </w:r>
    </w:p>
    <w:p w:rsidR="00A547E6" w:rsidRPr="00A547E6" w:rsidRDefault="00A547E6" w:rsidP="00A547E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Findings</w:t>
      </w:r>
    </w:p>
    <w:p w:rsidR="00A547E6" w:rsidRPr="00A547E6" w:rsidRDefault="00A547E6" w:rsidP="00A547E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Discussion</w:t>
      </w:r>
    </w:p>
    <w:p w:rsidR="00A547E6" w:rsidRPr="00A547E6" w:rsidRDefault="00A547E6" w:rsidP="00A547E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Conclusion</w:t>
      </w:r>
    </w:p>
    <w:p w:rsidR="00A547E6" w:rsidRPr="00A547E6" w:rsidRDefault="00A547E6" w:rsidP="00A547E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References</w:t>
      </w:r>
    </w:p>
    <w:p w:rsidR="00A547E6" w:rsidRPr="00A547E6" w:rsidRDefault="00A547E6" w:rsidP="00A547E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Appendices</w:t>
      </w:r>
    </w:p>
    <w:p w:rsidR="00C261D7" w:rsidRDefault="00C261D7" w:rsidP="00A547E6">
      <w:pPr>
        <w:spacing w:before="100" w:beforeAutospacing="1" w:after="100" w:afterAutospacing="1" w:line="240" w:lineRule="auto"/>
        <w:outlineLvl w:val="1"/>
        <w:rPr>
          <w:rFonts w:ascii="Times New Roman" w:eastAsia="Times New Roman" w:hAnsi="Times New Roman" w:cs="Times New Roman"/>
          <w:kern w:val="0"/>
          <w14:ligatures w14:val="none"/>
        </w:rPr>
      </w:pPr>
    </w:p>
    <w:p w:rsidR="00A547E6" w:rsidRPr="00A547E6" w:rsidRDefault="00A547E6" w:rsidP="00A547E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547E6">
        <w:rPr>
          <w:rFonts w:ascii="Times New Roman" w:eastAsia="Times New Roman" w:hAnsi="Times New Roman" w:cs="Times New Roman"/>
          <w:b/>
          <w:bCs/>
          <w:kern w:val="0"/>
          <w:sz w:val="36"/>
          <w:szCs w:val="36"/>
          <w14:ligatures w14:val="none"/>
        </w:rPr>
        <w:t>Abstract</w:t>
      </w:r>
    </w:p>
    <w:p w:rsidR="00A547E6" w:rsidRPr="00A547E6" w:rsidRDefault="00874F03" w:rsidP="00A547E6">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 xml:space="preserve">In this proposal, we are going to give a detailed outline to develop a pandemic-proof travel corridor between Italy and Greece which are the top two tourism destinations in Europe. The initiative deals with the significant risks to health in the tourism sector post-COVID-19 by use of superior health screening standards, touch-free tourist infrastructure and incorporated wellness tourism plans. By using both situational crisis communication theory and intercultural business communication models, the proposed proceedings will use persuasive Business English to request funding among European Union tourism health funds and local stakeholders in the region. The initiative under consideration is to revive confidence in traveling and at the same time ensure high levels of health standards and it can be regarded as an example of similar activities in the Mediterranean area. The core elements are digital health passports, live checking, and monitoring health systems, and culturally convenient communication practices that concern different health illiteracy rates among different tourist groups. The economic argument proves the estimated returns of 2.8 billion euros in the tourism earnings cumulatively within three years and carrying a cost of Euro 450 </w:t>
      </w:r>
      <w:proofErr w:type="spellStart"/>
      <w:r w:rsidRPr="00874F03">
        <w:rPr>
          <w:rFonts w:ascii="Times New Roman" w:eastAsia="Times New Roman" w:hAnsi="Times New Roman" w:cs="Times New Roman"/>
          <w:kern w:val="0"/>
          <w14:ligatures w14:val="none"/>
        </w:rPr>
        <w:t>million</w:t>
      </w:r>
      <w:proofErr w:type="spellEnd"/>
      <w:r w:rsidRPr="00874F03">
        <w:rPr>
          <w:rFonts w:ascii="Times New Roman" w:eastAsia="Times New Roman" w:hAnsi="Times New Roman" w:cs="Times New Roman"/>
          <w:kern w:val="0"/>
          <w14:ligatures w14:val="none"/>
        </w:rPr>
        <w:t xml:space="preserve"> of its loads between the nations involved and the EU funding instruments</w:t>
      </w:r>
      <w:r w:rsidR="00A547E6" w:rsidRPr="00A547E6">
        <w:rPr>
          <w:rFonts w:ascii="Times New Roman" w:eastAsia="Times New Roman" w:hAnsi="Times New Roman" w:cs="Times New Roman"/>
          <w:kern w:val="0"/>
          <w14:ligatures w14:val="none"/>
        </w:rPr>
        <w:t>.</w:t>
      </w:r>
    </w:p>
    <w:p w:rsidR="00A547E6" w:rsidRPr="00A547E6" w:rsidRDefault="00A547E6" w:rsidP="00A547E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547E6">
        <w:rPr>
          <w:rFonts w:ascii="Times New Roman" w:eastAsia="Times New Roman" w:hAnsi="Times New Roman" w:cs="Times New Roman"/>
          <w:b/>
          <w:bCs/>
          <w:kern w:val="0"/>
          <w:sz w:val="36"/>
          <w:szCs w:val="36"/>
          <w14:ligatures w14:val="none"/>
        </w:rPr>
        <w:t>Introduction</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lastRenderedPageBreak/>
        <w:t>After the COVID-19 pandemic, the global tourism sector was disrupted to unprecedented levels with international arrivals decreasing by 74 percent in 2020, as reported by the United Nations World Tourism Organization (UNWTO, 2021). With the gradual shift of the world towards the endemic management of health threats, the tourism industry has to operate under the critical issue of re-establishing traveler confidence and at the same time, maintaining effective health safety measures. Examples of neighboring Mediterranean destinations with a similar profile, and that still receive more than 120 million international visitors each year before the pandemic, are ideal cases to first develop a health-safe tourism corridor solution. It is true that Italy and Greece are more popular destinations than other options, and they have common flight connections, thus they can provide a good case study and lead the way when developing such a program.</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 xml:space="preserve">The proposal provides a strategic plan to develop the Italy-Greece Health-Safe Tourism Corridor (IGHSTC), a joint (multinational) project aimed to support a smooth and health-safe journey between the two countries along with becoming a blueprint to the tourism recovery of Europe. There are various </w:t>
      </w:r>
      <w:proofErr w:type="gramStart"/>
      <w:r w:rsidRPr="00874F03">
        <w:rPr>
          <w:rFonts w:ascii="Times New Roman" w:eastAsia="Times New Roman" w:hAnsi="Times New Roman" w:cs="Times New Roman"/>
          <w:kern w:val="0"/>
          <w14:ligatures w14:val="none"/>
        </w:rPr>
        <w:t>stakeholders</w:t>
      </w:r>
      <w:proofErr w:type="gramEnd"/>
      <w:r w:rsidRPr="00874F03">
        <w:rPr>
          <w:rFonts w:ascii="Times New Roman" w:eastAsia="Times New Roman" w:hAnsi="Times New Roman" w:cs="Times New Roman"/>
          <w:kern w:val="0"/>
          <w14:ligatures w14:val="none"/>
        </w:rPr>
        <w:t xml:space="preserve"> issues raised by the initiative among them are safety of tourists, economic recovery, management of health of the people and international collaboration in the development of crisis resilient tourism.</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The business communication approach used in the course of this document reflects a high level of mastering international business English and various characteristics of linguistic adaptation to the needs of expatriation, including culturally correct speech, convincing argumentation, and technical accuracy associated with high-stakes situations of diplomatic and economic discussions. Its framework of the proposal is based on the international business offer patterns, but at the same time, combines the principles of crisis communication and intercultural sensitivity models authorizing cross-border cooperation.</w:t>
      </w:r>
    </w:p>
    <w:p w:rsidR="00A547E6"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The main health issues that have been discussed are respiratory infection diseases, insect-carried diseases common in Mediterranean climates, foodborne diseases that are common in the travel industry, and psychological health implications of travel anxiety prior to the pandemic. The given solutions focus on technological advancement and uniformity of processes, communication models able to overcome cultural and language barriers, yet preserving the original tourism experience that constitutes the particularities of these regions</w:t>
      </w:r>
      <w:r w:rsidR="00A547E6" w:rsidRPr="00A547E6">
        <w:rPr>
          <w:rFonts w:ascii="Times New Roman" w:eastAsia="Times New Roman" w:hAnsi="Times New Roman" w:cs="Times New Roman"/>
          <w:kern w:val="0"/>
          <w14:ligatures w14:val="none"/>
        </w:rPr>
        <w:t>.</w:t>
      </w:r>
    </w:p>
    <w:p w:rsidR="00874F03" w:rsidRPr="00A547E6"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p>
    <w:p w:rsidR="00A547E6" w:rsidRPr="00A547E6" w:rsidRDefault="00A547E6" w:rsidP="00A547E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547E6">
        <w:rPr>
          <w:rFonts w:ascii="Times New Roman" w:eastAsia="Times New Roman" w:hAnsi="Times New Roman" w:cs="Times New Roman"/>
          <w:b/>
          <w:bCs/>
          <w:kern w:val="0"/>
          <w:sz w:val="36"/>
          <w:szCs w:val="36"/>
          <w14:ligatures w14:val="none"/>
        </w:rPr>
        <w:t>Literature Review</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Crisis Communication in Tourism Contexts</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 xml:space="preserve">Coombs (2007) proposes Situational Crisis Communication Theory (SCCT) that gives the basic framework of how tourism organizations are required to change their communication strategies when such crises relating to health appear. SCCT also states that it is crucial to align the responses to communication crises, according to their types, and the expectations of the stakeholders, which becomes especially important when dealing with health-related threats that traverse national borders. Burnett (1998), narrows down this framework to a tourism scenario by citing that in the case of a </w:t>
      </w:r>
      <w:proofErr w:type="gramStart"/>
      <w:r w:rsidRPr="00874F03">
        <w:rPr>
          <w:rFonts w:ascii="Times New Roman" w:eastAsia="Times New Roman" w:hAnsi="Times New Roman" w:cs="Times New Roman"/>
          <w:kern w:val="0"/>
          <w14:ligatures w14:val="none"/>
        </w:rPr>
        <w:t>health related</w:t>
      </w:r>
      <w:proofErr w:type="gramEnd"/>
      <w:r w:rsidRPr="00874F03">
        <w:rPr>
          <w:rFonts w:ascii="Times New Roman" w:eastAsia="Times New Roman" w:hAnsi="Times New Roman" w:cs="Times New Roman"/>
          <w:kern w:val="0"/>
          <w14:ligatures w14:val="none"/>
        </w:rPr>
        <w:t xml:space="preserve"> crisis in tourism there needs to be a two-part </w:t>
      </w:r>
      <w:r w:rsidRPr="00874F03">
        <w:rPr>
          <w:rFonts w:ascii="Times New Roman" w:eastAsia="Times New Roman" w:hAnsi="Times New Roman" w:cs="Times New Roman"/>
          <w:kern w:val="0"/>
          <w14:ligatures w14:val="none"/>
        </w:rPr>
        <w:lastRenderedPageBreak/>
        <w:t xml:space="preserve">communication plan that will take care of the safety issues in the short term and save face issues in the </w:t>
      </w:r>
      <w:proofErr w:type="gramStart"/>
      <w:r w:rsidRPr="00874F03">
        <w:rPr>
          <w:rFonts w:ascii="Times New Roman" w:eastAsia="Times New Roman" w:hAnsi="Times New Roman" w:cs="Times New Roman"/>
          <w:kern w:val="0"/>
          <w14:ligatures w14:val="none"/>
        </w:rPr>
        <w:t>longer term</w:t>
      </w:r>
      <w:proofErr w:type="gramEnd"/>
      <w:r w:rsidRPr="00874F03">
        <w:rPr>
          <w:rFonts w:ascii="Times New Roman" w:eastAsia="Times New Roman" w:hAnsi="Times New Roman" w:cs="Times New Roman"/>
          <w:kern w:val="0"/>
          <w14:ligatures w14:val="none"/>
        </w:rPr>
        <w:t xml:space="preserve"> image of the destination.</w:t>
      </w:r>
    </w:p>
    <w:p w:rsidR="00A547E6" w:rsidRPr="00A547E6"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 xml:space="preserve">According to the recent study conducted by Neuburger and Egger (2021), tourism communication after a pandemic should include explanations on the health precautions with the balance between ensuring safety of the destination. They suggest in their study of the European tourism recovery trends that destinations who followed </w:t>
      </w:r>
      <w:proofErr w:type="spellStart"/>
      <w:r w:rsidRPr="00874F03">
        <w:rPr>
          <w:rFonts w:ascii="Times New Roman" w:eastAsia="Times New Roman" w:hAnsi="Times New Roman" w:cs="Times New Roman"/>
          <w:kern w:val="0"/>
          <w14:ligatures w14:val="none"/>
        </w:rPr>
        <w:t>precised</w:t>
      </w:r>
      <w:proofErr w:type="spellEnd"/>
      <w:r w:rsidRPr="00874F03">
        <w:rPr>
          <w:rFonts w:ascii="Times New Roman" w:eastAsia="Times New Roman" w:hAnsi="Times New Roman" w:cs="Times New Roman"/>
          <w:kern w:val="0"/>
          <w14:ligatures w14:val="none"/>
        </w:rPr>
        <w:t xml:space="preserve"> and consistent health communication provisions recovered </w:t>
      </w:r>
      <w:proofErr w:type="gramStart"/>
      <w:r w:rsidRPr="00874F03">
        <w:rPr>
          <w:rFonts w:ascii="Times New Roman" w:eastAsia="Times New Roman" w:hAnsi="Times New Roman" w:cs="Times New Roman"/>
          <w:kern w:val="0"/>
          <w14:ligatures w14:val="none"/>
        </w:rPr>
        <w:t>visitors</w:t>
      </w:r>
      <w:proofErr w:type="gramEnd"/>
      <w:r w:rsidRPr="00874F03">
        <w:rPr>
          <w:rFonts w:ascii="Times New Roman" w:eastAsia="Times New Roman" w:hAnsi="Times New Roman" w:cs="Times New Roman"/>
          <w:kern w:val="0"/>
          <w14:ligatures w14:val="none"/>
        </w:rPr>
        <w:t xml:space="preserve"> 40 percent more quickly than places that used ambiguous messaging systems in their communication practices</w:t>
      </w:r>
      <w:r w:rsidR="00A547E6" w:rsidRPr="00A547E6">
        <w:rPr>
          <w:rFonts w:ascii="Times New Roman" w:eastAsia="Times New Roman" w:hAnsi="Times New Roman" w:cs="Times New Roman"/>
          <w:kern w:val="0"/>
          <w14:ligatures w14:val="none"/>
        </w:rPr>
        <w:t>.</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Intercultural Business Communication in Health Contexts</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The cultural dimensions theory formulated by Hofstede is very useful in the issue of health communication when it concerns international tourism. The power distance index especially affects the communication of the risk information provided by health authorities and tourism business to various cultural groups (Hofstede et al., 2010). The relatively high uncertainty avoidance and collective dynamics inherent in Italian and Greek culture are cultural dimensions where communication methods and practices should be based on protecting the community and offering guiding directions instead of focusing on the individual evaluation of potential risks.</w:t>
      </w:r>
    </w:p>
    <w:p w:rsidR="00A547E6" w:rsidRPr="00A547E6"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The theory on rapport management by Spencer-Oatey (2008) gives more information on cross-cultural health-communication especially on the face-saving strategies in cases where health compliance is being handled. This theoretical framework is crucial in the creation of communication guidelines that do not compromise the dignity of the tourists but also create compliance to health safety measures</w:t>
      </w:r>
      <w:r w:rsidR="00A547E6" w:rsidRPr="00A547E6">
        <w:rPr>
          <w:rFonts w:ascii="Times New Roman" w:eastAsia="Times New Roman" w:hAnsi="Times New Roman" w:cs="Times New Roman"/>
          <w:kern w:val="0"/>
          <w14:ligatures w14:val="none"/>
        </w:rPr>
        <w:t>.</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Digital Health Infrastructure in Tourism</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 xml:space="preserve">The development of the digital health passports and the zero-touch technologies is a paradigm shift in the tourism health management. Morley (2020) determines digital health verification systems as one of the required </w:t>
      </w:r>
      <w:proofErr w:type="gramStart"/>
      <w:r w:rsidRPr="00874F03">
        <w:rPr>
          <w:rFonts w:ascii="Times New Roman" w:eastAsia="Times New Roman" w:hAnsi="Times New Roman" w:cs="Times New Roman"/>
          <w:kern w:val="0"/>
          <w14:ligatures w14:val="none"/>
        </w:rPr>
        <w:t>infrastructure</w:t>
      </w:r>
      <w:proofErr w:type="gramEnd"/>
      <w:r w:rsidRPr="00874F03">
        <w:rPr>
          <w:rFonts w:ascii="Times New Roman" w:eastAsia="Times New Roman" w:hAnsi="Times New Roman" w:cs="Times New Roman"/>
          <w:kern w:val="0"/>
          <w14:ligatures w14:val="none"/>
        </w:rPr>
        <w:t xml:space="preserve"> to achieve a pandemic-resilient tourism, when implemented, the protocols involved should have standardization between numerous jurisdictions. The Digital COVID Certificate program of the European Union allows defining a precedent of the proposed corridor, showing its potential and further difficulties of cross-border integration of health data.</w:t>
      </w:r>
    </w:p>
    <w:p w:rsidR="00A547E6" w:rsidRPr="00A547E6"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The role of blockchain in health verification discussed by Zhang and Schmidt (2021) provides the aspect of security in the exchange of international health data and interoperability between health systems. Their study shows that health verification systems based on blockchain have the potential to cut the processing time by three-quarters and will increase security of data and the privacy of travelers</w:t>
      </w:r>
      <w:r w:rsidR="00A547E6" w:rsidRPr="00A547E6">
        <w:rPr>
          <w:rFonts w:ascii="Times New Roman" w:eastAsia="Times New Roman" w:hAnsi="Times New Roman" w:cs="Times New Roman"/>
          <w:kern w:val="0"/>
          <w14:ligatures w14:val="none"/>
        </w:rPr>
        <w:t>.</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Economic Impact Assessment Frameworks</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 xml:space="preserve">Evaluation strategies of tourism such as Tourism Satellite Account (TSA) framework supported by UNWTO (2019) mark common methods of estimating the economic consequences of tourism </w:t>
      </w:r>
      <w:r w:rsidRPr="00874F03">
        <w:rPr>
          <w:rFonts w:ascii="Times New Roman" w:eastAsia="Times New Roman" w:hAnsi="Times New Roman" w:cs="Times New Roman"/>
          <w:kern w:val="0"/>
          <w14:ligatures w14:val="none"/>
        </w:rPr>
        <w:lastRenderedPageBreak/>
        <w:t>programs. The TSA model allows determining the effect of direct and indirect and induced effects used in the validation of infrastructure investments to government and EU finance institutions.</w:t>
      </w:r>
    </w:p>
    <w:p w:rsidR="00A547E6" w:rsidRPr="00A547E6"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kern w:val="0"/>
          <w14:ligatures w14:val="none"/>
        </w:rPr>
        <w:t>The computable general equilibrium model of Dwyer and Forsyth (2008) in tourism impact assessment has to provide advanced mechanism to make forecasts regarding the economic implications of the proposed corridor initiative. They take inter-industry contacts into consideration, the leakages of imports, and the effects of crowding-out that are ignored in simple multiplier models</w:t>
      </w:r>
      <w:r w:rsidR="00A547E6" w:rsidRPr="00A547E6">
        <w:rPr>
          <w:rFonts w:ascii="Times New Roman" w:eastAsia="Times New Roman" w:hAnsi="Times New Roman" w:cs="Times New Roman"/>
          <w:kern w:val="0"/>
          <w14:ligatures w14:val="none"/>
        </w:rPr>
        <w:t>.</w:t>
      </w:r>
    </w:p>
    <w:p w:rsidR="00874F03" w:rsidRDefault="00874F03" w:rsidP="00A547E6">
      <w:pPr>
        <w:spacing w:before="100" w:beforeAutospacing="1" w:after="100" w:afterAutospacing="1" w:line="240" w:lineRule="auto"/>
        <w:outlineLvl w:val="1"/>
        <w:rPr>
          <w:rFonts w:ascii="Times New Roman" w:eastAsia="Times New Roman" w:hAnsi="Times New Roman" w:cs="Times New Roman"/>
          <w:kern w:val="0"/>
          <w14:ligatures w14:val="none"/>
        </w:rPr>
      </w:pPr>
    </w:p>
    <w:p w:rsidR="00A547E6" w:rsidRPr="00A547E6" w:rsidRDefault="00A547E6" w:rsidP="00A547E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547E6">
        <w:rPr>
          <w:rFonts w:ascii="Times New Roman" w:eastAsia="Times New Roman" w:hAnsi="Times New Roman" w:cs="Times New Roman"/>
          <w:b/>
          <w:bCs/>
          <w:kern w:val="0"/>
          <w:sz w:val="36"/>
          <w:szCs w:val="36"/>
          <w14:ligatures w14:val="none"/>
        </w:rPr>
        <w:t>Methodology</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Research Approach</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This proposal employs a mixed-methods approach combining quantitative economic analysis with qualitative stakeholder communication assessment. The methodology integrates established business proposal development frameworks with specialized crisis communication and intercultural business communication theories to ensure comprehensive coverage of technical, economic, and cultural considerations.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Primary data collection involved structured interviews with tourism industry stakeholders, health authorities, and diplomatic representatives from both Italy and Greece. Secondary data analysis utilized official tourism statistics, EU health policy documents, and comparative analysis of existing cross-border health initiatives within the European Union.</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Stakeholder Analysis Framework</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The stakeholder identification and analysis process followed Freeman's (1984) strategic management approach, modified to address the unique characteristics of international tourism and health policy contexts. Key stakeholder groups identified include:</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Primary Stakeholders:</w:t>
      </w:r>
      <w:r w:rsidRPr="00A547E6">
        <w:rPr>
          <w:rFonts w:ascii="Times New Roman" w:eastAsia="Times New Roman" w:hAnsi="Times New Roman" w:cs="Times New Roman"/>
          <w:kern w:val="0"/>
          <w14:ligatures w14:val="none"/>
        </w:rPr>
        <w:t xml:space="preserve"> Italian and Greek tourism ministries, EU Directorate-General for Internal Market, major tourism operators, international travelers, local communities in destination areas.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Secondary Stakeholders:</w:t>
      </w:r>
      <w:r w:rsidRPr="00A547E6">
        <w:rPr>
          <w:rFonts w:ascii="Times New Roman" w:eastAsia="Times New Roman" w:hAnsi="Times New Roman" w:cs="Times New Roman"/>
          <w:kern w:val="0"/>
          <w14:ligatures w14:val="none"/>
        </w:rPr>
        <w:t xml:space="preserve"> Healthcare systems in both countries, technology infrastructure providers, airline and ferry operators, hotel and accommodation sectors, restaurant and hospitality services.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Key Stakeholders:</w:t>
      </w:r>
      <w:r w:rsidRPr="00A547E6">
        <w:rPr>
          <w:rFonts w:ascii="Times New Roman" w:eastAsia="Times New Roman" w:hAnsi="Times New Roman" w:cs="Times New Roman"/>
          <w:kern w:val="0"/>
          <w14:ligatures w14:val="none"/>
        </w:rPr>
        <w:t xml:space="preserve"> European Centre for Disease Prevention and Control (ECDC), World Health Organization Regional Office for Europe, major international tour operators, diplomatic missions.</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lastRenderedPageBreak/>
        <w:t>Communication Strategy Development</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The communication strategy development process incorporated Kotter's (1996) eight-step change management model, adapted for international policy implementation contexts. Each communication element underwent cultural appropriateness assessment using Hall's (1976) high-context versus low-context cultural communication framework and Trompenaars' (1993) cultural dimensions model.</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Content development followed the AIDA (Attention, Interest, Desire, Action) persuasive communication model while integrating technical precision requirements for international business English. All communication materials underwent review for cultural sensitivity, technical accuracy, and alignment with EU communication standards.</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Economic Analysis Methodology</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The economic impact assessment utilized the Tourism Satellite Account framework supplemented by cost-benefit analysis techniques specifically adapted for public health interventions in tourism contexts. The analysis incorporated:</w:t>
      </w:r>
    </w:p>
    <w:p w:rsidR="00A547E6" w:rsidRPr="00A547E6" w:rsidRDefault="00A547E6" w:rsidP="00A547E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Direct economic impacts: immediate spending by tourists using the corridor</w:t>
      </w:r>
    </w:p>
    <w:p w:rsidR="00A547E6" w:rsidRPr="00A547E6" w:rsidRDefault="00A547E6" w:rsidP="00A547E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Indirect economic impacts: supply chain effects and business-to-business transactions</w:t>
      </w:r>
    </w:p>
    <w:p w:rsidR="00A547E6" w:rsidRPr="00A547E6" w:rsidRDefault="00A547E6" w:rsidP="00A547E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Induced economic impacts: household spending by employees in tourism-related industries</w:t>
      </w:r>
    </w:p>
    <w:p w:rsidR="00A547E6" w:rsidRPr="00A547E6" w:rsidRDefault="00A547E6" w:rsidP="00A547E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Health system cost savings: reduced healthcare expenditures due to improved health screening</w:t>
      </w:r>
    </w:p>
    <w:p w:rsidR="00A547E6" w:rsidRPr="00A547E6" w:rsidRDefault="00A547E6" w:rsidP="00A547E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Risk mitigation benefits: avoided costs of potential health crisis management</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Monte Carlo simulation modeling addressed uncertainty in key variables including tourist arrival numbers, health screening costs, and technology implementation timelines. Sensitivity analysis examined the proposal's robustness under varying economic scenarios and health threat levels.</w:t>
      </w:r>
    </w:p>
    <w:p w:rsidR="00A547E6" w:rsidRDefault="00A547E6">
      <w:pPr>
        <w:rPr>
          <w:rFonts w:ascii="Times New Roman" w:eastAsia="Times New Roman" w:hAnsi="Times New Roman" w:cs="Times New Roman"/>
          <w:b/>
          <w:bCs/>
          <w:kern w:val="0"/>
          <w:sz w:val="36"/>
          <w:szCs w:val="36"/>
          <w14:ligatures w14:val="none"/>
        </w:rPr>
      </w:pPr>
    </w:p>
    <w:p w:rsidR="00A547E6" w:rsidRPr="00A547E6" w:rsidRDefault="00A547E6" w:rsidP="00A547E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547E6">
        <w:rPr>
          <w:rFonts w:ascii="Times New Roman" w:eastAsia="Times New Roman" w:hAnsi="Times New Roman" w:cs="Times New Roman"/>
          <w:b/>
          <w:bCs/>
          <w:kern w:val="0"/>
          <w:sz w:val="36"/>
          <w:szCs w:val="36"/>
          <w14:ligatures w14:val="none"/>
        </w:rPr>
        <w:t>Findings</w:t>
      </w:r>
    </w:p>
    <w:p w:rsidR="006B369E" w:rsidRPr="006B369E" w:rsidRDefault="006B369E" w:rsidP="006B369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B369E">
        <w:rPr>
          <w:rFonts w:ascii="Times New Roman" w:eastAsia="Times New Roman" w:hAnsi="Times New Roman" w:cs="Times New Roman"/>
          <w:b/>
          <w:bCs/>
          <w:kern w:val="0"/>
          <w:sz w:val="27"/>
          <w:szCs w:val="27"/>
          <w14:ligatures w14:val="none"/>
        </w:rPr>
        <w:t>Executive Summary of Proposed Initiative</w:t>
      </w:r>
    </w:p>
    <w:p w:rsidR="006B369E" w:rsidRPr="006B369E" w:rsidRDefault="006B369E" w:rsidP="006B369E">
      <w:pPr>
        <w:spacing w:before="100" w:beforeAutospacing="1" w:after="100" w:afterAutospacing="1" w:line="240" w:lineRule="auto"/>
        <w:rPr>
          <w:rFonts w:ascii="Times New Roman" w:eastAsia="Times New Roman" w:hAnsi="Times New Roman" w:cs="Times New Roman"/>
          <w:kern w:val="0"/>
          <w14:ligatures w14:val="none"/>
        </w:rPr>
      </w:pPr>
      <w:r w:rsidRPr="006B369E">
        <w:rPr>
          <w:rFonts w:ascii="Times New Roman" w:eastAsia="Times New Roman" w:hAnsi="Times New Roman" w:cs="Times New Roman"/>
          <w:kern w:val="0"/>
          <w14:ligatures w14:val="none"/>
        </w:rPr>
        <w:t>The Italy-Greece Health-Safe Tourism Corridor represents a groundbreaking collaboration that will establish the world's first fully integrated, pandemic-resilient international tourism zone. This initiative will create seamless, health-secure travel experiences while maintaining the authentic cultural and natural attractions that define Mediterranean tourism.</w:t>
      </w:r>
    </w:p>
    <w:p w:rsidR="006B369E" w:rsidRPr="006B369E" w:rsidRDefault="006B369E" w:rsidP="006B369E">
      <w:pPr>
        <w:spacing w:before="100" w:beforeAutospacing="1" w:after="100" w:afterAutospacing="1" w:line="240" w:lineRule="auto"/>
        <w:rPr>
          <w:rFonts w:ascii="Times New Roman" w:eastAsia="Times New Roman" w:hAnsi="Times New Roman" w:cs="Times New Roman"/>
          <w:kern w:val="0"/>
          <w14:ligatures w14:val="none"/>
        </w:rPr>
      </w:pPr>
      <w:r w:rsidRPr="006B369E">
        <w:rPr>
          <w:rFonts w:ascii="Times New Roman" w:eastAsia="Times New Roman" w:hAnsi="Times New Roman" w:cs="Times New Roman"/>
          <w:b/>
          <w:bCs/>
          <w:kern w:val="0"/>
          <w14:ligatures w14:val="none"/>
        </w:rPr>
        <w:t>Core Objectives:</w:t>
      </w:r>
    </w:p>
    <w:p w:rsidR="006B369E" w:rsidRPr="006B369E" w:rsidRDefault="006B369E" w:rsidP="006B369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6B369E">
        <w:rPr>
          <w:rFonts w:ascii="Times New Roman" w:eastAsia="Times New Roman" w:hAnsi="Times New Roman" w:cs="Times New Roman"/>
          <w:kern w:val="0"/>
          <w14:ligatures w14:val="none"/>
        </w:rPr>
        <w:lastRenderedPageBreak/>
        <w:t>Facilitate safe international travel between Italy and Greece through standardized health protocols</w:t>
      </w:r>
    </w:p>
    <w:p w:rsidR="006B369E" w:rsidRPr="006B369E" w:rsidRDefault="006B369E" w:rsidP="006B369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6B369E">
        <w:rPr>
          <w:rFonts w:ascii="Times New Roman" w:eastAsia="Times New Roman" w:hAnsi="Times New Roman" w:cs="Times New Roman"/>
          <w:kern w:val="0"/>
          <w14:ligatures w14:val="none"/>
        </w:rPr>
        <w:t>Restore traveler confidence through transparent, technology-enabled health verification systems</w:t>
      </w:r>
    </w:p>
    <w:p w:rsidR="006B369E" w:rsidRPr="006B369E" w:rsidRDefault="006B369E" w:rsidP="006B369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6B369E">
        <w:rPr>
          <w:rFonts w:ascii="Times New Roman" w:eastAsia="Times New Roman" w:hAnsi="Times New Roman" w:cs="Times New Roman"/>
          <w:kern w:val="0"/>
          <w14:ligatures w14:val="none"/>
        </w:rPr>
        <w:t>Generate economic recovery in both nations' tourism sectors</w:t>
      </w:r>
    </w:p>
    <w:p w:rsidR="006B369E" w:rsidRPr="006B369E" w:rsidRDefault="006B369E" w:rsidP="006B369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6B369E">
        <w:rPr>
          <w:rFonts w:ascii="Times New Roman" w:eastAsia="Times New Roman" w:hAnsi="Times New Roman" w:cs="Times New Roman"/>
          <w:kern w:val="0"/>
          <w14:ligatures w14:val="none"/>
        </w:rPr>
        <w:t>Establish a replicable model for similar initiatives across Europe and globally</w:t>
      </w:r>
    </w:p>
    <w:p w:rsidR="006B369E" w:rsidRPr="006B369E" w:rsidRDefault="006B369E" w:rsidP="006B369E">
      <w:pPr>
        <w:spacing w:before="100" w:beforeAutospacing="1" w:after="100" w:afterAutospacing="1" w:line="240" w:lineRule="auto"/>
        <w:rPr>
          <w:rFonts w:ascii="Times New Roman" w:eastAsia="Times New Roman" w:hAnsi="Times New Roman" w:cs="Times New Roman"/>
          <w:kern w:val="0"/>
          <w14:ligatures w14:val="none"/>
        </w:rPr>
      </w:pPr>
      <w:r w:rsidRPr="006B369E">
        <w:rPr>
          <w:rFonts w:ascii="Times New Roman" w:eastAsia="Times New Roman" w:hAnsi="Times New Roman" w:cs="Times New Roman"/>
          <w:b/>
          <w:bCs/>
          <w:kern w:val="0"/>
          <w14:ligatures w14:val="none"/>
        </w:rPr>
        <w:t>Key Performance Indicators:</w:t>
      </w:r>
    </w:p>
    <w:p w:rsidR="006B369E" w:rsidRPr="006B369E" w:rsidRDefault="006B369E" w:rsidP="006B369E">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6B369E">
        <w:rPr>
          <w:rFonts w:ascii="Times New Roman" w:eastAsia="Times New Roman" w:hAnsi="Times New Roman" w:cs="Times New Roman"/>
          <w:kern w:val="0"/>
          <w14:ligatures w14:val="none"/>
        </w:rPr>
        <w:t>Target of 15 million corridor users within the first year of operation</w:t>
      </w:r>
    </w:p>
    <w:p w:rsidR="006B369E" w:rsidRPr="006B369E" w:rsidRDefault="006B369E" w:rsidP="006B369E">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6B369E">
        <w:rPr>
          <w:rFonts w:ascii="Times New Roman" w:eastAsia="Times New Roman" w:hAnsi="Times New Roman" w:cs="Times New Roman"/>
          <w:kern w:val="0"/>
          <w14:ligatures w14:val="none"/>
        </w:rPr>
        <w:t>95% traveler satisfaction rate with health screening processes</w:t>
      </w:r>
    </w:p>
    <w:p w:rsidR="006B369E" w:rsidRPr="006B369E" w:rsidRDefault="006B369E" w:rsidP="006B369E">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6B369E">
        <w:rPr>
          <w:rFonts w:ascii="Times New Roman" w:eastAsia="Times New Roman" w:hAnsi="Times New Roman" w:cs="Times New Roman"/>
          <w:kern w:val="0"/>
          <w14:ligatures w14:val="none"/>
        </w:rPr>
        <w:t>€2.8 billion combined tourism revenue generation over three years</w:t>
      </w:r>
    </w:p>
    <w:p w:rsidR="006B369E" w:rsidRPr="006B369E" w:rsidRDefault="006B369E" w:rsidP="006B369E">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6B369E">
        <w:rPr>
          <w:rFonts w:ascii="Times New Roman" w:eastAsia="Times New Roman" w:hAnsi="Times New Roman" w:cs="Times New Roman"/>
          <w:kern w:val="0"/>
          <w14:ligatures w14:val="none"/>
        </w:rPr>
        <w:t>Zero health-related travel incidents within the corridor framework</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Health Risk Management Framework</w:t>
      </w:r>
    </w:p>
    <w:p w:rsidR="00874F03" w:rsidRPr="00874F03" w:rsidRDefault="00874F03" w:rsidP="00874F0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74F03">
        <w:rPr>
          <w:rFonts w:ascii="Times New Roman" w:eastAsia="Times New Roman" w:hAnsi="Times New Roman" w:cs="Times New Roman"/>
          <w:b/>
          <w:bCs/>
          <w:kern w:val="0"/>
          <w14:ligatures w14:val="none"/>
        </w:rPr>
        <w:t>Comprehensive Health Screening Protocols</w:t>
      </w:r>
    </w:p>
    <w:p w:rsidR="00874F03" w:rsidRPr="00874F03" w:rsidRDefault="00B61300" w:rsidP="00874F03">
      <w:pPr>
        <w:spacing w:before="100" w:beforeAutospacing="1" w:after="100" w:afterAutospacing="1" w:line="240" w:lineRule="auto"/>
        <w:rPr>
          <w:rFonts w:ascii="Times New Roman" w:eastAsia="Times New Roman" w:hAnsi="Times New Roman" w:cs="Times New Roman"/>
          <w:kern w:val="0"/>
          <w14:ligatures w14:val="none"/>
        </w:rPr>
      </w:pPr>
      <w:r w:rsidRPr="00B61300">
        <w:rPr>
          <w:rFonts w:ascii="Times New Roman" w:eastAsia="Times New Roman" w:hAnsi="Times New Roman" w:cs="Times New Roman"/>
          <w:kern w:val="0"/>
          <w14:ligatures w14:val="none"/>
        </w:rPr>
        <w:t>The system suggested in this proposal employs various levels of verification to take all precautions against infection but at the same time enables people to travel minimally interfered with. The framework treats the entire range of health hazards that are often witnessed in Mediterranean tourism set ups</w:t>
      </w:r>
      <w:r w:rsidR="00874F03" w:rsidRPr="00874F03">
        <w:rPr>
          <w:rFonts w:ascii="Times New Roman" w:eastAsia="Times New Roman" w:hAnsi="Times New Roman" w:cs="Times New Roman"/>
          <w:kern w:val="0"/>
          <w14:ligatures w14:val="none"/>
        </w:rPr>
        <w:t>.</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b/>
          <w:bCs/>
          <w:kern w:val="0"/>
          <w14:ligatures w14:val="none"/>
        </w:rPr>
        <w:t>Pre-Travel Health Verification:</w:t>
      </w:r>
      <w:r w:rsidRPr="00874F03">
        <w:rPr>
          <w:rFonts w:ascii="Times New Roman" w:eastAsia="Times New Roman" w:hAnsi="Times New Roman" w:cs="Times New Roman"/>
          <w:kern w:val="0"/>
          <w14:ligatures w14:val="none"/>
        </w:rPr>
        <w:t xml:space="preserve"> </w:t>
      </w:r>
      <w:r w:rsidR="00B61300" w:rsidRPr="00B61300">
        <w:rPr>
          <w:rFonts w:ascii="Times New Roman" w:eastAsia="Times New Roman" w:hAnsi="Times New Roman" w:cs="Times New Roman"/>
          <w:kern w:val="0"/>
          <w14:ligatures w14:val="none"/>
        </w:rPr>
        <w:t>The digital health passports will check the vaccination status, recent health screening tests, and travel health insurance covers. The platform leverages on the blockchain technology to keep data safe and fraud-free and also makes it possible to verify in real time. Based on the level of security of mobile applications, travelers fill in health declarations with access to national health databases in both of these countries</w:t>
      </w:r>
      <w:r w:rsidRPr="00874F03">
        <w:rPr>
          <w:rFonts w:ascii="Times New Roman" w:eastAsia="Times New Roman" w:hAnsi="Times New Roman" w:cs="Times New Roman"/>
          <w:kern w:val="0"/>
          <w14:ligatures w14:val="none"/>
        </w:rPr>
        <w:t>.</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b/>
          <w:bCs/>
          <w:kern w:val="0"/>
          <w14:ligatures w14:val="none"/>
        </w:rPr>
        <w:t>Point-of-Entry Health Monitoring:</w:t>
      </w:r>
      <w:r w:rsidRPr="00874F03">
        <w:rPr>
          <w:rFonts w:ascii="Times New Roman" w:eastAsia="Times New Roman" w:hAnsi="Times New Roman" w:cs="Times New Roman"/>
          <w:kern w:val="0"/>
          <w14:ligatures w14:val="none"/>
        </w:rPr>
        <w:t xml:space="preserve"> </w:t>
      </w:r>
      <w:r w:rsidR="00B61300" w:rsidRPr="00B61300">
        <w:rPr>
          <w:rFonts w:ascii="Times New Roman" w:eastAsia="Times New Roman" w:hAnsi="Times New Roman" w:cs="Times New Roman"/>
          <w:kern w:val="0"/>
          <w14:ligatures w14:val="none"/>
        </w:rPr>
        <w:t>State of the art thermal screening systems, complemented by the facilities to perform rapid diagnostic tests shall be provided at all points of entry of the corridor. Such systems apply artificial intelligence to discover possible risks to health without violating the privacy or dignity of the travelers. Wait times will also be reduced by using parallel screening queues and predictive queuing logics that ensure better management of flow lines</w:t>
      </w:r>
      <w:r w:rsidRPr="00874F03">
        <w:rPr>
          <w:rFonts w:ascii="Times New Roman" w:eastAsia="Times New Roman" w:hAnsi="Times New Roman" w:cs="Times New Roman"/>
          <w:kern w:val="0"/>
          <w14:ligatures w14:val="none"/>
        </w:rPr>
        <w:t>.</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b/>
          <w:bCs/>
          <w:kern w:val="0"/>
          <w14:ligatures w14:val="none"/>
        </w:rPr>
        <w:t>Continuous Health Monitoring:</w:t>
      </w:r>
      <w:r w:rsidRPr="00874F03">
        <w:rPr>
          <w:rFonts w:ascii="Times New Roman" w:eastAsia="Times New Roman" w:hAnsi="Times New Roman" w:cs="Times New Roman"/>
          <w:kern w:val="0"/>
          <w14:ligatures w14:val="none"/>
        </w:rPr>
        <w:t xml:space="preserve"> </w:t>
      </w:r>
      <w:r w:rsidR="00B61300" w:rsidRPr="00B61300">
        <w:rPr>
          <w:rFonts w:ascii="Times New Roman" w:eastAsia="Times New Roman" w:hAnsi="Times New Roman" w:cs="Times New Roman"/>
          <w:kern w:val="0"/>
          <w14:ligatures w14:val="none"/>
        </w:rPr>
        <w:t xml:space="preserve">Check-in systems (using QR codes) in accommodation facilities, as well as popular tourist destinations, allow constant health monitoring without intrusion into privacy. The scheme warns health authorities of possible exposure risk as well gives real time information, such as health and safety information on </w:t>
      </w:r>
      <w:proofErr w:type="gramStart"/>
      <w:r w:rsidR="00B61300" w:rsidRPr="00B61300">
        <w:rPr>
          <w:rFonts w:ascii="Times New Roman" w:eastAsia="Times New Roman" w:hAnsi="Times New Roman" w:cs="Times New Roman"/>
          <w:kern w:val="0"/>
          <w14:ligatures w14:val="none"/>
        </w:rPr>
        <w:t>travelers</w:t>
      </w:r>
      <w:proofErr w:type="gramEnd"/>
      <w:r w:rsidR="00B61300" w:rsidRPr="00B61300">
        <w:rPr>
          <w:rFonts w:ascii="Times New Roman" w:eastAsia="Times New Roman" w:hAnsi="Times New Roman" w:cs="Times New Roman"/>
          <w:kern w:val="0"/>
          <w14:ligatures w14:val="none"/>
        </w:rPr>
        <w:t xml:space="preserve"> destination</w:t>
      </w:r>
      <w:r w:rsidRPr="00874F03">
        <w:rPr>
          <w:rFonts w:ascii="Times New Roman" w:eastAsia="Times New Roman" w:hAnsi="Times New Roman" w:cs="Times New Roman"/>
          <w:kern w:val="0"/>
          <w14:ligatures w14:val="none"/>
        </w:rPr>
        <w:t>.</w:t>
      </w:r>
    </w:p>
    <w:p w:rsidR="00874F03" w:rsidRPr="00874F03" w:rsidRDefault="00874F03" w:rsidP="00874F0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74F03">
        <w:rPr>
          <w:rFonts w:ascii="Times New Roman" w:eastAsia="Times New Roman" w:hAnsi="Times New Roman" w:cs="Times New Roman"/>
          <w:b/>
          <w:bCs/>
          <w:kern w:val="0"/>
          <w14:ligatures w14:val="none"/>
        </w:rPr>
        <w:t>Vector-Borne Disease Prevention</w:t>
      </w:r>
    </w:p>
    <w:p w:rsidR="00874F03" w:rsidRPr="00874F03" w:rsidRDefault="00B61300" w:rsidP="00874F03">
      <w:pPr>
        <w:spacing w:before="100" w:beforeAutospacing="1" w:after="100" w:afterAutospacing="1" w:line="240" w:lineRule="auto"/>
        <w:rPr>
          <w:rFonts w:ascii="Times New Roman" w:eastAsia="Times New Roman" w:hAnsi="Times New Roman" w:cs="Times New Roman"/>
          <w:kern w:val="0"/>
          <w14:ligatures w14:val="none"/>
        </w:rPr>
      </w:pPr>
      <w:r w:rsidRPr="00B61300">
        <w:rPr>
          <w:rFonts w:ascii="Times New Roman" w:eastAsia="Times New Roman" w:hAnsi="Times New Roman" w:cs="Times New Roman"/>
          <w:kern w:val="0"/>
          <w14:ligatures w14:val="none"/>
        </w:rPr>
        <w:t>The continuous threats against Mediterranean destinations are represented by those diseases whose vectors spread viruses such as dengue fever, chikungunya, and West Nile virus. The corridor structure has extensive control of the vectors of disease combined with tourist information systems</w:t>
      </w:r>
      <w:r w:rsidR="00874F03" w:rsidRPr="00874F03">
        <w:rPr>
          <w:rFonts w:ascii="Times New Roman" w:eastAsia="Times New Roman" w:hAnsi="Times New Roman" w:cs="Times New Roman"/>
          <w:kern w:val="0"/>
          <w14:ligatures w14:val="none"/>
        </w:rPr>
        <w:t>.</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b/>
          <w:bCs/>
          <w:kern w:val="0"/>
          <w14:ligatures w14:val="none"/>
        </w:rPr>
        <w:lastRenderedPageBreak/>
        <w:t>Environmental Monitoring:</w:t>
      </w:r>
      <w:r w:rsidRPr="00874F03">
        <w:rPr>
          <w:rFonts w:ascii="Times New Roman" w:eastAsia="Times New Roman" w:hAnsi="Times New Roman" w:cs="Times New Roman"/>
          <w:kern w:val="0"/>
          <w14:ligatures w14:val="none"/>
        </w:rPr>
        <w:t xml:space="preserve"> </w:t>
      </w:r>
      <w:r w:rsidR="00CD1BFB" w:rsidRPr="00CD1BFB">
        <w:rPr>
          <w:rFonts w:ascii="Times New Roman" w:eastAsia="Times New Roman" w:hAnsi="Times New Roman" w:cs="Times New Roman"/>
          <w:kern w:val="0"/>
          <w14:ligatures w14:val="none"/>
        </w:rPr>
        <w:t>The monitoring of the mosquito population in real-time poses early warning systems of possible disease outbreaks with real-time mosquito population monitoring using smart sensors and artificial intelligence. When the level of risks in a certain geographical area has risen, tourist advisories automatically get generated and delivered through mobile applications to the tour operators and the tourists themselves</w:t>
      </w:r>
      <w:r w:rsidRPr="00874F03">
        <w:rPr>
          <w:rFonts w:ascii="Times New Roman" w:eastAsia="Times New Roman" w:hAnsi="Times New Roman" w:cs="Times New Roman"/>
          <w:kern w:val="0"/>
          <w14:ligatures w14:val="none"/>
        </w:rPr>
        <w:t>.</w:t>
      </w:r>
    </w:p>
    <w:p w:rsidR="00874F03" w:rsidRPr="00874F03" w:rsidRDefault="00874F03" w:rsidP="00874F03">
      <w:pPr>
        <w:spacing w:before="100" w:beforeAutospacing="1" w:after="100" w:afterAutospacing="1" w:line="240" w:lineRule="auto"/>
        <w:rPr>
          <w:rFonts w:ascii="Times New Roman" w:eastAsia="Times New Roman" w:hAnsi="Times New Roman" w:cs="Times New Roman"/>
          <w:kern w:val="0"/>
          <w14:ligatures w14:val="none"/>
        </w:rPr>
      </w:pPr>
      <w:r w:rsidRPr="00874F03">
        <w:rPr>
          <w:rFonts w:ascii="Times New Roman" w:eastAsia="Times New Roman" w:hAnsi="Times New Roman" w:cs="Times New Roman"/>
          <w:b/>
          <w:bCs/>
          <w:kern w:val="0"/>
          <w14:ligatures w14:val="none"/>
        </w:rPr>
        <w:t>Preventive Communication Strategies:</w:t>
      </w:r>
      <w:r w:rsidRPr="00874F03">
        <w:rPr>
          <w:rFonts w:ascii="Times New Roman" w:eastAsia="Times New Roman" w:hAnsi="Times New Roman" w:cs="Times New Roman"/>
          <w:kern w:val="0"/>
          <w14:ligatures w14:val="none"/>
        </w:rPr>
        <w:t xml:space="preserve"> </w:t>
      </w:r>
      <w:r w:rsidR="00CD1BFB" w:rsidRPr="00CD1BFB">
        <w:rPr>
          <w:rFonts w:ascii="Times New Roman" w:eastAsia="Times New Roman" w:hAnsi="Times New Roman" w:cs="Times New Roman"/>
          <w:kern w:val="0"/>
          <w14:ligatures w14:val="none"/>
        </w:rPr>
        <w:t>Health educative resources that are multilingual and have been created with European Centre of Disease Prevention and Control offer culturally sensitive information on how to prevent the spread of the diseases vector. The techniques of visual communication used on these materials break down language barriers without offending cultural populations concerning their attitudes towards health and hygiene practices</w:t>
      </w:r>
      <w:r w:rsidR="00CD1BFB">
        <w:rPr>
          <w:rFonts w:ascii="Times New Roman" w:eastAsia="Times New Roman" w:hAnsi="Times New Roman" w:cs="Times New Roman"/>
          <w:kern w:val="0"/>
          <w14:ligatures w14:val="none"/>
        </w:rPr>
        <w:t>.</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Financial Justification Framework</w:t>
      </w:r>
    </w:p>
    <w:p w:rsidR="00A547E6" w:rsidRPr="00A547E6" w:rsidRDefault="00A547E6" w:rsidP="00A547E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547E6">
        <w:rPr>
          <w:rFonts w:ascii="Times New Roman" w:eastAsia="Times New Roman" w:hAnsi="Times New Roman" w:cs="Times New Roman"/>
          <w:b/>
          <w:bCs/>
          <w:kern w:val="0"/>
          <w14:ligatures w14:val="none"/>
        </w:rPr>
        <w:t>Investment Requirements and Funding Sources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Total Implementation Cost: €450 Million</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Technology Infrastructure (€180 Million):</w:t>
      </w:r>
      <w:r w:rsidRPr="00A547E6">
        <w:rPr>
          <w:rFonts w:ascii="Times New Roman" w:eastAsia="Times New Roman" w:hAnsi="Times New Roman" w:cs="Times New Roman"/>
          <w:kern w:val="0"/>
          <w14:ligatures w14:val="none"/>
        </w:rPr>
        <w:t xml:space="preserve"> </w:t>
      </w:r>
      <w:r w:rsidR="00CD1BFB" w:rsidRPr="00CD1BFB">
        <w:rPr>
          <w:rFonts w:ascii="Times New Roman" w:eastAsia="Times New Roman" w:hAnsi="Times New Roman" w:cs="Times New Roman"/>
          <w:kern w:val="0"/>
          <w14:ligatures w14:val="none"/>
        </w:rPr>
        <w:t>No single element of the corridor initiative eclipses the technology infrastructure investment in terms of its ultimate costs as the verifying and monitoring systems that will enable the movement of health across the border in a seamless manner are complex. The long-term value of such an investment is in the scalable platforms that can be used to accommodate larger operation and integration with other tourism projects within Europe</w:t>
      </w:r>
      <w:r w:rsidRPr="00A547E6">
        <w:rPr>
          <w:rFonts w:ascii="Times New Roman" w:eastAsia="Times New Roman" w:hAnsi="Times New Roman" w:cs="Times New Roman"/>
          <w:kern w:val="0"/>
          <w14:ligatures w14:val="none"/>
        </w:rPr>
        <w:t>.</w:t>
      </w:r>
    </w:p>
    <w:p w:rsidR="00A547E6" w:rsidRPr="00A547E6" w:rsidRDefault="00A547E6" w:rsidP="00A547E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Digital health passport system development and integration: €65 million, including blockchain infrastructure, mobile application development, API integration with national health systems, and compliance with EU data protection regulations</w:t>
      </w:r>
    </w:p>
    <w:p w:rsidR="00A547E6" w:rsidRPr="00A547E6" w:rsidRDefault="00A547E6" w:rsidP="00A547E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Point-of-entry health screening equipment: €45 million, covering thermal imaging systems, rapid diagnostic testing infrastructure, biometric verification equipment, and automated flow management systems at airports, ferry terminals, and land border crossings</w:t>
      </w:r>
    </w:p>
    <w:p w:rsidR="00A547E6" w:rsidRPr="00A547E6" w:rsidRDefault="00A547E6" w:rsidP="00A547E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Continuous monitoring and data management systems: €35 million, including IoT sensor networks, cloud computing infrastructure, real-time analytics platforms, and predictive modeling capabilities that support proactive health risk management</w:t>
      </w:r>
    </w:p>
    <w:p w:rsidR="00A547E6" w:rsidRPr="00A547E6" w:rsidRDefault="00A547E6" w:rsidP="00A547E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Mobile application development and maintenance: €25 million, covering multilingual user interfaces, cultural adaptation features, accessibility compliance, and ongoing technical support for diverse user populations</w:t>
      </w:r>
    </w:p>
    <w:p w:rsidR="00A547E6" w:rsidRPr="00A547E6" w:rsidRDefault="00A547E6" w:rsidP="00A547E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Cybersecurity and data protection infrastructure: €10 million, ensuring compliance with EU data protection regulations while providing robust security against cyber threats that could compromise traveler privacy or system integrity</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Healthcare System Integration (€120 Million):</w:t>
      </w:r>
      <w:r w:rsidRPr="00A547E6">
        <w:rPr>
          <w:rFonts w:ascii="Times New Roman" w:eastAsia="Times New Roman" w:hAnsi="Times New Roman" w:cs="Times New Roman"/>
          <w:kern w:val="0"/>
          <w14:ligatures w14:val="none"/>
        </w:rPr>
        <w:t xml:space="preserve"> </w:t>
      </w:r>
      <w:r w:rsidR="00CD1BFB" w:rsidRPr="00CD1BFB">
        <w:rPr>
          <w:rFonts w:ascii="Times New Roman" w:eastAsia="Times New Roman" w:hAnsi="Times New Roman" w:cs="Times New Roman"/>
          <w:kern w:val="0"/>
          <w14:ligatures w14:val="none"/>
        </w:rPr>
        <w:t xml:space="preserve">Investment in the integration of the healthcare system will support the corridor to improve and not overload the existing health infrastructure and to offer world-leading health services to international travelers. These investments leave </w:t>
      </w:r>
      <w:r w:rsidR="00CD1BFB" w:rsidRPr="00CD1BFB">
        <w:rPr>
          <w:rFonts w:ascii="Times New Roman" w:eastAsia="Times New Roman" w:hAnsi="Times New Roman" w:cs="Times New Roman"/>
          <w:kern w:val="0"/>
          <w14:ligatures w14:val="none"/>
        </w:rPr>
        <w:lastRenderedPageBreak/>
        <w:t>behind economic benefits to the local communities due to better healthcare capacity as well as emergency response capacity</w:t>
      </w:r>
      <w:r w:rsidRPr="00A547E6">
        <w:rPr>
          <w:rFonts w:ascii="Times New Roman" w:eastAsia="Times New Roman" w:hAnsi="Times New Roman" w:cs="Times New Roman"/>
          <w:kern w:val="0"/>
          <w14:ligatures w14:val="none"/>
        </w:rPr>
        <w:t>.</w:t>
      </w:r>
    </w:p>
    <w:p w:rsidR="00A547E6" w:rsidRPr="00A547E6" w:rsidRDefault="00A547E6" w:rsidP="00A547E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Healthcare facility upgrades at major tourist destinations: €70 million, including equipment modernization, capacity expansion, multilingual staff training, and specialized facilities for treating travel-related health conditions common in international tourism contexts</w:t>
      </w:r>
    </w:p>
    <w:p w:rsidR="00A547E6" w:rsidRPr="00A547E6" w:rsidRDefault="00A547E6" w:rsidP="00A547E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Staff training and certification programs: €25 million, covering comprehensive health screening training, cultural competency development, emergency response protocols, and ongoing professional development that ensures high-quality service delivery across diverse cultural contexts</w:t>
      </w:r>
    </w:p>
    <w:p w:rsidR="00A547E6" w:rsidRPr="00A547E6" w:rsidRDefault="00A547E6" w:rsidP="00A547E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Emergency response capability enhancement: €15 million, including mobile medical units, helicopter evacuation services, coordination systems for rapid response to health emergencies, and integration with national emergency services</w:t>
      </w:r>
    </w:p>
    <w:p w:rsidR="00A547E6" w:rsidRPr="00A547E6" w:rsidRDefault="00A547E6" w:rsidP="00A547E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Telemedicine infrastructure for tourist health services: €10 million, providing remote consultation capabilities, multilingual medical translation services, and 24/7 access to medical expertise that can address the unique health needs of international travelers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Marketing and Communication (€80 Million):</w:t>
      </w:r>
      <w:r w:rsidRPr="00A547E6">
        <w:rPr>
          <w:rFonts w:ascii="Times New Roman" w:eastAsia="Times New Roman" w:hAnsi="Times New Roman" w:cs="Times New Roman"/>
          <w:kern w:val="0"/>
          <w14:ligatures w14:val="none"/>
        </w:rPr>
        <w:t xml:space="preserve"> </w:t>
      </w:r>
      <w:r w:rsidR="00CD1BFB" w:rsidRPr="00CD1BFB">
        <w:rPr>
          <w:rFonts w:ascii="Times New Roman" w:eastAsia="Times New Roman" w:hAnsi="Times New Roman" w:cs="Times New Roman"/>
          <w:kern w:val="0"/>
          <w14:ligatures w14:val="none"/>
        </w:rPr>
        <w:t xml:space="preserve">The investment in the marketing and communication develops corridor initiative awareness and confidence together with the establishment of </w:t>
      </w:r>
      <w:proofErr w:type="gramStart"/>
      <w:r w:rsidR="00CD1BFB" w:rsidRPr="00CD1BFB">
        <w:rPr>
          <w:rFonts w:ascii="Times New Roman" w:eastAsia="Times New Roman" w:hAnsi="Times New Roman" w:cs="Times New Roman"/>
          <w:kern w:val="0"/>
          <w14:ligatures w14:val="none"/>
        </w:rPr>
        <w:t>long term</w:t>
      </w:r>
      <w:proofErr w:type="gramEnd"/>
      <w:r w:rsidR="00CD1BFB" w:rsidRPr="00CD1BFB">
        <w:rPr>
          <w:rFonts w:ascii="Times New Roman" w:eastAsia="Times New Roman" w:hAnsi="Times New Roman" w:cs="Times New Roman"/>
          <w:kern w:val="0"/>
          <w14:ligatures w14:val="none"/>
        </w:rPr>
        <w:t xml:space="preserve"> brand recognition that promotes long term tourism development. The investment makes use of traditional and online promotional platforms to attract different audiences globally in a way that is effective</w:t>
      </w:r>
      <w:r w:rsidRPr="00A547E6">
        <w:rPr>
          <w:rFonts w:ascii="Times New Roman" w:eastAsia="Times New Roman" w:hAnsi="Times New Roman" w:cs="Times New Roman"/>
          <w:kern w:val="0"/>
          <w14:ligatures w14:val="none"/>
        </w:rPr>
        <w:t>.</w:t>
      </w:r>
    </w:p>
    <w:p w:rsidR="00A547E6" w:rsidRPr="00A547E6" w:rsidRDefault="00A547E6" w:rsidP="00A547E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International marketing campaign launch: €40 million, including global advertising campaigns, influencer partnerships, travel trade show participation, and content marketing that showcases the corridor's unique value proposition to target markets worldwide</w:t>
      </w:r>
    </w:p>
    <w:p w:rsidR="00A547E6" w:rsidRPr="00A547E6" w:rsidRDefault="00A547E6" w:rsidP="00A547E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Stakeholder engagement and diplomatic coordination: €20 million, covering government relations activities, international conference participation, diplomatic briefings, and ongoing relationship management with key stakeholders in both public and private sectors</w:t>
      </w:r>
    </w:p>
    <w:p w:rsidR="00A547E6" w:rsidRPr="00A547E6" w:rsidRDefault="00A547E6" w:rsidP="00A547E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Educational materials development and distribution: €15 million, including multilingual content creation, cultural adaptation services, accessibility compliance, and distribution through multiple channels including digital platforms, print media, and in-person training programs</w:t>
      </w:r>
    </w:p>
    <w:p w:rsidR="00A547E6" w:rsidRPr="00A547E6" w:rsidRDefault="00A547E6" w:rsidP="00A547E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Crisis communication system establishment: €5 million, creating rapid response communication capabilities, media relations infrastructure, and coordinated messaging systems that can address potential challenges while maintaining stakeholder confidence</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Administrative and Operational (€70 Million):</w:t>
      </w:r>
      <w:r w:rsidRPr="00A547E6">
        <w:rPr>
          <w:rFonts w:ascii="Times New Roman" w:eastAsia="Times New Roman" w:hAnsi="Times New Roman" w:cs="Times New Roman"/>
          <w:kern w:val="0"/>
          <w14:ligatures w14:val="none"/>
        </w:rPr>
        <w:t xml:space="preserve"> </w:t>
      </w:r>
      <w:r w:rsidR="00CD1BFB" w:rsidRPr="00CD1BFB">
        <w:rPr>
          <w:rFonts w:ascii="Times New Roman" w:eastAsia="Times New Roman" w:hAnsi="Times New Roman" w:cs="Times New Roman"/>
          <w:kern w:val="0"/>
          <w14:ligatures w14:val="none"/>
        </w:rPr>
        <w:t>Administrative and operating investments guarantee successful program execution and compliance with the regulations and keep a reserve of budgetary assets to face unexpected challenges. Such investments establish the institutional base to operate and in the long run expand successfully</w:t>
      </w:r>
      <w:r w:rsidRPr="00A547E6">
        <w:rPr>
          <w:rFonts w:ascii="Times New Roman" w:eastAsia="Times New Roman" w:hAnsi="Times New Roman" w:cs="Times New Roman"/>
          <w:kern w:val="0"/>
          <w14:ligatures w14:val="none"/>
        </w:rPr>
        <w:t>.</w:t>
      </w:r>
    </w:p>
    <w:p w:rsidR="00A547E6" w:rsidRPr="00A547E6" w:rsidRDefault="00A547E6" w:rsidP="00A547E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lastRenderedPageBreak/>
        <w:t>Program management and coordination: €30 million, including dedicated staff for both Italian and Greek operations, project management systems, regular stakeholder coordination meetings, and performance monitoring systems that ensure effective implementation</w:t>
      </w:r>
    </w:p>
    <w:p w:rsidR="00A547E6" w:rsidRPr="00A547E6" w:rsidRDefault="00A547E6" w:rsidP="00A547E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Regulatory compliance and certification: €20 million, covering legal framework development, regulatory approval processes, international certification requirements, and ongoing compliance monitoring across multiple jurisdictions</w:t>
      </w:r>
    </w:p>
    <w:p w:rsidR="00A547E6" w:rsidRPr="00A547E6" w:rsidRDefault="00A547E6" w:rsidP="00A547E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Legal framework development: €15 million, including bilateral agreement negotiation, international law compliance, intellectual property protection, and contract development for partnerships with private sector stakeholders</w:t>
      </w:r>
    </w:p>
    <w:p w:rsidR="00A547E6" w:rsidRPr="00A547E6" w:rsidRDefault="00A547E6" w:rsidP="00A547E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Contingency reserves: €5 million, providing financial resources for addressing unforeseen challenges, market fluctuations, or technical complications that may arise during implementation</w:t>
      </w:r>
    </w:p>
    <w:p w:rsidR="00A547E6" w:rsidRPr="00A547E6" w:rsidRDefault="00A547E6" w:rsidP="00A547E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547E6">
        <w:rPr>
          <w:rFonts w:ascii="Times New Roman" w:eastAsia="Times New Roman" w:hAnsi="Times New Roman" w:cs="Times New Roman"/>
          <w:b/>
          <w:bCs/>
          <w:kern w:val="0"/>
          <w14:ligatures w14:val="none"/>
        </w:rPr>
        <w:t>Revenue Projections and Economic Impact</w:t>
      </w:r>
    </w:p>
    <w:p w:rsidR="00CD1BFB" w:rsidRPr="00CD1BFB" w:rsidRDefault="00CD1BFB" w:rsidP="00CD1BFB">
      <w:pPr>
        <w:spacing w:before="100" w:beforeAutospacing="1" w:after="100" w:afterAutospacing="1" w:line="240" w:lineRule="auto"/>
        <w:rPr>
          <w:rStyle w:val="Strong"/>
          <w:rFonts w:ascii="Times New Roman" w:eastAsiaTheme="majorEastAsia" w:hAnsi="Times New Roman" w:cs="Times New Roman"/>
          <w:b w:val="0"/>
          <w:bCs w:val="0"/>
          <w:kern w:val="0"/>
          <w14:ligatures w14:val="none"/>
        </w:rPr>
      </w:pPr>
      <w:r w:rsidRPr="00CD1BFB">
        <w:rPr>
          <w:rStyle w:val="Strong"/>
          <w:rFonts w:ascii="Times New Roman" w:eastAsiaTheme="majorEastAsia" w:hAnsi="Times New Roman" w:cs="Times New Roman"/>
          <w:kern w:val="0"/>
          <w14:ligatures w14:val="none"/>
        </w:rPr>
        <w:t xml:space="preserve">Explicit sources of direct tourism revenue: </w:t>
      </w:r>
      <w:r w:rsidRPr="00CD1BFB">
        <w:rPr>
          <w:rStyle w:val="Strong"/>
          <w:rFonts w:ascii="Times New Roman" w:eastAsiaTheme="majorEastAsia" w:hAnsi="Times New Roman" w:cs="Times New Roman"/>
          <w:b w:val="0"/>
          <w:bCs w:val="0"/>
          <w:kern w:val="0"/>
          <w14:ligatures w14:val="none"/>
        </w:rPr>
        <w:t>There tend to be 8 million corridor users in the first year followed by an improvement of 18 million users by the third year. 7-day average stays spent in the country on average per tourist on a daily basis at euro 120 per person causes direct revenues of euro 6.7 billion in a period of 3 years.</w:t>
      </w:r>
    </w:p>
    <w:p w:rsidR="00CD1BFB" w:rsidRPr="00CD1BFB" w:rsidRDefault="00CD1BFB" w:rsidP="00CD1BFB">
      <w:pPr>
        <w:spacing w:before="100" w:beforeAutospacing="1" w:after="100" w:afterAutospacing="1" w:line="240" w:lineRule="auto"/>
        <w:rPr>
          <w:rStyle w:val="Strong"/>
          <w:rFonts w:ascii="Times New Roman" w:eastAsiaTheme="majorEastAsia" w:hAnsi="Times New Roman" w:cs="Times New Roman"/>
          <w:b w:val="0"/>
          <w:bCs w:val="0"/>
          <w:kern w:val="0"/>
          <w14:ligatures w14:val="none"/>
        </w:rPr>
      </w:pPr>
      <w:r w:rsidRPr="00CD1BFB">
        <w:rPr>
          <w:rStyle w:val="Strong"/>
          <w:rFonts w:ascii="Times New Roman" w:eastAsiaTheme="majorEastAsia" w:hAnsi="Times New Roman" w:cs="Times New Roman"/>
          <w:kern w:val="0"/>
          <w14:ligatures w14:val="none"/>
        </w:rPr>
        <w:t xml:space="preserve">Indirect Economic Benefits: </w:t>
      </w:r>
      <w:r w:rsidRPr="00CD1BFB">
        <w:rPr>
          <w:rStyle w:val="Strong"/>
          <w:rFonts w:ascii="Times New Roman" w:eastAsiaTheme="majorEastAsia" w:hAnsi="Times New Roman" w:cs="Times New Roman"/>
          <w:b w:val="0"/>
          <w:bCs w:val="0"/>
          <w:kern w:val="0"/>
          <w14:ligatures w14:val="none"/>
        </w:rPr>
        <w:t>the indirect economic gain of the supply chain effects and consequent spending equates to a total value of 3.2 billion euros in the three years. The costs savings that result in the better health (by enhancing screening and other preventative interventions) save healthcare costs to overcome the €180 million in cumulative health-care expenditures caused by the malnutrition.</w:t>
      </w:r>
    </w:p>
    <w:p w:rsidR="00A547E6" w:rsidRPr="00A547E6" w:rsidRDefault="00CD1BFB" w:rsidP="00CD1BFB">
      <w:pPr>
        <w:spacing w:before="100" w:beforeAutospacing="1" w:after="100" w:afterAutospacing="1" w:line="240" w:lineRule="auto"/>
        <w:rPr>
          <w:rFonts w:ascii="Times New Roman" w:eastAsia="Times New Roman" w:hAnsi="Times New Roman" w:cs="Times New Roman"/>
          <w:b/>
          <w:bCs/>
          <w:kern w:val="0"/>
          <w14:ligatures w14:val="none"/>
        </w:rPr>
      </w:pPr>
      <w:r w:rsidRPr="00CD1BFB">
        <w:rPr>
          <w:rStyle w:val="Strong"/>
          <w:rFonts w:ascii="Times New Roman" w:eastAsiaTheme="majorEastAsia" w:hAnsi="Times New Roman" w:cs="Times New Roman"/>
          <w:kern w:val="0"/>
          <w14:ligatures w14:val="none"/>
        </w:rPr>
        <w:t xml:space="preserve">Return on Investment: </w:t>
      </w:r>
      <w:r w:rsidRPr="00CD1BFB">
        <w:rPr>
          <w:rStyle w:val="Strong"/>
          <w:rFonts w:ascii="Times New Roman" w:eastAsiaTheme="majorEastAsia" w:hAnsi="Times New Roman" w:cs="Times New Roman"/>
          <w:b w:val="0"/>
          <w:bCs w:val="0"/>
          <w:kern w:val="0"/>
          <w14:ligatures w14:val="none"/>
        </w:rPr>
        <w:t>The project shows a Return on Investment of 620 percent after 3 years of implementation and break even recorded in 18 months after reaching full operational operation of the project</w:t>
      </w:r>
      <w:r>
        <w:rPr>
          <w:rStyle w:val="Strong"/>
          <w:rFonts w:ascii="Times New Roman" w:eastAsiaTheme="majorEastAsia" w:hAnsi="Times New Roman" w:cs="Times New Roman"/>
          <w:b w:val="0"/>
          <w:bCs w:val="0"/>
          <w:kern w:val="0"/>
          <w14:ligatures w14:val="none"/>
        </w:rPr>
        <w:t>.</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Technology Integration Strategy</w:t>
      </w:r>
    </w:p>
    <w:p w:rsidR="00A547E6" w:rsidRPr="00A547E6" w:rsidRDefault="00A547E6" w:rsidP="00A547E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547E6">
        <w:rPr>
          <w:rFonts w:ascii="Times New Roman" w:eastAsia="Times New Roman" w:hAnsi="Times New Roman" w:cs="Times New Roman"/>
          <w:b/>
          <w:bCs/>
          <w:kern w:val="0"/>
          <w14:ligatures w14:val="none"/>
        </w:rPr>
        <w:t>Contactless Travel Infrastructure</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The corridor will pioneer fully contactless travel experiences that eliminate physical document handling while maintaining security and efficiency standards. Biometric identification systems, integrated with digital health verification, enable seamless transit through all checkpoints.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Smart Border Crossing Technology:</w:t>
      </w:r>
      <w:r w:rsidRPr="00A547E6">
        <w:rPr>
          <w:rFonts w:ascii="Times New Roman" w:eastAsia="Times New Roman" w:hAnsi="Times New Roman" w:cs="Times New Roman"/>
          <w:kern w:val="0"/>
          <w14:ligatures w14:val="none"/>
        </w:rPr>
        <w:t xml:space="preserve"> </w:t>
      </w:r>
      <w:r w:rsidR="00CD1BFB" w:rsidRPr="00CD1BFB">
        <w:rPr>
          <w:rFonts w:ascii="Times New Roman" w:eastAsia="Times New Roman" w:hAnsi="Times New Roman" w:cs="Times New Roman"/>
          <w:kern w:val="0"/>
          <w14:ligatures w14:val="none"/>
        </w:rPr>
        <w:t>Automated border control bases its processing capabilities on facial recognition, verification of digital health passports, and risk assessment algorithms so that each traveler can be processed in 45 seconds. The system stores rich audit histories with no invasion of individual privacy due to high level encryptions, data minimalization measures</w:t>
      </w:r>
      <w:r w:rsidRPr="00A547E6">
        <w:rPr>
          <w:rFonts w:ascii="Times New Roman" w:eastAsia="Times New Roman" w:hAnsi="Times New Roman" w:cs="Times New Roman"/>
          <w:kern w:val="0"/>
          <w14:ligatures w14:val="none"/>
        </w:rPr>
        <w:t>.</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lastRenderedPageBreak/>
        <w:t>Accommodation Integration:</w:t>
      </w:r>
      <w:r w:rsidRPr="00A547E6">
        <w:rPr>
          <w:rFonts w:ascii="Times New Roman" w:eastAsia="Times New Roman" w:hAnsi="Times New Roman" w:cs="Times New Roman"/>
          <w:kern w:val="0"/>
          <w14:ligatures w14:val="none"/>
        </w:rPr>
        <w:t xml:space="preserve"> </w:t>
      </w:r>
      <w:r w:rsidR="00CD1BFB" w:rsidRPr="00CD1BFB">
        <w:rPr>
          <w:rFonts w:ascii="Times New Roman" w:eastAsia="Times New Roman" w:hAnsi="Times New Roman" w:cs="Times New Roman"/>
          <w:kern w:val="0"/>
          <w14:ligatures w14:val="none"/>
        </w:rPr>
        <w:t xml:space="preserve">The accommodation providers, hotels among them incorporate the technology into their systems which allows the users to automatically check-in, access their rooms, and monitor their health automatically without interfering with the privacy of the guests using </w:t>
      </w:r>
      <w:proofErr w:type="spellStart"/>
      <w:r w:rsidR="00CD1BFB" w:rsidRPr="00CD1BFB">
        <w:rPr>
          <w:rFonts w:ascii="Times New Roman" w:eastAsia="Times New Roman" w:hAnsi="Times New Roman" w:cs="Times New Roman"/>
          <w:kern w:val="0"/>
          <w14:ligatures w14:val="none"/>
        </w:rPr>
        <w:t>standardised</w:t>
      </w:r>
      <w:proofErr w:type="spellEnd"/>
      <w:r w:rsidR="00CD1BFB" w:rsidRPr="00CD1BFB">
        <w:rPr>
          <w:rFonts w:ascii="Times New Roman" w:eastAsia="Times New Roman" w:hAnsi="Times New Roman" w:cs="Times New Roman"/>
          <w:kern w:val="0"/>
          <w14:ligatures w14:val="none"/>
        </w:rPr>
        <w:t xml:space="preserve"> APIs. The result of the system provides publicly used and anonym efficiency of the population health data used in making decisions concerning public health without exposing the personal identity of the individual user</w:t>
      </w:r>
      <w:r w:rsidRPr="00A547E6">
        <w:rPr>
          <w:rFonts w:ascii="Times New Roman" w:eastAsia="Times New Roman" w:hAnsi="Times New Roman" w:cs="Times New Roman"/>
          <w:kern w:val="0"/>
          <w14:ligatures w14:val="none"/>
        </w:rPr>
        <w:t>.</w:t>
      </w:r>
    </w:p>
    <w:p w:rsidR="00A547E6" w:rsidRPr="00A547E6" w:rsidRDefault="00A547E6" w:rsidP="00A547E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547E6">
        <w:rPr>
          <w:rFonts w:ascii="Times New Roman" w:eastAsia="Times New Roman" w:hAnsi="Times New Roman" w:cs="Times New Roman"/>
          <w:b/>
          <w:bCs/>
          <w:kern w:val="0"/>
          <w14:ligatures w14:val="none"/>
        </w:rPr>
        <w:t>Real-Time Health Monitoring Systems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Predictive Health Analytics:</w:t>
      </w:r>
      <w:r w:rsidRPr="00A547E6">
        <w:rPr>
          <w:rFonts w:ascii="Times New Roman" w:eastAsia="Times New Roman" w:hAnsi="Times New Roman" w:cs="Times New Roman"/>
          <w:kern w:val="0"/>
          <w14:ligatures w14:val="none"/>
        </w:rPr>
        <w:t xml:space="preserve"> Machine learning algorithms analyze population health trends, environmental conditions, and travel patterns to predict potential health risks before they manifest. The system provides early warning capabilities that enable proactive intervention rather than reactive crisis management.</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Interoperable Data Standards:</w:t>
      </w:r>
      <w:r w:rsidRPr="00A547E6">
        <w:rPr>
          <w:rFonts w:ascii="Times New Roman" w:eastAsia="Times New Roman" w:hAnsi="Times New Roman" w:cs="Times New Roman"/>
          <w:kern w:val="0"/>
          <w14:ligatures w14:val="none"/>
        </w:rPr>
        <w:t xml:space="preserve"> All system components utilize internationally recognized health data standards including HL7 FHIR and IHE profiles to ensure compatibility with existing healthcare systems and future technological developments. This approach protects the substantial infrastructure investment while enabling continuous system evolution.</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Cultural Appropriateness and Health Literacy Strategies</w:t>
      </w:r>
    </w:p>
    <w:p w:rsidR="00A547E6" w:rsidRPr="00A547E6" w:rsidRDefault="00A547E6" w:rsidP="00A547E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547E6">
        <w:rPr>
          <w:rFonts w:ascii="Times New Roman" w:eastAsia="Times New Roman" w:hAnsi="Times New Roman" w:cs="Times New Roman"/>
          <w:b/>
          <w:bCs/>
          <w:kern w:val="0"/>
          <w14:ligatures w14:val="none"/>
        </w:rPr>
        <w:t>Multilingual Communication Framework</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Communication materials are developed in twelve languages covering 95% of anticipated corridor users. Beyond literal translation, materials undergo cultural adaptation to ensure appropriate tone, cultural references, and health concepts that resonate with diverse cultural backgrounds.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Visual Communication Design:</w:t>
      </w:r>
      <w:r w:rsidRPr="00A547E6">
        <w:rPr>
          <w:rFonts w:ascii="Times New Roman" w:eastAsia="Times New Roman" w:hAnsi="Times New Roman" w:cs="Times New Roman"/>
          <w:kern w:val="0"/>
          <w14:ligatures w14:val="none"/>
        </w:rPr>
        <w:t xml:space="preserve"> Recognizing varying literacy levels among international tourists, the communication strategy emphasizes visual elements including pictographs, infographics, and video content. These materials undergo cultural sensitivity review to ensure appropriateness across different cultural contexts while maintaining technical accuracy.</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Cultural Health Concepts Integration:</w:t>
      </w:r>
      <w:r w:rsidRPr="00A547E6">
        <w:rPr>
          <w:rFonts w:ascii="Times New Roman" w:eastAsia="Times New Roman" w:hAnsi="Times New Roman" w:cs="Times New Roman"/>
          <w:kern w:val="0"/>
          <w14:ligatures w14:val="none"/>
        </w:rPr>
        <w:t xml:space="preserve"> Different cultures conceptualize health, illness, and prevention in varying ways. The communication framework acknowledges these differences through culturally adapted messaging that respects traditional health beliefs while promoting evidence-based health protection measures.</w:t>
      </w:r>
    </w:p>
    <w:p w:rsidR="00A547E6" w:rsidRPr="00A547E6" w:rsidRDefault="00A547E6" w:rsidP="00A547E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547E6">
        <w:rPr>
          <w:rFonts w:ascii="Times New Roman" w:eastAsia="Times New Roman" w:hAnsi="Times New Roman" w:cs="Times New Roman"/>
          <w:b/>
          <w:bCs/>
          <w:kern w:val="0"/>
          <w14:ligatures w14:val="none"/>
        </w:rPr>
        <w:t>Stakeholder Engagement Protocols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Government Relations Management:</w:t>
      </w:r>
      <w:r w:rsidRPr="00A547E6">
        <w:rPr>
          <w:rFonts w:ascii="Times New Roman" w:eastAsia="Times New Roman" w:hAnsi="Times New Roman" w:cs="Times New Roman"/>
          <w:kern w:val="0"/>
          <w14:ligatures w14:val="none"/>
        </w:rPr>
        <w:t xml:space="preserve"> Diplomatic protocols ensure appropriate government-to-government communication throughout the initiative's development and implementation phases. Regular ministerial briefings and parliamentary updates maintain political support while addressing concerns about sovereignty and international cooperation.</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lastRenderedPageBreak/>
        <w:t>Industry Partnership Development:</w:t>
      </w:r>
      <w:r w:rsidRPr="00A547E6">
        <w:rPr>
          <w:rFonts w:ascii="Times New Roman" w:eastAsia="Times New Roman" w:hAnsi="Times New Roman" w:cs="Times New Roman"/>
          <w:kern w:val="0"/>
          <w14:ligatures w14:val="none"/>
        </w:rPr>
        <w:t xml:space="preserve"> Tourism industry stakeholders receive regular updates through established trade associations and professional networks. Communication emphasizes collaborative benefits while addressing competitive concerns through transparent, equitable participation frameworks.</w:t>
      </w:r>
    </w:p>
    <w:p w:rsidR="0094698B" w:rsidRDefault="0094698B" w:rsidP="00A547E6">
      <w:pPr>
        <w:spacing w:before="100" w:beforeAutospacing="1" w:after="100" w:afterAutospacing="1" w:line="240" w:lineRule="auto"/>
        <w:outlineLvl w:val="1"/>
        <w:rPr>
          <w:rFonts w:ascii="Times New Roman" w:eastAsia="Times New Roman" w:hAnsi="Times New Roman" w:cs="Times New Roman"/>
          <w:kern w:val="0"/>
          <w14:ligatures w14:val="none"/>
        </w:rPr>
      </w:pPr>
    </w:p>
    <w:p w:rsidR="00A547E6" w:rsidRPr="00A547E6" w:rsidRDefault="00A547E6" w:rsidP="00A547E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547E6">
        <w:rPr>
          <w:rFonts w:ascii="Times New Roman" w:eastAsia="Times New Roman" w:hAnsi="Times New Roman" w:cs="Times New Roman"/>
          <w:b/>
          <w:bCs/>
          <w:kern w:val="0"/>
          <w:sz w:val="36"/>
          <w:szCs w:val="36"/>
          <w14:ligatures w14:val="none"/>
        </w:rPr>
        <w:t>Discussion</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Strategic Communication Implications</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 xml:space="preserve">The Italy-Greece Health-Safe Tourism Corridor action is an archetype of international tourism communication and needs higher levels of government advice, healthcare system, and commercial </w:t>
      </w:r>
      <w:proofErr w:type="gramStart"/>
      <w:r w:rsidRPr="0094698B">
        <w:rPr>
          <w:rFonts w:ascii="Times New Roman" w:eastAsia="Times New Roman" w:hAnsi="Times New Roman" w:cs="Times New Roman"/>
          <w:kern w:val="0"/>
          <w14:ligatures w14:val="none"/>
        </w:rPr>
        <w:t>stakeholders</w:t>
      </w:r>
      <w:proofErr w:type="gramEnd"/>
      <w:r w:rsidRPr="0094698B">
        <w:rPr>
          <w:rFonts w:ascii="Times New Roman" w:eastAsia="Times New Roman" w:hAnsi="Times New Roman" w:cs="Times New Roman"/>
          <w:kern w:val="0"/>
          <w14:ligatures w14:val="none"/>
        </w:rPr>
        <w:t xml:space="preserve"> cooperation than ever before. The communication plan should strike a balance between various and potentially competing agendas: health protection, preservation of culture and authenticity of the place, sustainability of the tourist confidence, and recovery of the economy.</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Situational Crisis Communication Theory can be especially applicable when dealing with the current ambiguity of the pandemic era travelling. Instead of taking the health situation as a crisis that should be dealt with, the communication strategy relocates health measures as value-added services that improve the travel experience. This will help to change any possible negative attitudes towards health screening into positive differentiators that could show destination commitment to the good health of the visitors.</w:t>
      </w:r>
    </w:p>
    <w:p w:rsidR="00A547E6" w:rsidRPr="00A547E6"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The cultural issues are instrumental in the efficiency of communication. High-context cultures, which have a long history of using high-augmentation travels and do not directly emphasize health compliance but instead transcend to community trust-building and community advantages, are examples of Italian and Greek tourism environments that necessitate the adoption of a communication strategy that serves as a trust-builder and of capitalizing on the importance of health rather than simply on health compliance. The communication structure included in the proposal will use these cultural dimensions by personalized communication approaches and relations-building protocols that observe the local business traditions and social order</w:t>
      </w:r>
      <w:r w:rsidR="00A547E6" w:rsidRPr="00A547E6">
        <w:rPr>
          <w:rFonts w:ascii="Times New Roman" w:eastAsia="Times New Roman" w:hAnsi="Times New Roman" w:cs="Times New Roman"/>
          <w:kern w:val="0"/>
          <w14:ligatures w14:val="none"/>
        </w:rPr>
        <w:t>.</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Risk Management and Mitigation Strategies</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The planned tourism route incorporates sound measures of risk aversion along the lines of technical, political, and economical realms. Technically, the infrastructure has been constructed to have resulting redundancy and failure-recipient that satisfy the uninterrupted service including the partial system breakages. Cloud-based architecture with integrated data centers, located in different geographical locations, boosts the resilience of the system, and supports EU data protection measures.</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 xml:space="preserve">Political risks including changes in government priorities and diplomacy issues, as well as adaptation of regulatory structures are recognized and prevented by a series of counter measures. These are flexible implementation schedules, a system design that is modular and lends </w:t>
      </w:r>
      <w:r w:rsidRPr="0094698B">
        <w:rPr>
          <w:rFonts w:ascii="Times New Roman" w:eastAsia="Times New Roman" w:hAnsi="Times New Roman" w:cs="Times New Roman"/>
          <w:kern w:val="0"/>
          <w14:ligatures w14:val="none"/>
        </w:rPr>
        <w:lastRenderedPageBreak/>
        <w:t>flexibility to deployment, Treaty agreements that are bilateral and which ensure continuity and provide certain legal certainty during changes of political regime.</w:t>
      </w:r>
    </w:p>
    <w:p w:rsidR="00A547E6" w:rsidRPr="00A547E6"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The main weakness of the initiative that is characterized economically is uncertainty in tourism demand. The sensitivity tests carried out in the process of planning the project affirm the fact that the corridor will be feasible in terms of its economics even when it could not realize its predicted number of visitors reaching only the 60% of visitor expectations. The initiative is further cushioned against volatility in the market and financial insecurity by conservative revenue estimates and a diversified portfolio of the sources of the funding.</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Scalability and Replication Potential</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 xml:space="preserve">Italy Greece tourism corridor is no longer planned as a </w:t>
      </w:r>
      <w:proofErr w:type="gramStart"/>
      <w:r w:rsidRPr="0094698B">
        <w:rPr>
          <w:rFonts w:ascii="Times New Roman" w:eastAsia="Times New Roman" w:hAnsi="Times New Roman" w:cs="Times New Roman"/>
          <w:kern w:val="0"/>
          <w14:ligatures w14:val="none"/>
        </w:rPr>
        <w:t>single solutions</w:t>
      </w:r>
      <w:proofErr w:type="gramEnd"/>
      <w:r w:rsidRPr="0094698B">
        <w:rPr>
          <w:rFonts w:ascii="Times New Roman" w:eastAsia="Times New Roman" w:hAnsi="Times New Roman" w:cs="Times New Roman"/>
          <w:kern w:val="0"/>
          <w14:ligatures w14:val="none"/>
        </w:rPr>
        <w:t xml:space="preserve"> but an up-scalable prototype of a greater EU integration. The planning of the technical facilities and operational procedures constructed in this corridor is purposefully designed such that it is compatible with other activities in Europe. Such planning will make it possible to expand in the future and develop integrated tourist routes across the continent such that network effects are achieved so that more value is added to all participants essentially improving its utility.</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Consistent with the European Union agenda of Digital Single Market, this corridor promotes the greater integration by facilitating cross-border travel by adopting a common digital standard. The thriving of Italy-Greece project may act as a booster of the same kind of projects within the rest of EU Member states, ensuring the in-common tourism policy and strengthening European unity.</w:t>
      </w:r>
    </w:p>
    <w:p w:rsidR="00A547E6" w:rsidRPr="00A547E6"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 xml:space="preserve">In addition, the flexibility of the model is not confined to Europe. World Tourism Organization has also shown interest in adopting this strategy as a blueprint to regional tourism recovery in non-EU regions. The technical and communication tactics </w:t>
      </w:r>
      <w:proofErr w:type="spellStart"/>
      <w:r w:rsidRPr="0094698B">
        <w:rPr>
          <w:rFonts w:ascii="Times New Roman" w:eastAsia="Times New Roman" w:hAnsi="Times New Roman" w:cs="Times New Roman"/>
          <w:kern w:val="0"/>
          <w14:ligatures w14:val="none"/>
        </w:rPr>
        <w:t>crystalised</w:t>
      </w:r>
      <w:proofErr w:type="spellEnd"/>
      <w:r w:rsidRPr="0094698B">
        <w:rPr>
          <w:rFonts w:ascii="Times New Roman" w:eastAsia="Times New Roman" w:hAnsi="Times New Roman" w:cs="Times New Roman"/>
          <w:kern w:val="0"/>
          <w14:ligatures w14:val="none"/>
        </w:rPr>
        <w:t>, on one hand, in Mediterranean cultural and logistics setting they can be used in other parts of the world to facilitate other similar initiatives</w:t>
      </w:r>
      <w:r w:rsidR="00A547E6" w:rsidRPr="00A547E6">
        <w:rPr>
          <w:rFonts w:ascii="Times New Roman" w:eastAsia="Times New Roman" w:hAnsi="Times New Roman" w:cs="Times New Roman"/>
          <w:kern w:val="0"/>
          <w14:ligatures w14:val="none"/>
        </w:rPr>
        <w:t>.</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Stakeholder Value Propositions</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 xml:space="preserve">The project has concrete value to the large number of stakeholders. To the tourist, it provides a safe and hassle-free travel. Verification of health becomes more simplified, processing time lowered, general safety is increased, and, at the same time, this does not reduce cultural depth and authenticity of the destination. Health measures are presented as value-added as opposed to restrictive and enhance confidence and satisfaction of </w:t>
      </w:r>
      <w:proofErr w:type="spellStart"/>
      <w:r w:rsidRPr="0094698B">
        <w:rPr>
          <w:rFonts w:ascii="Times New Roman" w:eastAsia="Times New Roman" w:hAnsi="Times New Roman" w:cs="Times New Roman"/>
          <w:kern w:val="0"/>
          <w14:ligatures w14:val="none"/>
        </w:rPr>
        <w:t>travellers</w:t>
      </w:r>
      <w:proofErr w:type="spellEnd"/>
      <w:r w:rsidRPr="0094698B">
        <w:rPr>
          <w:rFonts w:ascii="Times New Roman" w:eastAsia="Times New Roman" w:hAnsi="Times New Roman" w:cs="Times New Roman"/>
          <w:kern w:val="0"/>
          <w14:ligatures w14:val="none"/>
        </w:rPr>
        <w:t>.</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 xml:space="preserve">There are also tourism businesses that are going to gain a lot. The corridor allows increasing visitor confidence, streamlining work processes, and providing them with access to real-time market analytics. Uniform health procedures lower the cost of compliance and </w:t>
      </w:r>
      <w:proofErr w:type="gramStart"/>
      <w:r w:rsidRPr="0094698B">
        <w:rPr>
          <w:rFonts w:ascii="Times New Roman" w:eastAsia="Times New Roman" w:hAnsi="Times New Roman" w:cs="Times New Roman"/>
          <w:kern w:val="0"/>
          <w14:ligatures w14:val="none"/>
        </w:rPr>
        <w:t>enhances</w:t>
      </w:r>
      <w:proofErr w:type="gramEnd"/>
      <w:r w:rsidRPr="0094698B">
        <w:rPr>
          <w:rFonts w:ascii="Times New Roman" w:eastAsia="Times New Roman" w:hAnsi="Times New Roman" w:cs="Times New Roman"/>
          <w:kern w:val="0"/>
          <w14:ligatures w14:val="none"/>
        </w:rPr>
        <w:t xml:space="preserve"> efficiency so business can concentrate on providing good service in an environment that is predictable and stable.</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 xml:space="preserve">The governments of Italy and Greece enjoy more comprehensive monitoring of the health of the population and increasing international cooperation. It is a strategic instrument of revitalizing the </w:t>
      </w:r>
      <w:r w:rsidRPr="0094698B">
        <w:rPr>
          <w:rFonts w:ascii="Times New Roman" w:eastAsia="Times New Roman" w:hAnsi="Times New Roman" w:cs="Times New Roman"/>
          <w:kern w:val="0"/>
          <w14:ligatures w14:val="none"/>
        </w:rPr>
        <w:lastRenderedPageBreak/>
        <w:t>economies, more so in areas that are so much dependent on tourism. Moreover, it places both the governments as pioneers of sustainable tourism governance.</w:t>
      </w:r>
    </w:p>
    <w:p w:rsidR="00A547E6" w:rsidRPr="00A547E6"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 xml:space="preserve">European-level </w:t>
      </w:r>
      <w:proofErr w:type="gramStart"/>
      <w:r w:rsidRPr="0094698B">
        <w:rPr>
          <w:rFonts w:ascii="Times New Roman" w:eastAsia="Times New Roman" w:hAnsi="Times New Roman" w:cs="Times New Roman"/>
          <w:kern w:val="0"/>
          <w14:ligatures w14:val="none"/>
        </w:rPr>
        <w:t>The</w:t>
      </w:r>
      <w:proofErr w:type="gramEnd"/>
      <w:r w:rsidRPr="0094698B">
        <w:rPr>
          <w:rFonts w:ascii="Times New Roman" w:eastAsia="Times New Roman" w:hAnsi="Times New Roman" w:cs="Times New Roman"/>
          <w:kern w:val="0"/>
          <w14:ligatures w14:val="none"/>
        </w:rPr>
        <w:t xml:space="preserve"> corridor aligns with the EU objectives of becoming digital, integrating cross-border, and economically resilient. It proves that Europe can take the leading positions in post pandemic tourism development in terms of global best practices to strengthen the competitiveness of the EU on the global tourism market</w:t>
      </w:r>
      <w:r w:rsidR="00A547E6" w:rsidRPr="00A547E6">
        <w:rPr>
          <w:rFonts w:ascii="Times New Roman" w:eastAsia="Times New Roman" w:hAnsi="Times New Roman" w:cs="Times New Roman"/>
          <w:kern w:val="0"/>
          <w14:ligatures w14:val="none"/>
        </w:rPr>
        <w:t>.</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Implementation Timeline and Milestones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Phase 1 (Months 1-6): Foundation Development</w:t>
      </w:r>
    </w:p>
    <w:p w:rsidR="00A547E6" w:rsidRPr="00A547E6" w:rsidRDefault="00A547E6" w:rsidP="00A547E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Bilateral agreement negotiation and signing</w:t>
      </w:r>
    </w:p>
    <w:p w:rsidR="00A547E6" w:rsidRPr="00A547E6" w:rsidRDefault="00A547E6" w:rsidP="00A547E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Technical architecture design and specification</w:t>
      </w:r>
    </w:p>
    <w:p w:rsidR="00A547E6" w:rsidRPr="00A547E6" w:rsidRDefault="00A547E6" w:rsidP="00A547E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Stakeholder engagement and communication campaign launch</w:t>
      </w:r>
    </w:p>
    <w:p w:rsidR="00A547E6" w:rsidRPr="00A547E6" w:rsidRDefault="00A547E6" w:rsidP="00A547E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Initial funding allocation and project management structure establishment</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Phase 2 (Months 7-12): Infrastructure Development</w:t>
      </w:r>
    </w:p>
    <w:p w:rsidR="00A547E6" w:rsidRPr="00A547E6" w:rsidRDefault="00A547E6" w:rsidP="00A547E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Technology platform development and testing</w:t>
      </w:r>
    </w:p>
    <w:p w:rsidR="00A547E6" w:rsidRPr="00A547E6" w:rsidRDefault="00A547E6" w:rsidP="00A547E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Healthcare system integration and staff training</w:t>
      </w:r>
    </w:p>
    <w:p w:rsidR="00A547E6" w:rsidRPr="00A547E6" w:rsidRDefault="00A547E6" w:rsidP="00A547E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Marketing campaign implementation</w:t>
      </w:r>
    </w:p>
    <w:p w:rsidR="00A547E6" w:rsidRPr="00A547E6" w:rsidRDefault="00A547E6" w:rsidP="00A547E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Pilot testing with limited participant groups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Phase 3 (Months 13-18): Full Implementation</w:t>
      </w:r>
    </w:p>
    <w:p w:rsidR="00A547E6" w:rsidRPr="00A547E6" w:rsidRDefault="00A547E6" w:rsidP="00A547E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Complete system deployment across all access points</w:t>
      </w:r>
    </w:p>
    <w:p w:rsidR="00A547E6" w:rsidRPr="00A547E6" w:rsidRDefault="00A547E6" w:rsidP="00A547E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Full-scale marketing and promotion activities</w:t>
      </w:r>
    </w:p>
    <w:p w:rsidR="00A547E6" w:rsidRPr="00A547E6" w:rsidRDefault="00A547E6" w:rsidP="00A547E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Continuous monitoring and optimization protocols</w:t>
      </w:r>
    </w:p>
    <w:p w:rsidR="00A547E6" w:rsidRPr="00A547E6" w:rsidRDefault="00A547E6" w:rsidP="00A547E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Performance evaluation and reporting systems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Phase 4 (Months 19-36): Optimization and Expansion</w:t>
      </w:r>
    </w:p>
    <w:p w:rsidR="00A547E6" w:rsidRPr="00A547E6" w:rsidRDefault="00A547E6" w:rsidP="00A547E6">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System refinement based on operational experience</w:t>
      </w:r>
    </w:p>
    <w:p w:rsidR="00A547E6" w:rsidRPr="00A547E6" w:rsidRDefault="00A547E6" w:rsidP="00A547E6">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Expansion to additional entry points and destinations</w:t>
      </w:r>
    </w:p>
    <w:p w:rsidR="00A547E6" w:rsidRPr="00A547E6" w:rsidRDefault="00A547E6" w:rsidP="00A547E6">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Replication planning for other European corridors</w:t>
      </w:r>
    </w:p>
    <w:p w:rsidR="00A547E6" w:rsidRPr="00A547E6" w:rsidRDefault="00A547E6" w:rsidP="00A547E6">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Long-term sustainability planning and institutional development</w:t>
      </w:r>
    </w:p>
    <w:p w:rsidR="0094698B" w:rsidRDefault="0094698B" w:rsidP="00A547E6">
      <w:pPr>
        <w:spacing w:before="100" w:beforeAutospacing="1" w:after="100" w:afterAutospacing="1" w:line="240" w:lineRule="auto"/>
        <w:outlineLvl w:val="1"/>
        <w:rPr>
          <w:rFonts w:ascii="Times New Roman" w:eastAsia="Times New Roman" w:hAnsi="Times New Roman" w:cs="Times New Roman"/>
          <w:kern w:val="0"/>
          <w14:ligatures w14:val="none"/>
        </w:rPr>
      </w:pPr>
    </w:p>
    <w:p w:rsidR="00A547E6" w:rsidRPr="00A547E6" w:rsidRDefault="00A547E6" w:rsidP="00A547E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547E6">
        <w:rPr>
          <w:rFonts w:ascii="Times New Roman" w:eastAsia="Times New Roman" w:hAnsi="Times New Roman" w:cs="Times New Roman"/>
          <w:b/>
          <w:bCs/>
          <w:kern w:val="0"/>
          <w:sz w:val="36"/>
          <w:szCs w:val="36"/>
          <w14:ligatures w14:val="none"/>
        </w:rPr>
        <w:t>Conclusion</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 xml:space="preserve">The Italy-Greece Health-Safe Tourism Corridor is an innovative project that tackles the ultimate issue of reconstruction of international tourism in a manner underlining high standards of health protection. This proposal shows how international collaboration can develop solutions that would have a positive effect on all parties and support wider public policy goals through the innovative </w:t>
      </w:r>
      <w:r w:rsidRPr="0094698B">
        <w:rPr>
          <w:rFonts w:ascii="Times New Roman" w:eastAsia="Times New Roman" w:hAnsi="Times New Roman" w:cs="Times New Roman"/>
          <w:kern w:val="0"/>
          <w14:ligatures w14:val="none"/>
        </w:rPr>
        <w:lastRenderedPageBreak/>
        <w:t>combination of technologies, culture-sensitive communication approaches, and the maximum engagement of stakeholders.</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The economic rationale shows that the initiative is financially sustainable since the estimated returns are more than 9.9 billion Euros within three years compared to the costs of implementing which are 450 million Euros. In addition to direct economic gains, the corridor creates technological and institutional framework, which will not only give European tourism long-term competitive advantages but it will also be an example to other similar efforts in the world.</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The communication plan, which was used in the entire proposal, reflects a high level of Business English ability modified to the conditions of international diplomacy and cross-cultural business environment. The proposal also capitalizes on both the theory of crisis communication and intercultural communication theories allowing it to focus on the complicated stakeholder landscape within the international tourism policy without compromising how it needs to present its ideas in a convincing manner regardless of the variety of cultural and institutional backgrounds it needs to operate within.</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Successful implementation will only be achieved through continued dedication by the government authorities, stakeholders of the tourism industry as well as the institutions of the European Union. But as shown in the total picture drawn, these commitments can be followed in the sense of application in the required niches of appropriate incentives, mutual gains and creative resolutions of long untapped issues.</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The corridor project will make Italy and Greece the forerunners in the post-pandemic tourist innovation as well as aiding in the wider European integration agenda. The success will prove the effectiveness of the international collaboration, technological advances and adherence to cultural differences in developing tourism situations that are at the same time safer, more convenient and more natural than the traditional modes.</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Since the tourism sector worldwide has not stopped developing in the face of enduring health risks, projects, such as the Italy-Greece Health-Safe Tourism Corridor offer models that can be of use in the overall tourism development that is sustainable, and much more resilient. It is in this comprehensive approach that is introduced in this proposal that there is a blueprint that should be used on similar programs that can help in recovering the confidence of travelers and help in the recovery of the economy and also in setting new standards to international tourism collaboration.</w:t>
      </w:r>
    </w:p>
    <w:p w:rsidR="0094698B" w:rsidRPr="0094698B"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 xml:space="preserve">The focus of the proposal on the cultural applicability, use of technology, as well as the cooperation of the stakeholders, offers a framework that can apply much beyond the current context of Italy-Greece collaboration. The methods provide meaningful lessons about international business communication, crisis management and </w:t>
      </w:r>
      <w:proofErr w:type="gramStart"/>
      <w:r w:rsidRPr="0094698B">
        <w:rPr>
          <w:rFonts w:ascii="Times New Roman" w:eastAsia="Times New Roman" w:hAnsi="Times New Roman" w:cs="Times New Roman"/>
          <w:kern w:val="0"/>
          <w14:ligatures w14:val="none"/>
        </w:rPr>
        <w:t>cross cultural</w:t>
      </w:r>
      <w:proofErr w:type="gramEnd"/>
      <w:r w:rsidRPr="0094698B">
        <w:rPr>
          <w:rFonts w:ascii="Times New Roman" w:eastAsia="Times New Roman" w:hAnsi="Times New Roman" w:cs="Times New Roman"/>
          <w:kern w:val="0"/>
          <w14:ligatures w14:val="none"/>
        </w:rPr>
        <w:t xml:space="preserve"> cooperation that can be used in various industries and settings.</w:t>
      </w:r>
    </w:p>
    <w:p w:rsidR="00A547E6" w:rsidRPr="00A547E6" w:rsidRDefault="0094698B" w:rsidP="0094698B">
      <w:pPr>
        <w:spacing w:before="100" w:beforeAutospacing="1" w:after="100" w:afterAutospacing="1" w:line="240" w:lineRule="auto"/>
        <w:rPr>
          <w:rFonts w:ascii="Times New Roman" w:eastAsia="Times New Roman" w:hAnsi="Times New Roman" w:cs="Times New Roman"/>
          <w:kern w:val="0"/>
          <w14:ligatures w14:val="none"/>
        </w:rPr>
      </w:pPr>
      <w:r w:rsidRPr="0094698B">
        <w:rPr>
          <w:rFonts w:ascii="Times New Roman" w:eastAsia="Times New Roman" w:hAnsi="Times New Roman" w:cs="Times New Roman"/>
          <w:kern w:val="0"/>
          <w14:ligatures w14:val="none"/>
        </w:rPr>
        <w:t xml:space="preserve">Additional studies must address the question of how well the initiative is working to restore the trust of the travelers, the upward scalability of the technological solutions, and the implications the study has on international tourism policy-building. The summit of the Italy-Greece corridor is the first its kind which offers a possibility to experiment with new strategies of international </w:t>
      </w:r>
      <w:r w:rsidRPr="0094698B">
        <w:rPr>
          <w:rFonts w:ascii="Times New Roman" w:eastAsia="Times New Roman" w:hAnsi="Times New Roman" w:cs="Times New Roman"/>
          <w:kern w:val="0"/>
          <w14:ligatures w14:val="none"/>
        </w:rPr>
        <w:lastRenderedPageBreak/>
        <w:t>collaboration and develop practical knowledge that will be used in tourism policy in decades to come</w:t>
      </w:r>
      <w:r w:rsidR="00A547E6" w:rsidRPr="00A547E6">
        <w:rPr>
          <w:rFonts w:ascii="Times New Roman" w:eastAsia="Times New Roman" w:hAnsi="Times New Roman" w:cs="Times New Roman"/>
          <w:kern w:val="0"/>
          <w14:ligatures w14:val="none"/>
        </w:rPr>
        <w:t>.</w:t>
      </w:r>
    </w:p>
    <w:p w:rsidR="0094698B" w:rsidRDefault="0094698B" w:rsidP="00A547E6">
      <w:pPr>
        <w:spacing w:before="100" w:beforeAutospacing="1" w:after="100" w:afterAutospacing="1" w:line="240" w:lineRule="auto"/>
        <w:outlineLvl w:val="1"/>
        <w:rPr>
          <w:rFonts w:ascii="Times New Roman" w:eastAsia="Times New Roman" w:hAnsi="Times New Roman" w:cs="Times New Roman"/>
          <w:kern w:val="0"/>
          <w14:ligatures w14:val="none"/>
        </w:rPr>
      </w:pPr>
    </w:p>
    <w:p w:rsidR="00A547E6" w:rsidRPr="00A547E6" w:rsidRDefault="00A547E6" w:rsidP="00A547E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547E6">
        <w:rPr>
          <w:rFonts w:ascii="Times New Roman" w:eastAsia="Times New Roman" w:hAnsi="Times New Roman" w:cs="Times New Roman"/>
          <w:b/>
          <w:bCs/>
          <w:kern w:val="0"/>
          <w:sz w:val="36"/>
          <w:szCs w:val="36"/>
          <w14:ligatures w14:val="none"/>
        </w:rPr>
        <w:t>References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Burnett, J. J. (1998). A strategic approach to managing crises. </w:t>
      </w:r>
      <w:r w:rsidRPr="00A547E6">
        <w:rPr>
          <w:rFonts w:ascii="Times New Roman" w:eastAsia="Times New Roman" w:hAnsi="Times New Roman" w:cs="Times New Roman"/>
          <w:i/>
          <w:iCs/>
          <w:kern w:val="0"/>
          <w14:ligatures w14:val="none"/>
        </w:rPr>
        <w:t>Public Relations Review, 24</w:t>
      </w:r>
      <w:r w:rsidRPr="00A547E6">
        <w:rPr>
          <w:rFonts w:ascii="Times New Roman" w:eastAsia="Times New Roman" w:hAnsi="Times New Roman" w:cs="Times New Roman"/>
          <w:kern w:val="0"/>
          <w14:ligatures w14:val="none"/>
        </w:rPr>
        <w:t>(4), 475-488.</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Coombs, W. T. (2007). Protecting organization reputations during a crisis: The development and application of situational crisis communication theory. </w:t>
      </w:r>
      <w:r w:rsidRPr="00A547E6">
        <w:rPr>
          <w:rFonts w:ascii="Times New Roman" w:eastAsia="Times New Roman" w:hAnsi="Times New Roman" w:cs="Times New Roman"/>
          <w:i/>
          <w:iCs/>
          <w:kern w:val="0"/>
          <w14:ligatures w14:val="none"/>
        </w:rPr>
        <w:t>Corporate Reputation Review, 10</w:t>
      </w:r>
      <w:r w:rsidRPr="00A547E6">
        <w:rPr>
          <w:rFonts w:ascii="Times New Roman" w:eastAsia="Times New Roman" w:hAnsi="Times New Roman" w:cs="Times New Roman"/>
          <w:kern w:val="0"/>
          <w14:ligatures w14:val="none"/>
        </w:rPr>
        <w:t>(3), 163-176.</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Dwyer, L., &amp; Forsyth, P. (2008). Economic impact of tourism in Australia: A new framework for analysis. </w:t>
      </w:r>
      <w:r w:rsidRPr="00A547E6">
        <w:rPr>
          <w:rFonts w:ascii="Times New Roman" w:eastAsia="Times New Roman" w:hAnsi="Times New Roman" w:cs="Times New Roman"/>
          <w:i/>
          <w:iCs/>
          <w:kern w:val="0"/>
          <w14:ligatures w14:val="none"/>
        </w:rPr>
        <w:t>Tourism Economics, 14</w:t>
      </w:r>
      <w:r w:rsidRPr="00A547E6">
        <w:rPr>
          <w:rFonts w:ascii="Times New Roman" w:eastAsia="Times New Roman" w:hAnsi="Times New Roman" w:cs="Times New Roman"/>
          <w:kern w:val="0"/>
          <w14:ligatures w14:val="none"/>
        </w:rPr>
        <w:t>(2), 405-424.</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Freeman, R. E. (1984). </w:t>
      </w:r>
      <w:r w:rsidRPr="00A547E6">
        <w:rPr>
          <w:rFonts w:ascii="Times New Roman" w:eastAsia="Times New Roman" w:hAnsi="Times New Roman" w:cs="Times New Roman"/>
          <w:i/>
          <w:iCs/>
          <w:kern w:val="0"/>
          <w14:ligatures w14:val="none"/>
        </w:rPr>
        <w:t>Strategic management: A stakeholder approach</w:t>
      </w:r>
      <w:r w:rsidRPr="00A547E6">
        <w:rPr>
          <w:rFonts w:ascii="Times New Roman" w:eastAsia="Times New Roman" w:hAnsi="Times New Roman" w:cs="Times New Roman"/>
          <w:kern w:val="0"/>
          <w14:ligatures w14:val="none"/>
        </w:rPr>
        <w:t>. Pitman Publishing.</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Hall, E. T. (1976). </w:t>
      </w:r>
      <w:r w:rsidRPr="00A547E6">
        <w:rPr>
          <w:rFonts w:ascii="Times New Roman" w:eastAsia="Times New Roman" w:hAnsi="Times New Roman" w:cs="Times New Roman"/>
          <w:i/>
          <w:iCs/>
          <w:kern w:val="0"/>
          <w14:ligatures w14:val="none"/>
        </w:rPr>
        <w:t>Beyond culture</w:t>
      </w:r>
      <w:r w:rsidRPr="00A547E6">
        <w:rPr>
          <w:rFonts w:ascii="Times New Roman" w:eastAsia="Times New Roman" w:hAnsi="Times New Roman" w:cs="Times New Roman"/>
          <w:kern w:val="0"/>
          <w14:ligatures w14:val="none"/>
        </w:rPr>
        <w:t>. Anchor Books.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Hofstede, G., Hofstede, G. J., &amp; Minkov, M. (2010). </w:t>
      </w:r>
      <w:r w:rsidRPr="00A547E6">
        <w:rPr>
          <w:rFonts w:ascii="Times New Roman" w:eastAsia="Times New Roman" w:hAnsi="Times New Roman" w:cs="Times New Roman"/>
          <w:i/>
          <w:iCs/>
          <w:kern w:val="0"/>
          <w14:ligatures w14:val="none"/>
        </w:rPr>
        <w:t>Cultures and organizations: Software of the mind</w:t>
      </w:r>
      <w:r w:rsidRPr="00A547E6">
        <w:rPr>
          <w:rFonts w:ascii="Times New Roman" w:eastAsia="Times New Roman" w:hAnsi="Times New Roman" w:cs="Times New Roman"/>
          <w:kern w:val="0"/>
          <w14:ligatures w14:val="none"/>
        </w:rPr>
        <w:t xml:space="preserve"> (3rd ed.). McGraw-Hill.</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Kotter, J. P. (1996). </w:t>
      </w:r>
      <w:r w:rsidRPr="00A547E6">
        <w:rPr>
          <w:rFonts w:ascii="Times New Roman" w:eastAsia="Times New Roman" w:hAnsi="Times New Roman" w:cs="Times New Roman"/>
          <w:i/>
          <w:iCs/>
          <w:kern w:val="0"/>
          <w14:ligatures w14:val="none"/>
        </w:rPr>
        <w:t>Leading change</w:t>
      </w:r>
      <w:r w:rsidRPr="00A547E6">
        <w:rPr>
          <w:rFonts w:ascii="Times New Roman" w:eastAsia="Times New Roman" w:hAnsi="Times New Roman" w:cs="Times New Roman"/>
          <w:kern w:val="0"/>
          <w14:ligatures w14:val="none"/>
        </w:rPr>
        <w:t>. Harvard Business School Press.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Morley, C. L. (2020). Digital health passports for pandemic-resilient tourism: Technology adoption and implementation challenges. </w:t>
      </w:r>
      <w:r w:rsidRPr="00A547E6">
        <w:rPr>
          <w:rFonts w:ascii="Times New Roman" w:eastAsia="Times New Roman" w:hAnsi="Times New Roman" w:cs="Times New Roman"/>
          <w:i/>
          <w:iCs/>
          <w:kern w:val="0"/>
          <w14:ligatures w14:val="none"/>
        </w:rPr>
        <w:t>Journal of Travel Research, 59</w:t>
      </w:r>
      <w:r w:rsidRPr="00A547E6">
        <w:rPr>
          <w:rFonts w:ascii="Times New Roman" w:eastAsia="Times New Roman" w:hAnsi="Times New Roman" w:cs="Times New Roman"/>
          <w:kern w:val="0"/>
          <w14:ligatures w14:val="none"/>
        </w:rPr>
        <w:t>(8), 1442-1458.</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Neuburger, L., &amp; Egger, R. (2021). Travel risk perception and travel </w:t>
      </w:r>
      <w:proofErr w:type="spellStart"/>
      <w:r w:rsidRPr="00A547E6">
        <w:rPr>
          <w:rFonts w:ascii="Times New Roman" w:eastAsia="Times New Roman" w:hAnsi="Times New Roman" w:cs="Times New Roman"/>
          <w:kern w:val="0"/>
          <w14:ligatures w14:val="none"/>
        </w:rPr>
        <w:t>behaviour</w:t>
      </w:r>
      <w:proofErr w:type="spellEnd"/>
      <w:r w:rsidRPr="00A547E6">
        <w:rPr>
          <w:rFonts w:ascii="Times New Roman" w:eastAsia="Times New Roman" w:hAnsi="Times New Roman" w:cs="Times New Roman"/>
          <w:kern w:val="0"/>
          <w14:ligatures w14:val="none"/>
        </w:rPr>
        <w:t xml:space="preserve"> during the COVID-19 pandemic 2020: A case study of the DACH region. </w:t>
      </w:r>
      <w:r w:rsidRPr="00A547E6">
        <w:rPr>
          <w:rFonts w:ascii="Times New Roman" w:eastAsia="Times New Roman" w:hAnsi="Times New Roman" w:cs="Times New Roman"/>
          <w:i/>
          <w:iCs/>
          <w:kern w:val="0"/>
          <w14:ligatures w14:val="none"/>
        </w:rPr>
        <w:t>Current Issues in Tourism, 24</w:t>
      </w:r>
      <w:r w:rsidRPr="00A547E6">
        <w:rPr>
          <w:rFonts w:ascii="Times New Roman" w:eastAsia="Times New Roman" w:hAnsi="Times New Roman" w:cs="Times New Roman"/>
          <w:kern w:val="0"/>
          <w14:ligatures w14:val="none"/>
        </w:rPr>
        <w:t>(7), 1003-1016.</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Spencer-Oatey, H. (2008). </w:t>
      </w:r>
      <w:r w:rsidRPr="00A547E6">
        <w:rPr>
          <w:rFonts w:ascii="Times New Roman" w:eastAsia="Times New Roman" w:hAnsi="Times New Roman" w:cs="Times New Roman"/>
          <w:i/>
          <w:iCs/>
          <w:kern w:val="0"/>
          <w14:ligatures w14:val="none"/>
        </w:rPr>
        <w:t>Culturally speaking: Culture, communication and politeness theory</w:t>
      </w:r>
      <w:r w:rsidRPr="00A547E6">
        <w:rPr>
          <w:rFonts w:ascii="Times New Roman" w:eastAsia="Times New Roman" w:hAnsi="Times New Roman" w:cs="Times New Roman"/>
          <w:kern w:val="0"/>
          <w14:ligatures w14:val="none"/>
        </w:rPr>
        <w:t xml:space="preserve"> (2nd ed.). Continuum International Publishing Group.</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Trompenaars, F. (1993). </w:t>
      </w:r>
      <w:r w:rsidRPr="00A547E6">
        <w:rPr>
          <w:rFonts w:ascii="Times New Roman" w:eastAsia="Times New Roman" w:hAnsi="Times New Roman" w:cs="Times New Roman"/>
          <w:i/>
          <w:iCs/>
          <w:kern w:val="0"/>
          <w14:ligatures w14:val="none"/>
        </w:rPr>
        <w:t>Riding the waves of culture: Understanding cultural diversity in business</w:t>
      </w:r>
      <w:r w:rsidRPr="00A547E6">
        <w:rPr>
          <w:rFonts w:ascii="Times New Roman" w:eastAsia="Times New Roman" w:hAnsi="Times New Roman" w:cs="Times New Roman"/>
          <w:kern w:val="0"/>
          <w14:ligatures w14:val="none"/>
        </w:rPr>
        <w:t>. Nicholas Brealey Publishing.</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United Nations World Tourism Organization. (2019). </w:t>
      </w:r>
      <w:r w:rsidRPr="00A547E6">
        <w:rPr>
          <w:rFonts w:ascii="Times New Roman" w:eastAsia="Times New Roman" w:hAnsi="Times New Roman" w:cs="Times New Roman"/>
          <w:i/>
          <w:iCs/>
          <w:kern w:val="0"/>
          <w14:ligatures w14:val="none"/>
        </w:rPr>
        <w:t>Tourism satellite account: Recommended methodological framework 2008</w:t>
      </w:r>
      <w:r w:rsidRPr="00A547E6">
        <w:rPr>
          <w:rFonts w:ascii="Times New Roman" w:eastAsia="Times New Roman" w:hAnsi="Times New Roman" w:cs="Times New Roman"/>
          <w:kern w:val="0"/>
          <w14:ligatures w14:val="none"/>
        </w:rPr>
        <w:t>. UNWTO Publications.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 xml:space="preserve">United Nations World Tourism Organization. (2021). </w:t>
      </w:r>
      <w:r w:rsidRPr="00A547E6">
        <w:rPr>
          <w:rFonts w:ascii="Times New Roman" w:eastAsia="Times New Roman" w:hAnsi="Times New Roman" w:cs="Times New Roman"/>
          <w:i/>
          <w:iCs/>
          <w:kern w:val="0"/>
          <w14:ligatures w14:val="none"/>
        </w:rPr>
        <w:t>World tourism barometer and statistical annex, January 2021</w:t>
      </w:r>
      <w:r w:rsidRPr="00A547E6">
        <w:rPr>
          <w:rFonts w:ascii="Times New Roman" w:eastAsia="Times New Roman" w:hAnsi="Times New Roman" w:cs="Times New Roman"/>
          <w:kern w:val="0"/>
          <w14:ligatures w14:val="none"/>
        </w:rPr>
        <w:t>. UNWTO Publications.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lastRenderedPageBreak/>
        <w:t xml:space="preserve">Zhang, L., &amp; Schmidt, K. (2021). Blockchain applications in international health verification systems: Security, interoperability, and privacy considerations. </w:t>
      </w:r>
      <w:r w:rsidRPr="00A547E6">
        <w:rPr>
          <w:rFonts w:ascii="Times New Roman" w:eastAsia="Times New Roman" w:hAnsi="Times New Roman" w:cs="Times New Roman"/>
          <w:i/>
          <w:iCs/>
          <w:kern w:val="0"/>
          <w14:ligatures w14:val="none"/>
        </w:rPr>
        <w:t>International Journal of Information Management, 58</w:t>
      </w:r>
      <w:r w:rsidRPr="00A547E6">
        <w:rPr>
          <w:rFonts w:ascii="Times New Roman" w:eastAsia="Times New Roman" w:hAnsi="Times New Roman" w:cs="Times New Roman"/>
          <w:kern w:val="0"/>
          <w14:ligatures w14:val="none"/>
        </w:rPr>
        <w:t>, 102-115.</w:t>
      </w:r>
    </w:p>
    <w:p w:rsidR="00A547E6" w:rsidRPr="00A547E6" w:rsidRDefault="00105941" w:rsidP="00A547E6">
      <w:pPr>
        <w:spacing w:after="0" w:line="240" w:lineRule="auto"/>
        <w:rPr>
          <w:rFonts w:ascii="Times New Roman" w:eastAsia="Times New Roman" w:hAnsi="Times New Roman" w:cs="Times New Roman"/>
          <w:kern w:val="0"/>
          <w14:ligatures w14:val="none"/>
        </w:rPr>
      </w:pPr>
      <w:r w:rsidRPr="00105941">
        <w:rPr>
          <w:rFonts w:ascii="Times New Roman" w:eastAsia="Times New Roman" w:hAnsi="Times New Roman" w:cs="Times New Roman"/>
          <w:noProof/>
          <w:kern w:val="0"/>
        </w:rPr>
        <w:pict>
          <v:rect id="_x0000_i1025" alt="" style="width:468pt;height:.05pt;mso-width-percent:0;mso-height-percent:0;mso-width-percent:0;mso-height-percent:0" o:hralign="center" o:hrstd="t" o:hr="t" fillcolor="#a0a0a0" stroked="f"/>
        </w:pict>
      </w:r>
    </w:p>
    <w:p w:rsidR="00A547E6" w:rsidRPr="00A547E6" w:rsidRDefault="00A547E6" w:rsidP="00A547E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547E6">
        <w:rPr>
          <w:rFonts w:ascii="Times New Roman" w:eastAsia="Times New Roman" w:hAnsi="Times New Roman" w:cs="Times New Roman"/>
          <w:b/>
          <w:bCs/>
          <w:kern w:val="0"/>
          <w:sz w:val="36"/>
          <w:szCs w:val="36"/>
          <w14:ligatures w14:val="none"/>
        </w:rPr>
        <w:t>Appendices</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Appendix A: Stakeholder Communication Email Template</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Subject: Italy-Greece Health-Safe Tourism Corridor - Strategic Partnership Opportunity</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Dear [Stakeholder Name],</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I am writing to introduce an innovative tourism initiative that will transform Mediterranean travel while providing significant benefits for your organization and the broader tourism industry.</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The Italy-Greece Health-Safe Tourism Corridor represents a groundbreaking collaboration between two of Europe's premier tourism destinations, designed to facilitate safe, seamless international travel through advanced health verification systems and culturally appropriate communication strategies.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Key Benefits for Your Organization:</w:t>
      </w:r>
    </w:p>
    <w:p w:rsidR="00A547E6" w:rsidRPr="00A547E6" w:rsidRDefault="00A547E6" w:rsidP="00A547E6">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Enhanced customer confidence through transparent health safety measures</w:t>
      </w:r>
    </w:p>
    <w:p w:rsidR="00A547E6" w:rsidRPr="00A547E6" w:rsidRDefault="00A547E6" w:rsidP="00A547E6">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Streamlined operational processes through standardized protocols</w:t>
      </w:r>
    </w:p>
    <w:p w:rsidR="00A547E6" w:rsidRPr="00A547E6" w:rsidRDefault="00A547E6" w:rsidP="00A547E6">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Access to cutting-edge technology platforms that improve efficiency</w:t>
      </w:r>
    </w:p>
    <w:p w:rsidR="00A547E6" w:rsidRPr="00A547E6" w:rsidRDefault="00A547E6" w:rsidP="00A547E6">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Participation in a pioneering initiative that positions your organization as an industry leader</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Partnership Opportunities:</w:t>
      </w:r>
      <w:r w:rsidRPr="00A547E6">
        <w:rPr>
          <w:rFonts w:ascii="Times New Roman" w:eastAsia="Times New Roman" w:hAnsi="Times New Roman" w:cs="Times New Roman"/>
          <w:kern w:val="0"/>
          <w14:ligatures w14:val="none"/>
        </w:rPr>
        <w:t xml:space="preserve"> We invite your participation in this transformative initiative through several engagement levels, including technology integration partnerships, marketing collaboration opportunities, and stakeholder advisory committee participation.</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The initiative has secured preliminary support from both Italian and Greek tourism ministries, with formal announcement planned for [date]. Early partner organizations will receive priority consideration for preferred implementation support and promotional recognition.</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I would welcome the opportunity to discuss this initiative in greater detail and explore how your organization can benefit from participation in this historic collaboration. Please let me know your availability for a confidential briefing session within the next two weeks.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Thank you for your consideration of this opportunity. I look forward to your response and to the possibility of working together to reshape Mediterranean tourism for the post-pandemic era.</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lastRenderedPageBreak/>
        <w:t>Sincerely,</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[Your Name]</w:t>
      </w:r>
      <w:r w:rsidRPr="00A547E6">
        <w:rPr>
          <w:rFonts w:ascii="Times New Roman" w:eastAsia="Times New Roman" w:hAnsi="Times New Roman" w:cs="Times New Roman"/>
          <w:kern w:val="0"/>
          <w14:ligatures w14:val="none"/>
        </w:rPr>
        <w:br/>
        <w:t>[Title]</w:t>
      </w:r>
      <w:r w:rsidRPr="00A547E6">
        <w:rPr>
          <w:rFonts w:ascii="Times New Roman" w:eastAsia="Times New Roman" w:hAnsi="Times New Roman" w:cs="Times New Roman"/>
          <w:kern w:val="0"/>
          <w14:ligatures w14:val="none"/>
        </w:rPr>
        <w:br/>
        <w:t>Italy-Greece Health-Safe Tourism Corridor Initiative</w:t>
      </w:r>
      <w:r w:rsidRPr="00A547E6">
        <w:rPr>
          <w:rFonts w:ascii="Times New Roman" w:eastAsia="Times New Roman" w:hAnsi="Times New Roman" w:cs="Times New Roman"/>
          <w:kern w:val="0"/>
          <w14:ligatures w14:val="none"/>
        </w:rPr>
        <w:br/>
        <w:t>[Contact Information]</w:t>
      </w:r>
    </w:p>
    <w:p w:rsidR="00A547E6" w:rsidRPr="00A547E6" w:rsidRDefault="00A547E6" w:rsidP="00A547E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547E6">
        <w:rPr>
          <w:rFonts w:ascii="Times New Roman" w:eastAsia="Times New Roman" w:hAnsi="Times New Roman" w:cs="Times New Roman"/>
          <w:b/>
          <w:bCs/>
          <w:kern w:val="0"/>
          <w:sz w:val="27"/>
          <w:szCs w:val="27"/>
          <w14:ligatures w14:val="none"/>
        </w:rPr>
        <w:t>Appendix B: Cultural Adaptation Guidelines for Health Communication</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High-Context Communication Adaptations (Italian and Greek Contexts):</w:t>
      </w:r>
    </w:p>
    <w:p w:rsidR="00A547E6" w:rsidRPr="00A547E6" w:rsidRDefault="00A547E6" w:rsidP="00A547E6">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Emphasize relationship-building and trust development in all communications</w:t>
      </w:r>
    </w:p>
    <w:p w:rsidR="00A547E6" w:rsidRPr="00A547E6" w:rsidRDefault="00A547E6" w:rsidP="00A547E6">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Utilize storytelling and narrative approaches rather than purely factual presentations</w:t>
      </w:r>
    </w:p>
    <w:p w:rsidR="00A547E6" w:rsidRPr="00A547E6" w:rsidRDefault="00A547E6" w:rsidP="00A547E6">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Incorporate community and family benefit messaging alongside individual health protection</w:t>
      </w:r>
    </w:p>
    <w:p w:rsidR="00A547E6" w:rsidRPr="00A547E6" w:rsidRDefault="00A547E6" w:rsidP="00A547E6">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Respect hierarchical communication patterns in business and government contexts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Health Literacy Adaptations:</w:t>
      </w:r>
    </w:p>
    <w:p w:rsidR="00A547E6" w:rsidRPr="00A547E6" w:rsidRDefault="00A547E6" w:rsidP="00A547E6">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Provide multiple communication channels including visual, auditory, and tactile learning approaches</w:t>
      </w:r>
    </w:p>
    <w:p w:rsidR="00A547E6" w:rsidRPr="00A547E6" w:rsidRDefault="00A547E6" w:rsidP="00A547E6">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Develop simplified versions of technical information without compromising accuracy</w:t>
      </w:r>
    </w:p>
    <w:p w:rsidR="00A547E6" w:rsidRPr="00A547E6" w:rsidRDefault="00A547E6" w:rsidP="00A547E6">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Create peer-to-peer communication opportunities that leverage community trust networks</w:t>
      </w:r>
    </w:p>
    <w:p w:rsidR="00A547E6" w:rsidRPr="00A547E6" w:rsidRDefault="00A547E6" w:rsidP="00A547E6">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Integrate traditional health concepts with modern preventive medicine approaches</w:t>
      </w:r>
    </w:p>
    <w:p w:rsidR="00A547E6" w:rsidRPr="00A547E6" w:rsidRDefault="00A547E6" w:rsidP="00A547E6">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Language and Tone Guidelines:</w:t>
      </w:r>
    </w:p>
    <w:p w:rsidR="00A547E6" w:rsidRPr="00A547E6" w:rsidRDefault="00A547E6" w:rsidP="00A547E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Maintain formal business register while incorporating warmth and personal connection</w:t>
      </w:r>
    </w:p>
    <w:p w:rsidR="00A547E6" w:rsidRPr="00A547E6" w:rsidRDefault="00A547E6" w:rsidP="00A547E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Use inclusive language that acknowledges diverse cultural backgrounds and health beliefs</w:t>
      </w:r>
    </w:p>
    <w:p w:rsidR="00A547E6" w:rsidRPr="00A547E6" w:rsidRDefault="00A547E6" w:rsidP="00A547E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Emphasize collaborative language ("we," "together," "shared") rather than directive language</w:t>
      </w:r>
    </w:p>
    <w:p w:rsidR="00A547E6" w:rsidRPr="00A547E6" w:rsidRDefault="00A547E6" w:rsidP="00A547E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kern w:val="0"/>
          <w14:ligatures w14:val="none"/>
        </w:rPr>
        <w:t>Provide clear action steps without creating anxiety or cultural offense</w:t>
      </w:r>
    </w:p>
    <w:p w:rsidR="00A547E6" w:rsidRDefault="00A547E6"/>
    <w:sectPr w:rsidR="00A547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19B"/>
    <w:multiLevelType w:val="multilevel"/>
    <w:tmpl w:val="51C2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D1872"/>
    <w:multiLevelType w:val="multilevel"/>
    <w:tmpl w:val="EA2E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966A1"/>
    <w:multiLevelType w:val="multilevel"/>
    <w:tmpl w:val="0980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66A42"/>
    <w:multiLevelType w:val="multilevel"/>
    <w:tmpl w:val="8512A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A119A"/>
    <w:multiLevelType w:val="multilevel"/>
    <w:tmpl w:val="0336A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862EF1"/>
    <w:multiLevelType w:val="multilevel"/>
    <w:tmpl w:val="3CBC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7D0D8B"/>
    <w:multiLevelType w:val="multilevel"/>
    <w:tmpl w:val="5E92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83705C"/>
    <w:multiLevelType w:val="multilevel"/>
    <w:tmpl w:val="B6DA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346F9C"/>
    <w:multiLevelType w:val="multilevel"/>
    <w:tmpl w:val="1318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F449FD"/>
    <w:multiLevelType w:val="multilevel"/>
    <w:tmpl w:val="658A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5A0526"/>
    <w:multiLevelType w:val="multilevel"/>
    <w:tmpl w:val="650C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9A28F0"/>
    <w:multiLevelType w:val="multilevel"/>
    <w:tmpl w:val="64AE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620243"/>
    <w:multiLevelType w:val="multilevel"/>
    <w:tmpl w:val="F404F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462DE9"/>
    <w:multiLevelType w:val="multilevel"/>
    <w:tmpl w:val="133C4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6D5317"/>
    <w:multiLevelType w:val="multilevel"/>
    <w:tmpl w:val="D07CB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CC14D5"/>
    <w:multiLevelType w:val="multilevel"/>
    <w:tmpl w:val="AEBC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20059E"/>
    <w:multiLevelType w:val="multilevel"/>
    <w:tmpl w:val="76B6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F07D24"/>
    <w:multiLevelType w:val="multilevel"/>
    <w:tmpl w:val="40E4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B26C40"/>
    <w:multiLevelType w:val="multilevel"/>
    <w:tmpl w:val="265E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DC4609"/>
    <w:multiLevelType w:val="multilevel"/>
    <w:tmpl w:val="3AC4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126413"/>
    <w:multiLevelType w:val="multilevel"/>
    <w:tmpl w:val="DC60D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397990"/>
    <w:multiLevelType w:val="multilevel"/>
    <w:tmpl w:val="C3E4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D43F84"/>
    <w:multiLevelType w:val="multilevel"/>
    <w:tmpl w:val="F4C4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0F3275"/>
    <w:multiLevelType w:val="multilevel"/>
    <w:tmpl w:val="E74E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B76C18"/>
    <w:multiLevelType w:val="multilevel"/>
    <w:tmpl w:val="64AEF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663103"/>
    <w:multiLevelType w:val="multilevel"/>
    <w:tmpl w:val="DB24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86492D"/>
    <w:multiLevelType w:val="multilevel"/>
    <w:tmpl w:val="3184E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89213E"/>
    <w:multiLevelType w:val="multilevel"/>
    <w:tmpl w:val="09B84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877180"/>
    <w:multiLevelType w:val="multilevel"/>
    <w:tmpl w:val="F2D46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317289"/>
    <w:multiLevelType w:val="multilevel"/>
    <w:tmpl w:val="A0E4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8D7842"/>
    <w:multiLevelType w:val="multilevel"/>
    <w:tmpl w:val="9BFC8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809508F"/>
    <w:multiLevelType w:val="multilevel"/>
    <w:tmpl w:val="7AF0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A7008F"/>
    <w:multiLevelType w:val="multilevel"/>
    <w:tmpl w:val="160C2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EF090C"/>
    <w:multiLevelType w:val="multilevel"/>
    <w:tmpl w:val="711A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E74EC2"/>
    <w:multiLevelType w:val="multilevel"/>
    <w:tmpl w:val="672A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4C6045"/>
    <w:multiLevelType w:val="multilevel"/>
    <w:tmpl w:val="DFBE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BC203E"/>
    <w:multiLevelType w:val="multilevel"/>
    <w:tmpl w:val="35789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F9561B"/>
    <w:multiLevelType w:val="multilevel"/>
    <w:tmpl w:val="0B4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985F6D"/>
    <w:multiLevelType w:val="multilevel"/>
    <w:tmpl w:val="37563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79A79A3"/>
    <w:multiLevelType w:val="multilevel"/>
    <w:tmpl w:val="4C32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002E2E"/>
    <w:multiLevelType w:val="multilevel"/>
    <w:tmpl w:val="A8AA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5E7695"/>
    <w:multiLevelType w:val="multilevel"/>
    <w:tmpl w:val="163A0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4D127C"/>
    <w:multiLevelType w:val="multilevel"/>
    <w:tmpl w:val="BA04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AF2289"/>
    <w:multiLevelType w:val="multilevel"/>
    <w:tmpl w:val="480A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0E20AF"/>
    <w:multiLevelType w:val="multilevel"/>
    <w:tmpl w:val="4188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B47CC7"/>
    <w:multiLevelType w:val="multilevel"/>
    <w:tmpl w:val="6396C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AE6ACD"/>
    <w:multiLevelType w:val="multilevel"/>
    <w:tmpl w:val="F1C8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8138D5"/>
    <w:multiLevelType w:val="multilevel"/>
    <w:tmpl w:val="147E9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466ABA"/>
    <w:multiLevelType w:val="multilevel"/>
    <w:tmpl w:val="757C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D95330"/>
    <w:multiLevelType w:val="multilevel"/>
    <w:tmpl w:val="2C34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4656584">
    <w:abstractNumId w:val="30"/>
  </w:num>
  <w:num w:numId="2" w16cid:durableId="604386453">
    <w:abstractNumId w:val="4"/>
  </w:num>
  <w:num w:numId="3" w16cid:durableId="2087266306">
    <w:abstractNumId w:val="49"/>
  </w:num>
  <w:num w:numId="4" w16cid:durableId="1452242052">
    <w:abstractNumId w:val="3"/>
  </w:num>
  <w:num w:numId="5" w16cid:durableId="646936728">
    <w:abstractNumId w:val="34"/>
  </w:num>
  <w:num w:numId="6" w16cid:durableId="1574899002">
    <w:abstractNumId w:val="27"/>
  </w:num>
  <w:num w:numId="7" w16cid:durableId="2026516558">
    <w:abstractNumId w:val="9"/>
  </w:num>
  <w:num w:numId="8" w16cid:durableId="380058594">
    <w:abstractNumId w:val="40"/>
  </w:num>
  <w:num w:numId="9" w16cid:durableId="1055423087">
    <w:abstractNumId w:val="5"/>
  </w:num>
  <w:num w:numId="10" w16cid:durableId="1021516824">
    <w:abstractNumId w:val="31"/>
  </w:num>
  <w:num w:numId="11" w16cid:durableId="988438830">
    <w:abstractNumId w:val="7"/>
  </w:num>
  <w:num w:numId="12" w16cid:durableId="1984236380">
    <w:abstractNumId w:val="48"/>
  </w:num>
  <w:num w:numId="13" w16cid:durableId="791944877">
    <w:abstractNumId w:val="10"/>
  </w:num>
  <w:num w:numId="14" w16cid:durableId="977497277">
    <w:abstractNumId w:val="12"/>
  </w:num>
  <w:num w:numId="15" w16cid:durableId="351300222">
    <w:abstractNumId w:val="43"/>
  </w:num>
  <w:num w:numId="16" w16cid:durableId="1688943582">
    <w:abstractNumId w:val="28"/>
  </w:num>
  <w:num w:numId="17" w16cid:durableId="82073771">
    <w:abstractNumId w:val="38"/>
  </w:num>
  <w:num w:numId="18" w16cid:durableId="1112286707">
    <w:abstractNumId w:val="44"/>
  </w:num>
  <w:num w:numId="19" w16cid:durableId="421487559">
    <w:abstractNumId w:val="13"/>
  </w:num>
  <w:num w:numId="20" w16cid:durableId="842596849">
    <w:abstractNumId w:val="11"/>
  </w:num>
  <w:num w:numId="21" w16cid:durableId="2062629661">
    <w:abstractNumId w:val="22"/>
  </w:num>
  <w:num w:numId="22" w16cid:durableId="168716813">
    <w:abstractNumId w:val="0"/>
  </w:num>
  <w:num w:numId="23" w16cid:durableId="1879199301">
    <w:abstractNumId w:val="32"/>
  </w:num>
  <w:num w:numId="24" w16cid:durableId="305821748">
    <w:abstractNumId w:val="2"/>
  </w:num>
  <w:num w:numId="25" w16cid:durableId="1208102151">
    <w:abstractNumId w:val="19"/>
  </w:num>
  <w:num w:numId="26" w16cid:durableId="584533419">
    <w:abstractNumId w:val="15"/>
  </w:num>
  <w:num w:numId="27" w16cid:durableId="1380978766">
    <w:abstractNumId w:val="42"/>
  </w:num>
  <w:num w:numId="28" w16cid:durableId="706639160">
    <w:abstractNumId w:val="23"/>
  </w:num>
  <w:num w:numId="29" w16cid:durableId="1162087662">
    <w:abstractNumId w:val="26"/>
  </w:num>
  <w:num w:numId="30" w16cid:durableId="899823009">
    <w:abstractNumId w:val="25"/>
  </w:num>
  <w:num w:numId="31" w16cid:durableId="1107580980">
    <w:abstractNumId w:val="16"/>
  </w:num>
  <w:num w:numId="32" w16cid:durableId="1082482187">
    <w:abstractNumId w:val="14"/>
  </w:num>
  <w:num w:numId="33" w16cid:durableId="27681173">
    <w:abstractNumId w:val="36"/>
  </w:num>
  <w:num w:numId="34" w16cid:durableId="1682470227">
    <w:abstractNumId w:val="41"/>
  </w:num>
  <w:num w:numId="35" w16cid:durableId="1559899637">
    <w:abstractNumId w:val="24"/>
  </w:num>
  <w:num w:numId="36" w16cid:durableId="1922518444">
    <w:abstractNumId w:val="37"/>
  </w:num>
  <w:num w:numId="37" w16cid:durableId="1614284724">
    <w:abstractNumId w:val="1"/>
  </w:num>
  <w:num w:numId="38" w16cid:durableId="665324190">
    <w:abstractNumId w:val="21"/>
  </w:num>
  <w:num w:numId="39" w16cid:durableId="139882440">
    <w:abstractNumId w:val="6"/>
  </w:num>
  <w:num w:numId="40" w16cid:durableId="1609242544">
    <w:abstractNumId w:val="8"/>
  </w:num>
  <w:num w:numId="41" w16cid:durableId="946083058">
    <w:abstractNumId w:val="47"/>
  </w:num>
  <w:num w:numId="42" w16cid:durableId="1907568704">
    <w:abstractNumId w:val="33"/>
  </w:num>
  <w:num w:numId="43" w16cid:durableId="1279340651">
    <w:abstractNumId w:val="35"/>
  </w:num>
  <w:num w:numId="44" w16cid:durableId="465007577">
    <w:abstractNumId w:val="29"/>
  </w:num>
  <w:num w:numId="45" w16cid:durableId="1301420302">
    <w:abstractNumId w:val="20"/>
  </w:num>
  <w:num w:numId="46" w16cid:durableId="957756208">
    <w:abstractNumId w:val="45"/>
  </w:num>
  <w:num w:numId="47" w16cid:durableId="1478061824">
    <w:abstractNumId w:val="46"/>
  </w:num>
  <w:num w:numId="48" w16cid:durableId="187913267">
    <w:abstractNumId w:val="18"/>
  </w:num>
  <w:num w:numId="49" w16cid:durableId="1186210730">
    <w:abstractNumId w:val="17"/>
  </w:num>
  <w:num w:numId="50" w16cid:durableId="38437520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CD1"/>
    <w:rsid w:val="00105941"/>
    <w:rsid w:val="00512CD1"/>
    <w:rsid w:val="006B369E"/>
    <w:rsid w:val="00874F03"/>
    <w:rsid w:val="0094698B"/>
    <w:rsid w:val="00A547E6"/>
    <w:rsid w:val="00B03C2A"/>
    <w:rsid w:val="00B61300"/>
    <w:rsid w:val="00BF62D9"/>
    <w:rsid w:val="00C261D7"/>
    <w:rsid w:val="00CD1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4CB06"/>
  <w15:chartTrackingRefBased/>
  <w15:docId w15:val="{FE692C7D-D26E-B142-8E12-956A5E70B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12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12CD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512CD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12CD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2C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C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C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C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CD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12C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12CD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512CD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12CD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12C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C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C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CD1"/>
    <w:rPr>
      <w:rFonts w:eastAsiaTheme="majorEastAsia" w:cstheme="majorBidi"/>
      <w:color w:val="272727" w:themeColor="text1" w:themeTint="D8"/>
    </w:rPr>
  </w:style>
  <w:style w:type="paragraph" w:styleId="Title">
    <w:name w:val="Title"/>
    <w:basedOn w:val="Normal"/>
    <w:next w:val="Normal"/>
    <w:link w:val="TitleChar"/>
    <w:uiPriority w:val="10"/>
    <w:qFormat/>
    <w:rsid w:val="00512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C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C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C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CD1"/>
    <w:pPr>
      <w:spacing w:before="160"/>
      <w:jc w:val="center"/>
    </w:pPr>
    <w:rPr>
      <w:i/>
      <w:iCs/>
      <w:color w:val="404040" w:themeColor="text1" w:themeTint="BF"/>
    </w:rPr>
  </w:style>
  <w:style w:type="character" w:customStyle="1" w:styleId="QuoteChar">
    <w:name w:val="Quote Char"/>
    <w:basedOn w:val="DefaultParagraphFont"/>
    <w:link w:val="Quote"/>
    <w:uiPriority w:val="29"/>
    <w:rsid w:val="00512CD1"/>
    <w:rPr>
      <w:i/>
      <w:iCs/>
      <w:color w:val="404040" w:themeColor="text1" w:themeTint="BF"/>
    </w:rPr>
  </w:style>
  <w:style w:type="paragraph" w:styleId="ListParagraph">
    <w:name w:val="List Paragraph"/>
    <w:basedOn w:val="Normal"/>
    <w:uiPriority w:val="34"/>
    <w:qFormat/>
    <w:rsid w:val="00512CD1"/>
    <w:pPr>
      <w:ind w:left="720"/>
      <w:contextualSpacing/>
    </w:pPr>
  </w:style>
  <w:style w:type="character" w:styleId="IntenseEmphasis">
    <w:name w:val="Intense Emphasis"/>
    <w:basedOn w:val="DefaultParagraphFont"/>
    <w:uiPriority w:val="21"/>
    <w:qFormat/>
    <w:rsid w:val="00512CD1"/>
    <w:rPr>
      <w:i/>
      <w:iCs/>
      <w:color w:val="2F5496" w:themeColor="accent1" w:themeShade="BF"/>
    </w:rPr>
  </w:style>
  <w:style w:type="paragraph" w:styleId="IntenseQuote">
    <w:name w:val="Intense Quote"/>
    <w:basedOn w:val="Normal"/>
    <w:next w:val="Normal"/>
    <w:link w:val="IntenseQuoteChar"/>
    <w:uiPriority w:val="30"/>
    <w:qFormat/>
    <w:rsid w:val="00512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2CD1"/>
    <w:rPr>
      <w:i/>
      <w:iCs/>
      <w:color w:val="2F5496" w:themeColor="accent1" w:themeShade="BF"/>
    </w:rPr>
  </w:style>
  <w:style w:type="character" w:styleId="IntenseReference">
    <w:name w:val="Intense Reference"/>
    <w:basedOn w:val="DefaultParagraphFont"/>
    <w:uiPriority w:val="32"/>
    <w:qFormat/>
    <w:rsid w:val="00512CD1"/>
    <w:rPr>
      <w:b/>
      <w:bCs/>
      <w:smallCaps/>
      <w:color w:val="2F5496" w:themeColor="accent1" w:themeShade="BF"/>
      <w:spacing w:val="5"/>
    </w:rPr>
  </w:style>
  <w:style w:type="paragraph" w:styleId="NormalWeb">
    <w:name w:val="Normal (Web)"/>
    <w:basedOn w:val="Normal"/>
    <w:uiPriority w:val="99"/>
    <w:semiHidden/>
    <w:unhideWhenUsed/>
    <w:rsid w:val="00512CD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12CD1"/>
    <w:rPr>
      <w:b/>
      <w:bCs/>
    </w:rPr>
  </w:style>
  <w:style w:type="character" w:styleId="Emphasis">
    <w:name w:val="Emphasis"/>
    <w:basedOn w:val="DefaultParagraphFont"/>
    <w:uiPriority w:val="20"/>
    <w:qFormat/>
    <w:rsid w:val="00512CD1"/>
    <w:rPr>
      <w:i/>
      <w:iCs/>
    </w:rPr>
  </w:style>
  <w:style w:type="paragraph" w:customStyle="1" w:styleId="whitespace-normal">
    <w:name w:val="whitespace-normal"/>
    <w:basedOn w:val="Normal"/>
    <w:rsid w:val="00874F0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896085">
      <w:bodyDiv w:val="1"/>
      <w:marLeft w:val="0"/>
      <w:marRight w:val="0"/>
      <w:marTop w:val="0"/>
      <w:marBottom w:val="0"/>
      <w:divBdr>
        <w:top w:val="none" w:sz="0" w:space="0" w:color="auto"/>
        <w:left w:val="none" w:sz="0" w:space="0" w:color="auto"/>
        <w:bottom w:val="none" w:sz="0" w:space="0" w:color="auto"/>
        <w:right w:val="none" w:sz="0" w:space="0" w:color="auto"/>
      </w:divBdr>
    </w:div>
    <w:div w:id="307395629">
      <w:bodyDiv w:val="1"/>
      <w:marLeft w:val="0"/>
      <w:marRight w:val="0"/>
      <w:marTop w:val="0"/>
      <w:marBottom w:val="0"/>
      <w:divBdr>
        <w:top w:val="none" w:sz="0" w:space="0" w:color="auto"/>
        <w:left w:val="none" w:sz="0" w:space="0" w:color="auto"/>
        <w:bottom w:val="none" w:sz="0" w:space="0" w:color="auto"/>
        <w:right w:val="none" w:sz="0" w:space="0" w:color="auto"/>
      </w:divBdr>
    </w:div>
    <w:div w:id="1589584334">
      <w:bodyDiv w:val="1"/>
      <w:marLeft w:val="0"/>
      <w:marRight w:val="0"/>
      <w:marTop w:val="0"/>
      <w:marBottom w:val="0"/>
      <w:divBdr>
        <w:top w:val="none" w:sz="0" w:space="0" w:color="auto"/>
        <w:left w:val="none" w:sz="0" w:space="0" w:color="auto"/>
        <w:bottom w:val="none" w:sz="0" w:space="0" w:color="auto"/>
        <w:right w:val="none" w:sz="0" w:space="0" w:color="auto"/>
      </w:divBdr>
    </w:div>
    <w:div w:id="1637024046">
      <w:bodyDiv w:val="1"/>
      <w:marLeft w:val="0"/>
      <w:marRight w:val="0"/>
      <w:marTop w:val="0"/>
      <w:marBottom w:val="0"/>
      <w:divBdr>
        <w:top w:val="none" w:sz="0" w:space="0" w:color="auto"/>
        <w:left w:val="none" w:sz="0" w:space="0" w:color="auto"/>
        <w:bottom w:val="none" w:sz="0" w:space="0" w:color="auto"/>
        <w:right w:val="none" w:sz="0" w:space="0" w:color="auto"/>
      </w:divBdr>
    </w:div>
    <w:div w:id="1741753126">
      <w:bodyDiv w:val="1"/>
      <w:marLeft w:val="0"/>
      <w:marRight w:val="0"/>
      <w:marTop w:val="0"/>
      <w:marBottom w:val="0"/>
      <w:divBdr>
        <w:top w:val="none" w:sz="0" w:space="0" w:color="auto"/>
        <w:left w:val="none" w:sz="0" w:space="0" w:color="auto"/>
        <w:bottom w:val="none" w:sz="0" w:space="0" w:color="auto"/>
        <w:right w:val="none" w:sz="0" w:space="0" w:color="auto"/>
      </w:divBdr>
    </w:div>
    <w:div w:id="1845588123">
      <w:bodyDiv w:val="1"/>
      <w:marLeft w:val="0"/>
      <w:marRight w:val="0"/>
      <w:marTop w:val="0"/>
      <w:marBottom w:val="0"/>
      <w:divBdr>
        <w:top w:val="none" w:sz="0" w:space="0" w:color="auto"/>
        <w:left w:val="none" w:sz="0" w:space="0" w:color="auto"/>
        <w:bottom w:val="none" w:sz="0" w:space="0" w:color="auto"/>
        <w:right w:val="none" w:sz="0" w:space="0" w:color="auto"/>
      </w:divBdr>
    </w:div>
    <w:div w:id="1948075478">
      <w:bodyDiv w:val="1"/>
      <w:marLeft w:val="0"/>
      <w:marRight w:val="0"/>
      <w:marTop w:val="0"/>
      <w:marBottom w:val="0"/>
      <w:divBdr>
        <w:top w:val="none" w:sz="0" w:space="0" w:color="auto"/>
        <w:left w:val="none" w:sz="0" w:space="0" w:color="auto"/>
        <w:bottom w:val="none" w:sz="0" w:space="0" w:color="auto"/>
        <w:right w:val="none" w:sz="0" w:space="0" w:color="auto"/>
      </w:divBdr>
    </w:div>
    <w:div w:id="196919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17</Pages>
  <Words>6408</Words>
  <Characters>36530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5</cp:revision>
  <dcterms:created xsi:type="dcterms:W3CDTF">2025-07-27T12:18:00Z</dcterms:created>
  <dcterms:modified xsi:type="dcterms:W3CDTF">2025-07-27T13:36:00Z</dcterms:modified>
</cp:coreProperties>
</file>