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B830" w14:textId="77777777" w:rsidR="00FB6E94" w:rsidRPr="00347D3E" w:rsidRDefault="00FB6E94" w:rsidP="00FB6E94">
      <w:pPr>
        <w:spacing w:line="480" w:lineRule="auto"/>
        <w:jc w:val="center"/>
        <w:rPr>
          <w:rFonts w:ascii="Times New Roman" w:hAnsi="Times New Roman" w:cs="Times New Roman"/>
          <w:color w:val="000000" w:themeColor="text1"/>
          <w:szCs w:val="24"/>
        </w:rPr>
      </w:pPr>
    </w:p>
    <w:p w14:paraId="731DB711" w14:textId="77777777" w:rsidR="00FB6E94" w:rsidRPr="00347D3E" w:rsidRDefault="00FB6E94" w:rsidP="00FB6E94">
      <w:pPr>
        <w:spacing w:line="480" w:lineRule="auto"/>
        <w:jc w:val="center"/>
        <w:rPr>
          <w:rFonts w:ascii="Times New Roman" w:hAnsi="Times New Roman" w:cs="Times New Roman"/>
          <w:color w:val="000000" w:themeColor="text1"/>
          <w:szCs w:val="24"/>
        </w:rPr>
      </w:pPr>
      <w:r w:rsidRPr="00347D3E">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599FA3D5" wp14:editId="5C5CF71F">
            <wp:simplePos x="0" y="0"/>
            <wp:positionH relativeFrom="margin">
              <wp:posOffset>2505075</wp:posOffset>
            </wp:positionH>
            <wp:positionV relativeFrom="paragraph">
              <wp:posOffset>280670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5604F8C4" w14:textId="77777777" w:rsidR="00FB6E94" w:rsidRPr="00347D3E" w:rsidRDefault="00FB6E94" w:rsidP="00FB6E94">
      <w:pPr>
        <w:spacing w:line="480" w:lineRule="auto"/>
        <w:jc w:val="center"/>
        <w:rPr>
          <w:rFonts w:ascii="Times New Roman" w:hAnsi="Times New Roman" w:cs="Times New Roman"/>
          <w:color w:val="000000" w:themeColor="text1"/>
          <w:szCs w:val="24"/>
        </w:rPr>
      </w:pPr>
    </w:p>
    <w:p w14:paraId="17C85F22" w14:textId="77777777" w:rsidR="00FB6E94" w:rsidRPr="00347D3E" w:rsidRDefault="00FB6E94" w:rsidP="00FB6E94">
      <w:pPr>
        <w:spacing w:line="480" w:lineRule="auto"/>
        <w:jc w:val="center"/>
        <w:rPr>
          <w:rFonts w:ascii="Times New Roman" w:hAnsi="Times New Roman" w:cs="Times New Roman"/>
          <w:b/>
          <w:bCs/>
          <w:color w:val="000000" w:themeColor="text1"/>
          <w:szCs w:val="24"/>
        </w:rPr>
      </w:pPr>
    </w:p>
    <w:p w14:paraId="7CF64C5A" w14:textId="77777777" w:rsidR="00FB6E94" w:rsidRPr="00347D3E" w:rsidRDefault="00FB6E94" w:rsidP="00FB6E94">
      <w:pPr>
        <w:spacing w:line="480" w:lineRule="auto"/>
        <w:jc w:val="center"/>
        <w:rPr>
          <w:rFonts w:ascii="Times New Roman" w:hAnsi="Times New Roman" w:cs="Times New Roman"/>
          <w:b/>
          <w:bCs/>
          <w:color w:val="000000" w:themeColor="text1"/>
          <w:szCs w:val="24"/>
        </w:rPr>
      </w:pPr>
      <w:r w:rsidRPr="00347D3E">
        <w:rPr>
          <w:rFonts w:ascii="Times New Roman" w:hAnsi="Times New Roman" w:cs="Times New Roman"/>
          <w:b/>
          <w:bCs/>
          <w:color w:val="000000" w:themeColor="text1"/>
          <w:szCs w:val="24"/>
        </w:rPr>
        <w:t>Masters in Tourism and Recreation</w:t>
      </w:r>
    </w:p>
    <w:p w14:paraId="0FDC10F5" w14:textId="77777777" w:rsidR="00FB6E94" w:rsidRPr="00347D3E" w:rsidRDefault="00FB6E94" w:rsidP="00FB6E94">
      <w:pPr>
        <w:spacing w:line="480" w:lineRule="auto"/>
        <w:jc w:val="center"/>
        <w:rPr>
          <w:rFonts w:ascii="Times New Roman" w:hAnsi="Times New Roman" w:cs="Times New Roman"/>
          <w:b/>
          <w:bCs/>
          <w:color w:val="000000" w:themeColor="text1"/>
          <w:szCs w:val="24"/>
        </w:rPr>
      </w:pPr>
      <w:proofErr w:type="spellStart"/>
      <w:r w:rsidRPr="00347D3E">
        <w:rPr>
          <w:rFonts w:ascii="Times New Roman" w:hAnsi="Times New Roman" w:cs="Times New Roman"/>
          <w:b/>
          <w:bCs/>
          <w:color w:val="000000" w:themeColor="text1"/>
          <w:szCs w:val="24"/>
        </w:rPr>
        <w:t>Opera&amp;ons</w:t>
      </w:r>
      <w:proofErr w:type="spellEnd"/>
      <w:r w:rsidRPr="00347D3E">
        <w:rPr>
          <w:rFonts w:ascii="Times New Roman" w:hAnsi="Times New Roman" w:cs="Times New Roman"/>
          <w:b/>
          <w:bCs/>
          <w:color w:val="000000" w:themeColor="text1"/>
          <w:szCs w:val="24"/>
        </w:rPr>
        <w:t xml:space="preserve"> Management in Hospitality </w:t>
      </w:r>
    </w:p>
    <w:p w14:paraId="08834F04" w14:textId="77777777" w:rsidR="00FB6E94" w:rsidRPr="00347D3E" w:rsidRDefault="00FB6E94" w:rsidP="00FB6E94">
      <w:pPr>
        <w:spacing w:line="480" w:lineRule="auto"/>
        <w:jc w:val="center"/>
        <w:rPr>
          <w:rFonts w:ascii="Times New Roman" w:hAnsi="Times New Roman" w:cs="Times New Roman"/>
          <w:b/>
          <w:bCs/>
          <w:color w:val="000000" w:themeColor="text1"/>
          <w:szCs w:val="24"/>
        </w:rPr>
      </w:pPr>
      <w:r w:rsidRPr="00347D3E">
        <w:rPr>
          <w:rFonts w:ascii="Times New Roman" w:hAnsi="Times New Roman" w:cs="Times New Roman"/>
          <w:b/>
          <w:bCs/>
          <w:color w:val="000000" w:themeColor="text1"/>
          <w:szCs w:val="24"/>
        </w:rPr>
        <w:t xml:space="preserve">Assignment 12 </w:t>
      </w:r>
    </w:p>
    <w:p w14:paraId="307AEEEC" w14:textId="77777777" w:rsidR="00FB6E94" w:rsidRPr="00347D3E" w:rsidRDefault="00FB6E94" w:rsidP="00FB6E94">
      <w:pPr>
        <w:spacing w:line="480" w:lineRule="auto"/>
        <w:jc w:val="center"/>
        <w:rPr>
          <w:rFonts w:ascii="Times New Roman" w:hAnsi="Times New Roman" w:cs="Times New Roman"/>
          <w:b/>
          <w:bCs/>
          <w:color w:val="000000" w:themeColor="text1"/>
          <w:szCs w:val="24"/>
        </w:rPr>
      </w:pPr>
      <w:r w:rsidRPr="00347D3E">
        <w:rPr>
          <w:rFonts w:ascii="Times New Roman" w:hAnsi="Times New Roman" w:cs="Times New Roman"/>
          <w:b/>
          <w:bCs/>
          <w:color w:val="000000" w:themeColor="text1"/>
          <w:szCs w:val="24"/>
        </w:rPr>
        <w:t>04.02.2026</w:t>
      </w:r>
    </w:p>
    <w:p w14:paraId="772C9C7D" w14:textId="77777777" w:rsidR="00FB6E94" w:rsidRPr="00347D3E" w:rsidRDefault="00FB6E94" w:rsidP="00FB6E94">
      <w:pPr>
        <w:rPr>
          <w:rFonts w:ascii="Times New Roman" w:hAnsi="Times New Roman" w:cs="Times New Roman"/>
        </w:rPr>
      </w:pPr>
    </w:p>
    <w:p w14:paraId="057C4F90" w14:textId="77777777" w:rsidR="00FB6E94" w:rsidRPr="00347D3E" w:rsidRDefault="00FB6E94" w:rsidP="00FB6E94">
      <w:pPr>
        <w:rPr>
          <w:rFonts w:ascii="Times New Roman" w:hAnsi="Times New Roman" w:cs="Times New Roman"/>
        </w:rPr>
      </w:pPr>
    </w:p>
    <w:p w14:paraId="0D050D60" w14:textId="77777777" w:rsidR="00FB6E94" w:rsidRPr="00347D3E" w:rsidRDefault="00FB6E94" w:rsidP="00FB6E94">
      <w:pPr>
        <w:rPr>
          <w:rFonts w:ascii="Times New Roman" w:hAnsi="Times New Roman" w:cs="Times New Roman"/>
        </w:rPr>
      </w:pPr>
    </w:p>
    <w:p w14:paraId="15DEC8FC" w14:textId="77777777" w:rsidR="00FB6E94" w:rsidRPr="00347D3E" w:rsidRDefault="00FB6E94" w:rsidP="00FB6E94">
      <w:pPr>
        <w:rPr>
          <w:rFonts w:ascii="Times New Roman" w:hAnsi="Times New Roman" w:cs="Times New Roman"/>
        </w:rPr>
      </w:pPr>
    </w:p>
    <w:p w14:paraId="1ED12C5D" w14:textId="77777777" w:rsidR="00FB6E94" w:rsidRPr="00347D3E" w:rsidRDefault="00FB6E94" w:rsidP="00FB6E94">
      <w:pPr>
        <w:rPr>
          <w:rFonts w:ascii="Times New Roman" w:hAnsi="Times New Roman" w:cs="Times New Roman"/>
        </w:rPr>
      </w:pPr>
    </w:p>
    <w:p w14:paraId="708F242E" w14:textId="77777777" w:rsidR="00FB6E94" w:rsidRPr="00347D3E" w:rsidRDefault="00FB6E94">
      <w:pPr>
        <w:rPr>
          <w:rFonts w:ascii="Times New Roman" w:hAnsi="Times New Roman" w:cs="Times New Roman"/>
        </w:rPr>
      </w:pPr>
    </w:p>
    <w:p w14:paraId="2BBDCF1E" w14:textId="77777777" w:rsidR="00347D3E" w:rsidRPr="00347D3E" w:rsidRDefault="00347D3E">
      <w:pPr>
        <w:rPr>
          <w:rFonts w:ascii="Times New Roman" w:hAnsi="Times New Roman" w:cs="Times New Roman"/>
        </w:rPr>
      </w:pPr>
    </w:p>
    <w:p w14:paraId="71FAC021" w14:textId="77777777" w:rsidR="00347D3E" w:rsidRDefault="00347D3E">
      <w:pPr>
        <w:rPr>
          <w:rFonts w:ascii="Times New Roman" w:hAnsi="Times New Roman" w:cs="Times New Roman"/>
        </w:rPr>
      </w:pPr>
    </w:p>
    <w:p w14:paraId="73233EAC" w14:textId="77777777" w:rsidR="00347D3E" w:rsidRPr="00347D3E" w:rsidRDefault="00347D3E">
      <w:pPr>
        <w:rPr>
          <w:rFonts w:ascii="Times New Roman" w:hAnsi="Times New Roman" w:cs="Times New Roman"/>
        </w:rPr>
      </w:pPr>
    </w:p>
    <w:p w14:paraId="73B386C2" w14:textId="77777777" w:rsidR="00347D3E" w:rsidRPr="00347D3E" w:rsidRDefault="00347D3E">
      <w:pPr>
        <w:rPr>
          <w:rFonts w:ascii="Times New Roman" w:hAnsi="Times New Roman" w:cs="Times New Roman"/>
        </w:rPr>
      </w:pPr>
    </w:p>
    <w:p w14:paraId="1251584E" w14:textId="77777777" w:rsidR="00347D3E" w:rsidRPr="00347D3E" w:rsidRDefault="00347D3E">
      <w:pPr>
        <w:rPr>
          <w:rFonts w:ascii="Times New Roman" w:hAnsi="Times New Roman" w:cs="Times New Roman"/>
        </w:rPr>
      </w:pPr>
    </w:p>
    <w:p w14:paraId="2B9E1492" w14:textId="77777777" w:rsidR="00347D3E" w:rsidRPr="00347D3E" w:rsidRDefault="00347D3E">
      <w:pPr>
        <w:rPr>
          <w:rFonts w:ascii="Times New Roman" w:hAnsi="Times New Roman" w:cs="Times New Roman"/>
        </w:rPr>
      </w:pPr>
    </w:p>
    <w:p w14:paraId="7A6FDBC4" w14:textId="77777777" w:rsidR="00347D3E" w:rsidRPr="00347D3E" w:rsidRDefault="00347D3E">
      <w:pPr>
        <w:rPr>
          <w:rFonts w:ascii="Times New Roman" w:hAnsi="Times New Roman" w:cs="Times New Roman"/>
        </w:rPr>
      </w:pPr>
    </w:p>
    <w:p w14:paraId="5E288898" w14:textId="77777777" w:rsidR="00347D3E" w:rsidRPr="00347D3E" w:rsidRDefault="00347D3E">
      <w:pPr>
        <w:rPr>
          <w:rFonts w:ascii="Times New Roman" w:hAnsi="Times New Roman" w:cs="Times New Roman"/>
        </w:rPr>
      </w:pPr>
    </w:p>
    <w:p w14:paraId="15E7562E" w14:textId="77777777" w:rsidR="00347D3E" w:rsidRPr="00347D3E" w:rsidRDefault="00347D3E">
      <w:pPr>
        <w:rPr>
          <w:rFonts w:ascii="Times New Roman" w:hAnsi="Times New Roman" w:cs="Times New Roman"/>
        </w:rPr>
      </w:pPr>
    </w:p>
    <w:p w14:paraId="5892C472" w14:textId="77777777" w:rsidR="00347D3E" w:rsidRPr="00347D3E" w:rsidRDefault="00347D3E" w:rsidP="00347D3E">
      <w:pPr>
        <w:rPr>
          <w:rFonts w:ascii="Times New Roman" w:hAnsi="Times New Roman" w:cs="Times New Roman"/>
          <w:b/>
          <w:bCs/>
        </w:rPr>
      </w:pPr>
      <w:r w:rsidRPr="00347D3E">
        <w:rPr>
          <w:rFonts w:ascii="Times New Roman" w:hAnsi="Times New Roman" w:cs="Times New Roman"/>
          <w:b/>
          <w:bCs/>
        </w:rPr>
        <w:lastRenderedPageBreak/>
        <w:t>Role of Non-Pricing Revenue Management Tools in Maximising Hotel Revenue</w:t>
      </w:r>
    </w:p>
    <w:p w14:paraId="1187208F" w14:textId="77777777" w:rsidR="00347D3E" w:rsidRPr="00347D3E" w:rsidRDefault="00347D3E" w:rsidP="00347D3E">
      <w:pPr>
        <w:rPr>
          <w:rFonts w:ascii="Times New Roman" w:hAnsi="Times New Roman" w:cs="Times New Roman"/>
        </w:rPr>
      </w:pPr>
      <w:r w:rsidRPr="00347D3E">
        <w:rPr>
          <w:rFonts w:ascii="Times New Roman" w:hAnsi="Times New Roman" w:cs="Times New Roman"/>
        </w:rPr>
        <w:t xml:space="preserve">Non-pricing revenue management tools enable hotels to increase overall revenue without modifying room rates by focusing on demand optimisation, inventory controls, and guest spending behaviour. These tools are particularly effective in markets </w:t>
      </w:r>
      <w:proofErr w:type="gramStart"/>
      <w:r w:rsidRPr="00347D3E">
        <w:rPr>
          <w:rFonts w:ascii="Times New Roman" w:hAnsi="Times New Roman" w:cs="Times New Roman"/>
        </w:rPr>
        <w:t>where</w:t>
      </w:r>
      <w:proofErr w:type="gramEnd"/>
      <w:r w:rsidRPr="00347D3E">
        <w:rPr>
          <w:rFonts w:ascii="Times New Roman" w:hAnsi="Times New Roman" w:cs="Times New Roman"/>
        </w:rPr>
        <w:t xml:space="preserve"> price competition, brand positioning, or contractual agreements limit rate flexibility. Instead of relying on price changes, hotels optimise </w:t>
      </w:r>
      <w:r w:rsidRPr="00347D3E">
        <w:rPr>
          <w:rFonts w:ascii="Times New Roman" w:hAnsi="Times New Roman" w:cs="Times New Roman"/>
          <w:b/>
          <w:bCs/>
        </w:rPr>
        <w:t>capacity usage, booking patterns, and ancillary revenue streams</w:t>
      </w:r>
      <w:r w:rsidRPr="00347D3E">
        <w:rPr>
          <w:rFonts w:ascii="Times New Roman" w:hAnsi="Times New Roman" w:cs="Times New Roman"/>
        </w:rPr>
        <w:t>.</w:t>
      </w:r>
    </w:p>
    <w:p w14:paraId="07F8CAF2" w14:textId="77777777" w:rsidR="00347D3E" w:rsidRPr="00347D3E" w:rsidRDefault="00347D3E" w:rsidP="00347D3E">
      <w:pPr>
        <w:rPr>
          <w:rFonts w:ascii="Times New Roman" w:hAnsi="Times New Roman" w:cs="Times New Roman"/>
        </w:rPr>
      </w:pPr>
      <w:r w:rsidRPr="00347D3E">
        <w:rPr>
          <w:rFonts w:ascii="Times New Roman" w:hAnsi="Times New Roman" w:cs="Times New Roman"/>
        </w:rPr>
        <w:t xml:space="preserve">One major non-pricing tool is </w:t>
      </w:r>
      <w:r w:rsidRPr="00347D3E">
        <w:rPr>
          <w:rFonts w:ascii="Times New Roman" w:hAnsi="Times New Roman" w:cs="Times New Roman"/>
          <w:b/>
          <w:bCs/>
        </w:rPr>
        <w:t>demand-based inventory control</w:t>
      </w:r>
      <w:r w:rsidRPr="00347D3E">
        <w:rPr>
          <w:rFonts w:ascii="Times New Roman" w:hAnsi="Times New Roman" w:cs="Times New Roman"/>
        </w:rPr>
        <w:t>. Hotels strategically allocate rooms to different customer segments—such as corporate, leisure, group, or online travel agency (OTA) customers—based on expected total revenue contribution rather than room price alone. High-value segments often generate additional revenue through longer stays, food and beverage spending, or repeat visits. By prioritising these segments during peak demand periods, hotels improve total revenue performance without altering rates (</w:t>
      </w:r>
      <w:proofErr w:type="spellStart"/>
      <w:r w:rsidRPr="00347D3E">
        <w:rPr>
          <w:rFonts w:ascii="Times New Roman" w:hAnsi="Times New Roman" w:cs="Times New Roman"/>
        </w:rPr>
        <w:t>Guadix</w:t>
      </w:r>
      <w:proofErr w:type="spellEnd"/>
      <w:r w:rsidRPr="00347D3E">
        <w:rPr>
          <w:rFonts w:ascii="Times New Roman" w:hAnsi="Times New Roman" w:cs="Times New Roman"/>
        </w:rPr>
        <w:t xml:space="preserve"> et al., 2010).</w:t>
      </w:r>
    </w:p>
    <w:p w14:paraId="6E8E53D8" w14:textId="77777777" w:rsidR="00347D3E" w:rsidRPr="00347D3E" w:rsidRDefault="00347D3E" w:rsidP="00347D3E">
      <w:pPr>
        <w:rPr>
          <w:rFonts w:ascii="Times New Roman" w:hAnsi="Times New Roman" w:cs="Times New Roman"/>
        </w:rPr>
      </w:pPr>
      <w:r w:rsidRPr="00347D3E">
        <w:rPr>
          <w:rFonts w:ascii="Times New Roman" w:hAnsi="Times New Roman" w:cs="Times New Roman"/>
        </w:rPr>
        <w:t xml:space="preserve">Another important tool is </w:t>
      </w:r>
      <w:r w:rsidRPr="00347D3E">
        <w:rPr>
          <w:rFonts w:ascii="Times New Roman" w:hAnsi="Times New Roman" w:cs="Times New Roman"/>
          <w:b/>
          <w:bCs/>
        </w:rPr>
        <w:t>length-of-</w:t>
      </w:r>
      <w:proofErr w:type="gramStart"/>
      <w:r w:rsidRPr="00347D3E">
        <w:rPr>
          <w:rFonts w:ascii="Times New Roman" w:hAnsi="Times New Roman" w:cs="Times New Roman"/>
          <w:b/>
          <w:bCs/>
        </w:rPr>
        <w:t>stay</w:t>
      </w:r>
      <w:proofErr w:type="gramEnd"/>
      <w:r w:rsidRPr="00347D3E">
        <w:rPr>
          <w:rFonts w:ascii="Times New Roman" w:hAnsi="Times New Roman" w:cs="Times New Roman"/>
          <w:b/>
          <w:bCs/>
        </w:rPr>
        <w:t xml:space="preserve"> (LOS) management</w:t>
      </w:r>
      <w:r w:rsidRPr="00347D3E">
        <w:rPr>
          <w:rFonts w:ascii="Times New Roman" w:hAnsi="Times New Roman" w:cs="Times New Roman"/>
        </w:rPr>
        <w:t>. Minimum and maximum stay restrictions allow hotels to control arrival patterns and reduce low-value bookings that limit availability for higher-revenue guests. LOS controls help smooth occupancy across busy and slow periods, improve room turnover efficiency, and enhance revenue per available room (RevPAR) without requiring price increases (Zakhary et al., 2011).</w:t>
      </w:r>
    </w:p>
    <w:p w14:paraId="65336C91" w14:textId="77777777" w:rsidR="00347D3E" w:rsidRPr="00347D3E" w:rsidRDefault="00347D3E" w:rsidP="00347D3E">
      <w:pPr>
        <w:rPr>
          <w:rFonts w:ascii="Times New Roman" w:hAnsi="Times New Roman" w:cs="Times New Roman"/>
        </w:rPr>
      </w:pPr>
      <w:r w:rsidRPr="00347D3E">
        <w:rPr>
          <w:rFonts w:ascii="Times New Roman" w:hAnsi="Times New Roman" w:cs="Times New Roman"/>
          <w:b/>
          <w:bCs/>
        </w:rPr>
        <w:t>Overbooking strategies</w:t>
      </w:r>
      <w:r w:rsidRPr="00347D3E">
        <w:rPr>
          <w:rFonts w:ascii="Times New Roman" w:hAnsi="Times New Roman" w:cs="Times New Roman"/>
        </w:rPr>
        <w:t xml:space="preserve"> also play a crucial role in non-pricing revenue optimisation. Due to cancellations and no-shows, hotels risk operating below full capacity even when demand is strong. Controlled overbooking, based on historical booking data and probabilistic models, allows hotels to achieve optimal occupancy levels. When properly managed, overbooking increases realised revenue while maintaining service quality and customer satisfaction (Morales &amp; Wang, 2010).</w:t>
      </w:r>
    </w:p>
    <w:p w14:paraId="00D8F47C" w14:textId="77777777" w:rsidR="00347D3E" w:rsidRPr="00347D3E" w:rsidRDefault="00347D3E" w:rsidP="00347D3E">
      <w:pPr>
        <w:rPr>
          <w:rFonts w:ascii="Times New Roman" w:hAnsi="Times New Roman" w:cs="Times New Roman"/>
        </w:rPr>
      </w:pPr>
      <w:r w:rsidRPr="00347D3E">
        <w:rPr>
          <w:rFonts w:ascii="Times New Roman" w:hAnsi="Times New Roman" w:cs="Times New Roman"/>
        </w:rPr>
        <w:t xml:space="preserve">Additionally, </w:t>
      </w:r>
      <w:r w:rsidRPr="00347D3E">
        <w:rPr>
          <w:rFonts w:ascii="Times New Roman" w:hAnsi="Times New Roman" w:cs="Times New Roman"/>
          <w:b/>
          <w:bCs/>
        </w:rPr>
        <w:t>ancillary revenue optimisation</w:t>
      </w:r>
      <w:r w:rsidRPr="00347D3E">
        <w:rPr>
          <w:rFonts w:ascii="Times New Roman" w:hAnsi="Times New Roman" w:cs="Times New Roman"/>
        </w:rPr>
        <w:t xml:space="preserve"> significantly enhances hotel profitability. Upselling services such as room upgrades, late check-outs, spa access, dining packages, and transportation increases total guest expenditure without changing room rates. Digital tools, including personalised pre-arrival emails and mobile apps, allow hotels to target guests with tailored offers, increasing conversion rates and overall spend (Schwartz &amp; Cohen, 2004).</w:t>
      </w:r>
    </w:p>
    <w:p w14:paraId="1E27EB8D" w14:textId="77777777" w:rsidR="00347D3E" w:rsidRPr="00347D3E" w:rsidRDefault="00347D3E" w:rsidP="00347D3E">
      <w:pPr>
        <w:rPr>
          <w:rFonts w:ascii="Times New Roman" w:hAnsi="Times New Roman" w:cs="Times New Roman"/>
        </w:rPr>
      </w:pPr>
      <w:r w:rsidRPr="00347D3E">
        <w:rPr>
          <w:rFonts w:ascii="Times New Roman" w:hAnsi="Times New Roman" w:cs="Times New Roman"/>
        </w:rPr>
        <w:t xml:space="preserve">Finally, </w:t>
      </w:r>
      <w:r w:rsidRPr="00347D3E">
        <w:rPr>
          <w:rFonts w:ascii="Times New Roman" w:hAnsi="Times New Roman" w:cs="Times New Roman"/>
          <w:b/>
          <w:bCs/>
        </w:rPr>
        <w:t>forecasting and demand management systems</w:t>
      </w:r>
      <w:r w:rsidRPr="00347D3E">
        <w:rPr>
          <w:rFonts w:ascii="Times New Roman" w:hAnsi="Times New Roman" w:cs="Times New Roman"/>
        </w:rPr>
        <w:t xml:space="preserve"> enable hotels to anticipate booking behaviour, manage capacity more effectively, and adjust non-pricing controls dynamically. Accurate forecasts allow revenue managers to align operational decisions with expected demand, improving revenue efficiency without relying on price changes (Weatherford &amp; Kimes, 2003).</w:t>
      </w:r>
    </w:p>
    <w:p w14:paraId="7C844408" w14:textId="77777777" w:rsidR="00347D3E" w:rsidRDefault="00347D3E" w:rsidP="00347D3E">
      <w:pPr>
        <w:rPr>
          <w:rFonts w:ascii="Times New Roman" w:hAnsi="Times New Roman" w:cs="Times New Roman"/>
        </w:rPr>
      </w:pPr>
      <w:r w:rsidRPr="00347D3E">
        <w:rPr>
          <w:rFonts w:ascii="Times New Roman" w:hAnsi="Times New Roman" w:cs="Times New Roman"/>
        </w:rPr>
        <w:t>In conclusion, non-pricing revenue management tools allow hotels to maximise revenue through better utilisation of capacity, strategic customer segmentation, demand smoothing, and increased ancillary sales. These tools are essential for sustainable revenue growth, particularly when pricing flexibility is constrained.</w:t>
      </w:r>
    </w:p>
    <w:p w14:paraId="65EA2623" w14:textId="77777777" w:rsidR="00347D3E" w:rsidRDefault="00347D3E" w:rsidP="00347D3E">
      <w:pPr>
        <w:rPr>
          <w:rFonts w:ascii="Times New Roman" w:hAnsi="Times New Roman" w:cs="Times New Roman"/>
        </w:rPr>
      </w:pPr>
    </w:p>
    <w:p w14:paraId="62382D0F" w14:textId="77777777" w:rsidR="00347D3E" w:rsidRPr="00347D3E" w:rsidRDefault="00347D3E" w:rsidP="00347D3E">
      <w:pPr>
        <w:rPr>
          <w:rFonts w:ascii="Times New Roman" w:hAnsi="Times New Roman" w:cs="Times New Roman"/>
        </w:rPr>
      </w:pPr>
    </w:p>
    <w:p w14:paraId="7932DB01" w14:textId="20258B2B" w:rsidR="00347D3E" w:rsidRPr="00347D3E" w:rsidRDefault="00347D3E" w:rsidP="00347D3E">
      <w:pPr>
        <w:rPr>
          <w:rFonts w:ascii="Times New Roman" w:hAnsi="Times New Roman" w:cs="Times New Roman"/>
          <w:b/>
          <w:bCs/>
        </w:rPr>
      </w:pPr>
      <w:r w:rsidRPr="00347D3E">
        <w:rPr>
          <w:rFonts w:ascii="Times New Roman" w:hAnsi="Times New Roman" w:cs="Times New Roman"/>
          <w:b/>
          <w:bCs/>
        </w:rPr>
        <w:t xml:space="preserve">References </w:t>
      </w:r>
    </w:p>
    <w:p w14:paraId="2F08B3C5" w14:textId="77777777" w:rsidR="00347D3E" w:rsidRPr="00347D3E" w:rsidRDefault="00347D3E" w:rsidP="00347D3E">
      <w:pPr>
        <w:rPr>
          <w:rFonts w:ascii="Times New Roman" w:hAnsi="Times New Roman" w:cs="Times New Roman"/>
        </w:rPr>
      </w:pPr>
      <w:proofErr w:type="spellStart"/>
      <w:r w:rsidRPr="00347D3E">
        <w:rPr>
          <w:rFonts w:ascii="Times New Roman" w:hAnsi="Times New Roman" w:cs="Times New Roman"/>
        </w:rPr>
        <w:t>Guadix</w:t>
      </w:r>
      <w:proofErr w:type="spellEnd"/>
      <w:r w:rsidRPr="00347D3E">
        <w:rPr>
          <w:rFonts w:ascii="Times New Roman" w:hAnsi="Times New Roman" w:cs="Times New Roman"/>
        </w:rPr>
        <w:t xml:space="preserve">, J., Cortés, P., Muñuzuri, J., &amp; </w:t>
      </w:r>
      <w:proofErr w:type="spellStart"/>
      <w:r w:rsidRPr="00347D3E">
        <w:rPr>
          <w:rFonts w:ascii="Times New Roman" w:hAnsi="Times New Roman" w:cs="Times New Roman"/>
        </w:rPr>
        <w:t>Onieva</w:t>
      </w:r>
      <w:proofErr w:type="spellEnd"/>
      <w:r w:rsidRPr="00347D3E">
        <w:rPr>
          <w:rFonts w:ascii="Times New Roman" w:hAnsi="Times New Roman" w:cs="Times New Roman"/>
        </w:rPr>
        <w:t xml:space="preserve">, L. (2010). Revenue management and customer segmentation in hotels. </w:t>
      </w:r>
      <w:r w:rsidRPr="00347D3E">
        <w:rPr>
          <w:rFonts w:ascii="Times New Roman" w:hAnsi="Times New Roman" w:cs="Times New Roman"/>
          <w:i/>
          <w:iCs/>
        </w:rPr>
        <w:t>International Journal of Hospitality Management, 29</w:t>
      </w:r>
      <w:r w:rsidRPr="00347D3E">
        <w:rPr>
          <w:rFonts w:ascii="Times New Roman" w:hAnsi="Times New Roman" w:cs="Times New Roman"/>
        </w:rPr>
        <w:t>(3), 498–506.</w:t>
      </w:r>
      <w:r w:rsidRPr="00347D3E">
        <w:rPr>
          <w:rFonts w:ascii="Times New Roman" w:hAnsi="Times New Roman" w:cs="Times New Roman"/>
        </w:rPr>
        <w:br/>
        <w:t>https://doi.org/10.1016/j.ijhm.2009.10.001</w:t>
      </w:r>
    </w:p>
    <w:p w14:paraId="7BE55086" w14:textId="77777777" w:rsidR="00347D3E" w:rsidRPr="00347D3E" w:rsidRDefault="00347D3E" w:rsidP="00347D3E">
      <w:pPr>
        <w:rPr>
          <w:rFonts w:ascii="Times New Roman" w:hAnsi="Times New Roman" w:cs="Times New Roman"/>
        </w:rPr>
      </w:pPr>
      <w:r w:rsidRPr="00347D3E">
        <w:rPr>
          <w:rFonts w:ascii="Times New Roman" w:hAnsi="Times New Roman" w:cs="Times New Roman"/>
        </w:rPr>
        <w:t xml:space="preserve">Morales, D. R., &amp; Wang, J. (2010). Forecast-based overbooking strategies in the hotel industry. </w:t>
      </w:r>
      <w:r w:rsidRPr="00347D3E">
        <w:rPr>
          <w:rFonts w:ascii="Times New Roman" w:hAnsi="Times New Roman" w:cs="Times New Roman"/>
          <w:i/>
          <w:iCs/>
        </w:rPr>
        <w:t>European Journal of Operational Research, 206</w:t>
      </w:r>
      <w:r w:rsidRPr="00347D3E">
        <w:rPr>
          <w:rFonts w:ascii="Times New Roman" w:hAnsi="Times New Roman" w:cs="Times New Roman"/>
        </w:rPr>
        <w:t>(2), 422–432.</w:t>
      </w:r>
      <w:r w:rsidRPr="00347D3E">
        <w:rPr>
          <w:rFonts w:ascii="Times New Roman" w:hAnsi="Times New Roman" w:cs="Times New Roman"/>
        </w:rPr>
        <w:br/>
        <w:t>https://doi.org/10.1016/j.ejor.2010.03.015</w:t>
      </w:r>
    </w:p>
    <w:p w14:paraId="274F1B38" w14:textId="77777777" w:rsidR="00347D3E" w:rsidRPr="00347D3E" w:rsidRDefault="00347D3E" w:rsidP="00347D3E">
      <w:pPr>
        <w:rPr>
          <w:rFonts w:ascii="Times New Roman" w:hAnsi="Times New Roman" w:cs="Times New Roman"/>
        </w:rPr>
      </w:pPr>
      <w:r w:rsidRPr="00347D3E">
        <w:rPr>
          <w:rFonts w:ascii="Times New Roman" w:hAnsi="Times New Roman" w:cs="Times New Roman"/>
        </w:rPr>
        <w:t xml:space="preserve">Schwartz, Z., &amp; Cohen, E. (2004). Hotel revenue management with group discount room rates. </w:t>
      </w:r>
      <w:r w:rsidRPr="00347D3E">
        <w:rPr>
          <w:rFonts w:ascii="Times New Roman" w:hAnsi="Times New Roman" w:cs="Times New Roman"/>
          <w:i/>
          <w:iCs/>
        </w:rPr>
        <w:t>Journal of Hospitality &amp; Tourism Research, 28</w:t>
      </w:r>
      <w:r w:rsidRPr="00347D3E">
        <w:rPr>
          <w:rFonts w:ascii="Times New Roman" w:hAnsi="Times New Roman" w:cs="Times New Roman"/>
        </w:rPr>
        <w:t>(1), 29–46.</w:t>
      </w:r>
      <w:r w:rsidRPr="00347D3E">
        <w:rPr>
          <w:rFonts w:ascii="Times New Roman" w:hAnsi="Times New Roman" w:cs="Times New Roman"/>
        </w:rPr>
        <w:br/>
        <w:t>https://doi.org/10.1177/1096348003261210</w:t>
      </w:r>
    </w:p>
    <w:p w14:paraId="20D3F49C" w14:textId="77777777" w:rsidR="00347D3E" w:rsidRPr="00347D3E" w:rsidRDefault="00347D3E" w:rsidP="00347D3E">
      <w:pPr>
        <w:rPr>
          <w:rFonts w:ascii="Times New Roman" w:hAnsi="Times New Roman" w:cs="Times New Roman"/>
        </w:rPr>
      </w:pPr>
      <w:r w:rsidRPr="00347D3E">
        <w:rPr>
          <w:rFonts w:ascii="Times New Roman" w:hAnsi="Times New Roman" w:cs="Times New Roman"/>
        </w:rPr>
        <w:t xml:space="preserve">Weatherford, L. R., &amp; Kimes, S. E. (2003). A comparison of forecasting methods for hotel revenue management. </w:t>
      </w:r>
      <w:r w:rsidRPr="00347D3E">
        <w:rPr>
          <w:rFonts w:ascii="Times New Roman" w:hAnsi="Times New Roman" w:cs="Times New Roman"/>
          <w:i/>
          <w:iCs/>
        </w:rPr>
        <w:t>International Journal of Forecasting, 19</w:t>
      </w:r>
      <w:r w:rsidRPr="00347D3E">
        <w:rPr>
          <w:rFonts w:ascii="Times New Roman" w:hAnsi="Times New Roman" w:cs="Times New Roman"/>
        </w:rPr>
        <w:t>(3), 401–415.</w:t>
      </w:r>
      <w:r w:rsidRPr="00347D3E">
        <w:rPr>
          <w:rFonts w:ascii="Times New Roman" w:hAnsi="Times New Roman" w:cs="Times New Roman"/>
        </w:rPr>
        <w:br/>
        <w:t>https://doi.org/10.1016/S0169-2070(02)00072-2</w:t>
      </w:r>
    </w:p>
    <w:p w14:paraId="7E5BC029" w14:textId="77777777" w:rsidR="00347D3E" w:rsidRPr="00347D3E" w:rsidRDefault="00347D3E" w:rsidP="00347D3E">
      <w:pPr>
        <w:rPr>
          <w:rFonts w:ascii="Times New Roman" w:hAnsi="Times New Roman" w:cs="Times New Roman"/>
        </w:rPr>
      </w:pPr>
      <w:r w:rsidRPr="00347D3E">
        <w:rPr>
          <w:rFonts w:ascii="Times New Roman" w:hAnsi="Times New Roman" w:cs="Times New Roman"/>
        </w:rPr>
        <w:t>Zakhary, A., Atiya, A., El-</w:t>
      </w:r>
      <w:proofErr w:type="spellStart"/>
      <w:r w:rsidRPr="00347D3E">
        <w:rPr>
          <w:rFonts w:ascii="Times New Roman" w:hAnsi="Times New Roman" w:cs="Times New Roman"/>
        </w:rPr>
        <w:t>Shishiny</w:t>
      </w:r>
      <w:proofErr w:type="spellEnd"/>
      <w:r w:rsidRPr="00347D3E">
        <w:rPr>
          <w:rFonts w:ascii="Times New Roman" w:hAnsi="Times New Roman" w:cs="Times New Roman"/>
        </w:rPr>
        <w:t xml:space="preserve">, H., &amp; Gayar, N. (2011). Revenue management using demand forecasting. </w:t>
      </w:r>
      <w:r w:rsidRPr="00347D3E">
        <w:rPr>
          <w:rFonts w:ascii="Times New Roman" w:hAnsi="Times New Roman" w:cs="Times New Roman"/>
          <w:i/>
          <w:iCs/>
        </w:rPr>
        <w:t>Journal of Revenue and Pricing Management, 10</w:t>
      </w:r>
      <w:r w:rsidRPr="00347D3E">
        <w:rPr>
          <w:rFonts w:ascii="Times New Roman" w:hAnsi="Times New Roman" w:cs="Times New Roman"/>
        </w:rPr>
        <w:t>(3), 299–312.</w:t>
      </w:r>
      <w:r w:rsidRPr="00347D3E">
        <w:rPr>
          <w:rFonts w:ascii="Times New Roman" w:hAnsi="Times New Roman" w:cs="Times New Roman"/>
        </w:rPr>
        <w:br/>
        <w:t>https://doi.org/10.1057/rpm.2011.8</w:t>
      </w:r>
    </w:p>
    <w:p w14:paraId="11F0E9C9" w14:textId="77777777" w:rsidR="00347D3E" w:rsidRPr="00347D3E" w:rsidRDefault="00347D3E">
      <w:pPr>
        <w:rPr>
          <w:rFonts w:ascii="Times New Roman" w:hAnsi="Times New Roman" w:cs="Times New Roman"/>
        </w:rPr>
      </w:pPr>
    </w:p>
    <w:sectPr w:rsidR="00347D3E" w:rsidRPr="00347D3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E94"/>
    <w:rsid w:val="00347D3E"/>
    <w:rsid w:val="00CB2166"/>
    <w:rsid w:val="00FB6E94"/>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BED91"/>
  <w15:chartTrackingRefBased/>
  <w15:docId w15:val="{565EC042-C240-49D8-BCF9-CC16343C5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E94"/>
  </w:style>
  <w:style w:type="paragraph" w:styleId="Heading1">
    <w:name w:val="heading 1"/>
    <w:basedOn w:val="Normal"/>
    <w:next w:val="Normal"/>
    <w:link w:val="Heading1Char"/>
    <w:uiPriority w:val="9"/>
    <w:qFormat/>
    <w:rsid w:val="00FB6E94"/>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FB6E94"/>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FB6E94"/>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FB6E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6E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6E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6E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6E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6E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6E94"/>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FB6E94"/>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FB6E94"/>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FB6E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6E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6E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6E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6E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6E94"/>
    <w:rPr>
      <w:rFonts w:eastAsiaTheme="majorEastAsia" w:cstheme="majorBidi"/>
      <w:color w:val="272727" w:themeColor="text1" w:themeTint="D8"/>
    </w:rPr>
  </w:style>
  <w:style w:type="paragraph" w:styleId="Title">
    <w:name w:val="Title"/>
    <w:basedOn w:val="Normal"/>
    <w:next w:val="Normal"/>
    <w:link w:val="TitleChar"/>
    <w:uiPriority w:val="10"/>
    <w:qFormat/>
    <w:rsid w:val="00FB6E94"/>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FB6E94"/>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FB6E94"/>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FB6E94"/>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FB6E94"/>
    <w:pPr>
      <w:spacing w:before="160"/>
      <w:jc w:val="center"/>
    </w:pPr>
    <w:rPr>
      <w:i/>
      <w:iCs/>
      <w:color w:val="404040" w:themeColor="text1" w:themeTint="BF"/>
    </w:rPr>
  </w:style>
  <w:style w:type="character" w:customStyle="1" w:styleId="QuoteChar">
    <w:name w:val="Quote Char"/>
    <w:basedOn w:val="DefaultParagraphFont"/>
    <w:link w:val="Quote"/>
    <w:uiPriority w:val="29"/>
    <w:rsid w:val="00FB6E94"/>
    <w:rPr>
      <w:i/>
      <w:iCs/>
      <w:color w:val="404040" w:themeColor="text1" w:themeTint="BF"/>
    </w:rPr>
  </w:style>
  <w:style w:type="paragraph" w:styleId="ListParagraph">
    <w:name w:val="List Paragraph"/>
    <w:basedOn w:val="Normal"/>
    <w:uiPriority w:val="34"/>
    <w:qFormat/>
    <w:rsid w:val="00FB6E94"/>
    <w:pPr>
      <w:ind w:left="720"/>
      <w:contextualSpacing/>
    </w:pPr>
  </w:style>
  <w:style w:type="character" w:styleId="IntenseEmphasis">
    <w:name w:val="Intense Emphasis"/>
    <w:basedOn w:val="DefaultParagraphFont"/>
    <w:uiPriority w:val="21"/>
    <w:qFormat/>
    <w:rsid w:val="00FB6E94"/>
    <w:rPr>
      <w:i/>
      <w:iCs/>
      <w:color w:val="0F4761" w:themeColor="accent1" w:themeShade="BF"/>
    </w:rPr>
  </w:style>
  <w:style w:type="paragraph" w:styleId="IntenseQuote">
    <w:name w:val="Intense Quote"/>
    <w:basedOn w:val="Normal"/>
    <w:next w:val="Normal"/>
    <w:link w:val="IntenseQuoteChar"/>
    <w:uiPriority w:val="30"/>
    <w:qFormat/>
    <w:rsid w:val="00FB6E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6E94"/>
    <w:rPr>
      <w:i/>
      <w:iCs/>
      <w:color w:val="0F4761" w:themeColor="accent1" w:themeShade="BF"/>
    </w:rPr>
  </w:style>
  <w:style w:type="character" w:styleId="IntenseReference">
    <w:name w:val="Intense Reference"/>
    <w:basedOn w:val="DefaultParagraphFont"/>
    <w:uiPriority w:val="32"/>
    <w:qFormat/>
    <w:rsid w:val="00FB6E9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635</Words>
  <Characters>3625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1</cp:revision>
  <dcterms:created xsi:type="dcterms:W3CDTF">2026-02-08T10:20:00Z</dcterms:created>
  <dcterms:modified xsi:type="dcterms:W3CDTF">2026-02-08T10:27:00Z</dcterms:modified>
</cp:coreProperties>
</file>