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Pr="00FC0347" w:rsidRDefault="0019504D" w:rsidP="0019504D">
      <w:pPr>
        <w:rPr>
          <w:lang w:val="en-US"/>
        </w:rPr>
      </w:pPr>
      <w:r w:rsidRPr="00FC0347">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FC0347" w:rsidRDefault="00661030" w:rsidP="00661030">
      <w:pPr>
        <w:rPr>
          <w:lang w:val="en-US"/>
        </w:rPr>
      </w:pPr>
      <w:r w:rsidRPr="00FC0347">
        <w:rPr>
          <w:lang w:val="en-US"/>
        </w:rPr>
        <w:t>Tourism</w:t>
      </w:r>
      <w:r w:rsidR="00C21EBA" w:rsidRPr="00FC0347">
        <w:rPr>
          <w:lang w:val="en-US"/>
        </w:rPr>
        <w:t xml:space="preserve"> </w:t>
      </w:r>
      <w:r w:rsidR="00481859" w:rsidRPr="00FC0347">
        <w:rPr>
          <w:lang w:val="en-US"/>
        </w:rPr>
        <w:t>Law and Legislation</w:t>
      </w:r>
    </w:p>
    <w:p w14:paraId="7AF8CAD3" w14:textId="77777777" w:rsidR="0019504D" w:rsidRPr="00FC0347" w:rsidRDefault="0019504D" w:rsidP="0019504D">
      <w:pPr>
        <w:rPr>
          <w:lang w:val="en-US"/>
        </w:rPr>
      </w:pPr>
      <w:r w:rsidRPr="00FC0347">
        <w:rPr>
          <w:lang w:val="en-US"/>
        </w:rPr>
        <w:t xml:space="preserve">Assignment </w:t>
      </w:r>
      <w:r w:rsidR="00716E23" w:rsidRPr="00FC0347">
        <w:rPr>
          <w:lang w:val="en-US"/>
        </w:rPr>
        <w:t>2</w:t>
      </w:r>
    </w:p>
    <w:p w14:paraId="3589F145" w14:textId="77777777" w:rsidR="0019504D" w:rsidRPr="00FC0347" w:rsidRDefault="00716E23" w:rsidP="0019504D">
      <w:pPr>
        <w:rPr>
          <w:lang w:val="en-US"/>
        </w:rPr>
      </w:pPr>
      <w:r w:rsidRPr="00FC0347">
        <w:rPr>
          <w:lang w:val="en-US"/>
        </w:rPr>
        <w:t>14</w:t>
      </w:r>
      <w:r w:rsidR="0019504D" w:rsidRPr="00FC0347">
        <w:rPr>
          <w:lang w:val="en-US"/>
        </w:rPr>
        <w:t>.0</w:t>
      </w:r>
      <w:r w:rsidR="00481859" w:rsidRPr="00FC0347">
        <w:rPr>
          <w:lang w:val="en-US"/>
        </w:rPr>
        <w:t>1</w:t>
      </w:r>
      <w:r w:rsidR="0019504D" w:rsidRPr="00FC0347">
        <w:rPr>
          <w:lang w:val="en-US"/>
        </w:rPr>
        <w:t>.2025</w:t>
      </w:r>
    </w:p>
    <w:p w14:paraId="07F9BE35" w14:textId="77777777" w:rsidR="0019504D" w:rsidRPr="00FC0347" w:rsidRDefault="0019504D"/>
    <w:p w14:paraId="6A281C24" w14:textId="77777777" w:rsidR="00264E12" w:rsidRPr="00264E12" w:rsidRDefault="00264E12" w:rsidP="00264E12">
      <w:pPr>
        <w:rPr>
          <w:rFonts w:ascii="Aptos Narrow" w:eastAsia="Times New Roman" w:hAnsi="Aptos Narrow" w:cs="Times New Roman"/>
          <w:color w:val="000000"/>
          <w:kern w:val="0"/>
          <w:sz w:val="22"/>
          <w:szCs w:val="22"/>
          <w:lang w:val="en-GB" w:eastAsia="en-GB" w:bidi="hi-IN"/>
          <w14:ligatures w14:val="none"/>
        </w:rPr>
      </w:pPr>
      <w:r w:rsidRPr="00264E12">
        <w:rPr>
          <w:rFonts w:ascii="Aptos Narrow" w:eastAsia="Times New Roman" w:hAnsi="Aptos Narrow" w:cs="Times New Roman"/>
          <w:color w:val="000000"/>
          <w:kern w:val="0"/>
          <w:sz w:val="22"/>
          <w:szCs w:val="22"/>
          <w:lang w:val="en-GB" w:eastAsia="en-GB" w:bidi="hi-IN"/>
          <w14:ligatures w14:val="none"/>
        </w:rPr>
        <w:t>Gavin Dhanda</w:t>
      </w:r>
    </w:p>
    <w:p w14:paraId="44503069" w14:textId="77777777" w:rsidR="00CD620A" w:rsidRPr="00FC0347" w:rsidRDefault="00CD620A"/>
    <w:p w14:paraId="535E1485" w14:textId="77777777" w:rsidR="00CD620A" w:rsidRPr="00FC0347" w:rsidRDefault="00CD620A"/>
    <w:p w14:paraId="5B460D21" w14:textId="77777777" w:rsidR="00CD620A" w:rsidRPr="00FC0347" w:rsidRDefault="00CD620A"/>
    <w:p w14:paraId="29728A86" w14:textId="77777777" w:rsidR="00CD620A" w:rsidRPr="00FC0347" w:rsidRDefault="00CD620A"/>
    <w:p w14:paraId="2A3900DC" w14:textId="77777777" w:rsidR="00CD620A" w:rsidRPr="00FC0347" w:rsidRDefault="00CD620A"/>
    <w:p w14:paraId="67E2CB04" w14:textId="77777777" w:rsidR="00EA737F" w:rsidRPr="00FC0347" w:rsidRDefault="00EA737F"/>
    <w:p w14:paraId="02934328" w14:textId="77777777" w:rsidR="0019504D" w:rsidRPr="00FC0347" w:rsidRDefault="0019504D"/>
    <w:p w14:paraId="6683FBD1" w14:textId="77777777" w:rsidR="0019504D" w:rsidRPr="00FC0347" w:rsidRDefault="0019504D"/>
    <w:p w14:paraId="70607A29" w14:textId="77777777" w:rsidR="00EA737F" w:rsidRPr="00FC0347" w:rsidRDefault="00CD620A" w:rsidP="00EA737F">
      <w:pPr>
        <w:spacing w:line="276" w:lineRule="auto"/>
        <w:rPr>
          <w:lang w:val="en-US"/>
        </w:rPr>
      </w:pPr>
      <w:r w:rsidRPr="00FC0347">
        <w:rPr>
          <w:lang w:val="en-US"/>
        </w:rPr>
        <w:t>In no more than 500 words</w:t>
      </w:r>
      <w:r w:rsidR="00716E23" w:rsidRPr="00FC0347">
        <w:rPr>
          <w:lang w:val="en-US"/>
        </w:rPr>
        <w:t>,</w:t>
      </w:r>
      <w:r w:rsidR="00481859" w:rsidRPr="00FC0347">
        <w:rPr>
          <w:lang w:val="en-US"/>
        </w:rPr>
        <w:t xml:space="preserve"> each explain</w:t>
      </w:r>
      <w:r w:rsidR="00716E23" w:rsidRPr="00FC0347">
        <w:rPr>
          <w:lang w:val="en-US"/>
        </w:rPr>
        <w:t xml:space="preserve"> and 2-4 references:</w:t>
      </w:r>
    </w:p>
    <w:p w14:paraId="403B63B1" w14:textId="77777777" w:rsidR="00EA737F" w:rsidRPr="00FC0347" w:rsidRDefault="00EA737F" w:rsidP="00EA737F">
      <w:pPr>
        <w:spacing w:line="276" w:lineRule="auto"/>
        <w:rPr>
          <w:lang w:val="en-US"/>
        </w:rPr>
      </w:pPr>
    </w:p>
    <w:p w14:paraId="643A0288" w14:textId="77777777" w:rsidR="00FC0347" w:rsidRPr="00FC0347" w:rsidRDefault="00FC0347" w:rsidP="00FC0347">
      <w:pPr>
        <w:spacing w:line="276" w:lineRule="auto"/>
        <w:rPr>
          <w:b/>
          <w:bCs/>
          <w:lang w:val="en-GB"/>
        </w:rPr>
      </w:pPr>
      <w:r w:rsidRPr="00FC0347">
        <w:rPr>
          <w:b/>
          <w:bCs/>
          <w:lang w:val="en-GB"/>
        </w:rPr>
        <w:t>1. What are subsidiary bodies in international tourism governance? Explain their general role within UNWTO.</w:t>
      </w:r>
    </w:p>
    <w:p w14:paraId="3B2CC3F2" w14:textId="77777777" w:rsidR="000760D4" w:rsidRPr="000760D4" w:rsidRDefault="000760D4" w:rsidP="000760D4">
      <w:pPr>
        <w:spacing w:line="276" w:lineRule="auto"/>
        <w:rPr>
          <w:lang w:val="en-GB"/>
        </w:rPr>
      </w:pPr>
      <w:proofErr w:type="gramStart"/>
      <w:r w:rsidRPr="000760D4">
        <w:rPr>
          <w:lang w:val="en-GB"/>
        </w:rPr>
        <w:t>With regard to</w:t>
      </w:r>
      <w:proofErr w:type="gramEnd"/>
      <w:r w:rsidRPr="000760D4">
        <w:rPr>
          <w:lang w:val="en-GB"/>
        </w:rPr>
        <w:t xml:space="preserve"> the governance of international tourism, subsidiary bodies are institutional structures that are established with the purpose of providing support, advice, and operationalization of the strategic objectives of global tourism organizations. The purpose of their existence is to manage the complexities of tourist governance, which encompasses economic development, environmental sustainability, cultural preservation, and international cooperation. The United Nations World Tourism Organization (UNWTO) is comprised of subsidiary groups that serve as the foundation for both functional and regional governance.</w:t>
      </w:r>
      <w:r w:rsidRPr="000760D4">
        <w:rPr>
          <w:lang w:val="en-GB"/>
        </w:rPr>
        <w:br/>
      </w:r>
      <w:r w:rsidRPr="000760D4">
        <w:rPr>
          <w:lang w:val="en-GB"/>
        </w:rPr>
        <w:br/>
        <w:t xml:space="preserve">Regional commissions, standing committees, working groups, and expert panels are all examples of these bodies; each of these bodies has a mandate that is made very apparent. </w:t>
      </w:r>
      <w:proofErr w:type="gramStart"/>
      <w:r w:rsidRPr="000760D4">
        <w:rPr>
          <w:lang w:val="en-GB"/>
        </w:rPr>
        <w:t>In order to</w:t>
      </w:r>
      <w:proofErr w:type="gramEnd"/>
      <w:r w:rsidRPr="000760D4">
        <w:rPr>
          <w:lang w:val="en-GB"/>
        </w:rPr>
        <w:t xml:space="preserve"> guarantee that tourist strategies are reflective of a variety of economic and cultural circumstances, regional commissions are responsible for representing several different geographical areas. For example, sustainable tourism, tourism statistics, ethics, education, and crisis resilience are some of the specific areas that thematic committees centre their attention on. Together, they make it possible for the United Nations World Tourism Organization (UNWTO) to handle difficulties that are associated with tourism on a worldwide scale in a manner that is both structured and systematic.</w:t>
      </w:r>
      <w:r w:rsidRPr="000760D4">
        <w:rPr>
          <w:lang w:val="en-GB"/>
        </w:rPr>
        <w:br/>
      </w:r>
      <w:r w:rsidRPr="000760D4">
        <w:rPr>
          <w:lang w:val="en-GB"/>
        </w:rPr>
        <w:br/>
        <w:t xml:space="preserve">Both the design of policies and the provision of technical guidance are among the primary responsibilities of subsidiary organizations. They are responsible for the collection of data, the commissioning of research, and the analysis of emerging trends that have an impact on global tourism. These trends include recovery from a crisis, climate change, and technology disruption. Their findings are used to influence policy suggestions that are presented to the Executive Council and the General Assembly. This helps to ensure that decisions are </w:t>
      </w:r>
      <w:r w:rsidRPr="000760D4">
        <w:rPr>
          <w:lang w:val="en-GB"/>
        </w:rPr>
        <w:lastRenderedPageBreak/>
        <w:t>determined by evidence and are in line with strategic objectives.</w:t>
      </w:r>
      <w:r w:rsidRPr="000760D4">
        <w:rPr>
          <w:lang w:val="en-GB"/>
        </w:rPr>
        <w:br/>
      </w:r>
      <w:r w:rsidRPr="000760D4">
        <w:rPr>
          <w:lang w:val="en-GB"/>
        </w:rPr>
        <w:br/>
        <w:t xml:space="preserve">The function of representation and inclusion is also an extremely important one. Member states are given the opportunity to actively participate in governance beyond the scope of high-level assemblies through the establishment of subsidiary bodies. In addition to fostering openness, this participatory structure ensures that smaller or poorer countries </w:t>
      </w:r>
      <w:proofErr w:type="gramStart"/>
      <w:r w:rsidRPr="000760D4">
        <w:rPr>
          <w:lang w:val="en-GB"/>
        </w:rPr>
        <w:t>have the ability to</w:t>
      </w:r>
      <w:proofErr w:type="gramEnd"/>
      <w:r w:rsidRPr="000760D4">
        <w:rPr>
          <w:lang w:val="en-GB"/>
        </w:rPr>
        <w:t xml:space="preserve"> influence the agendas of international tourism organizations.</w:t>
      </w:r>
      <w:r w:rsidRPr="000760D4">
        <w:rPr>
          <w:lang w:val="en-GB"/>
        </w:rPr>
        <w:br/>
      </w:r>
      <w:r w:rsidRPr="000760D4">
        <w:rPr>
          <w:lang w:val="en-GB"/>
        </w:rPr>
        <w:br/>
        <w:t>The implementation and monitoring processes are also supported by subsidiary bodies. The member states receive assistance in the implementation of global tourism frameworks, they are encouraged to embrace best practices, and they review the progress that has been made toward ethical and sustainable standards. Increasing the ability of national tourist institutions is accomplished through the implementation of capacity-building initiatives, training programs, and technical assistance.</w:t>
      </w:r>
      <w:r w:rsidRPr="000760D4">
        <w:rPr>
          <w:lang w:val="en-GB"/>
        </w:rPr>
        <w:br/>
      </w:r>
      <w:r w:rsidRPr="000760D4">
        <w:rPr>
          <w:lang w:val="en-GB"/>
        </w:rPr>
        <w:br/>
        <w:t xml:space="preserve">The overall efficacy of the United Nations World </w:t>
      </w:r>
      <w:proofErr w:type="gramStart"/>
      <w:r w:rsidRPr="000760D4">
        <w:rPr>
          <w:lang w:val="en-GB"/>
        </w:rPr>
        <w:t>tourist</w:t>
      </w:r>
      <w:proofErr w:type="gramEnd"/>
      <w:r w:rsidRPr="000760D4">
        <w:rPr>
          <w:lang w:val="en-GB"/>
        </w:rPr>
        <w:t xml:space="preserve"> Organization (UNWTO) is improved by subsidiary entities because they bridge global policy with regional reality. This results in international tourist governance that is more responsive, inclusive, and operationally sound.</w:t>
      </w:r>
    </w:p>
    <w:p w14:paraId="66C3C881" w14:textId="65DB5DAA" w:rsidR="00FC0347" w:rsidRDefault="00FC0347" w:rsidP="00FC0347">
      <w:pPr>
        <w:spacing w:line="276" w:lineRule="auto"/>
        <w:rPr>
          <w:lang w:val="en-GB"/>
        </w:rPr>
      </w:pPr>
    </w:p>
    <w:p w14:paraId="02B9C7F4" w14:textId="77777777" w:rsidR="000760D4" w:rsidRPr="00FC0347" w:rsidRDefault="000760D4" w:rsidP="00FC0347">
      <w:pPr>
        <w:spacing w:line="276" w:lineRule="auto"/>
        <w:rPr>
          <w:lang w:val="en-GB"/>
        </w:rPr>
      </w:pPr>
    </w:p>
    <w:p w14:paraId="7FEFED97" w14:textId="77777777" w:rsidR="00FC0347" w:rsidRDefault="00FC0347" w:rsidP="00FC0347">
      <w:pPr>
        <w:spacing w:line="276" w:lineRule="auto"/>
        <w:rPr>
          <w:b/>
          <w:bCs/>
          <w:lang w:val="en-GB"/>
        </w:rPr>
      </w:pPr>
      <w:r w:rsidRPr="00FC0347">
        <w:rPr>
          <w:b/>
          <w:bCs/>
          <w:lang w:val="en-GB"/>
        </w:rPr>
        <w:t>2. What is the Manila Declaration on World Tourism (1980)? Why is it considered a milestone in tourism policy?</w:t>
      </w:r>
    </w:p>
    <w:p w14:paraId="6839D63E" w14:textId="77777777" w:rsidR="00FC0347" w:rsidRPr="00FC0347" w:rsidRDefault="00FC0347" w:rsidP="00FC0347">
      <w:pPr>
        <w:spacing w:line="276" w:lineRule="auto"/>
        <w:rPr>
          <w:b/>
          <w:bCs/>
          <w:lang w:val="en-GB"/>
        </w:rPr>
      </w:pPr>
    </w:p>
    <w:p w14:paraId="1A0DE175" w14:textId="77777777" w:rsidR="000760D4" w:rsidRPr="000760D4" w:rsidRDefault="000760D4" w:rsidP="000760D4">
      <w:pPr>
        <w:spacing w:line="276" w:lineRule="auto"/>
        <w:rPr>
          <w:lang w:val="en-GB"/>
        </w:rPr>
      </w:pPr>
      <w:r w:rsidRPr="000760D4">
        <w:rPr>
          <w:lang w:val="en-GB"/>
        </w:rPr>
        <w:t>A major international policy document, the Manila Declaration on World Tourism (1980) was adopted at the World Tourism Conference in Manila, Philippines. The conference was held in the Philippines. In doing so, it presented a complete picture of tourism as an activity that encompasses not only economic rewards but also social, cultural, and ethical dimensions as well. In an effort to provide nations and international agencies with a framework for managing tourism in a responsible and equitable manner, the Declaration was drafted.</w:t>
      </w:r>
      <w:r w:rsidRPr="000760D4">
        <w:rPr>
          <w:lang w:val="en-GB"/>
        </w:rPr>
        <w:br/>
      </w:r>
      <w:r w:rsidRPr="000760D4">
        <w:rPr>
          <w:lang w:val="en-GB"/>
        </w:rPr>
        <w:br/>
        <w:t>The Declaration placed special emphasis on the contribution that tourism makes to economic growth, notably in terms of the creation of employment opportunities, the diversification of income, and the development of regional areas. During the same time, it emphasized the need of preserving cultural legacy, showing respect to the towns that are hosting the event, and protecting the natural environment. It was this well-rounded viewpoint that set the Declaration apart from past tourism programs, which were primarily concerned with expansion and revenue.</w:t>
      </w:r>
      <w:r w:rsidRPr="000760D4">
        <w:rPr>
          <w:lang w:val="en-GB"/>
        </w:rPr>
        <w:br/>
      </w:r>
      <w:r w:rsidRPr="000760D4">
        <w:rPr>
          <w:lang w:val="en-GB"/>
        </w:rPr>
        <w:br/>
        <w:t>As a result of the introduction of a human-</w:t>
      </w:r>
      <w:proofErr w:type="spellStart"/>
      <w:r w:rsidRPr="000760D4">
        <w:rPr>
          <w:lang w:val="en-GB"/>
        </w:rPr>
        <w:t>centered</w:t>
      </w:r>
      <w:proofErr w:type="spellEnd"/>
      <w:r w:rsidRPr="000760D4">
        <w:rPr>
          <w:lang w:val="en-GB"/>
        </w:rPr>
        <w:t xml:space="preserve"> and rights-based approach to tourism, the Manila Declaration is largely regarded as a significant milestone. In doing so, it elevated tourism to the status of a legitimate issue of public policy and social development. It did this </w:t>
      </w:r>
      <w:r w:rsidRPr="000760D4">
        <w:rPr>
          <w:lang w:val="en-GB"/>
        </w:rPr>
        <w:lastRenderedPageBreak/>
        <w:t>by clearly linking tourism to the right to leisure, rest, and freedom of movement.</w:t>
      </w:r>
      <w:r w:rsidRPr="000760D4">
        <w:rPr>
          <w:lang w:val="en-GB"/>
        </w:rPr>
        <w:br/>
      </w:r>
      <w:r w:rsidRPr="000760D4">
        <w:rPr>
          <w:lang w:val="en-GB"/>
        </w:rPr>
        <w:br/>
        <w:t>In addition to this, the Declaration predicted the concepts of environmentally responsible tourism development. Long before sustainability became a prominent topic of discussion on a worldwide scale, it issued a warning against the unchecked expansion of tourism enterprises and urged appropriate planning and management. In later years, these concepts had an impact on important international frameworks and ethical rules that govern tourism governance.</w:t>
      </w:r>
      <w:r w:rsidRPr="000760D4">
        <w:rPr>
          <w:lang w:val="en-GB"/>
        </w:rPr>
        <w:br/>
      </w:r>
      <w:r w:rsidRPr="000760D4">
        <w:rPr>
          <w:lang w:val="en-GB"/>
        </w:rPr>
        <w:br/>
        <w:t>Additionally, the Declaration emphasized the significance of working together across international borders. In recognition of the fact that tourism has the potential to lessen global inequities and to promote mutual understanding, it issued an appeal to rich nations and international organizations to provide support for the development of tourism in less developed countries.</w:t>
      </w:r>
      <w:r w:rsidRPr="000760D4">
        <w:rPr>
          <w:lang w:val="en-GB"/>
        </w:rPr>
        <w:br/>
      </w:r>
      <w:r w:rsidRPr="000760D4">
        <w:rPr>
          <w:lang w:val="en-GB"/>
        </w:rPr>
        <w:br/>
        <w:t>In conclusion, the Manila Declaration established the conceptual and ethical basis of contemporary tourist policy, and it continues to exert an influence on the governance of international tourism even after it was adopted some decades ago.</w:t>
      </w:r>
    </w:p>
    <w:p w14:paraId="34B941DF" w14:textId="77777777" w:rsidR="00FC0347" w:rsidRDefault="00FC0347" w:rsidP="00FC0347">
      <w:pPr>
        <w:spacing w:line="276" w:lineRule="auto"/>
        <w:rPr>
          <w:lang w:val="en-GB"/>
        </w:rPr>
      </w:pPr>
    </w:p>
    <w:p w14:paraId="533265EF" w14:textId="77777777" w:rsidR="000760D4" w:rsidRPr="00FC0347" w:rsidRDefault="000760D4" w:rsidP="00FC0347">
      <w:pPr>
        <w:spacing w:line="276" w:lineRule="auto"/>
        <w:rPr>
          <w:lang w:val="en-GB"/>
        </w:rPr>
      </w:pPr>
    </w:p>
    <w:p w14:paraId="2EDC905F" w14:textId="4220E1C7" w:rsidR="00FC0347" w:rsidRPr="00FC0347" w:rsidRDefault="00FC0347" w:rsidP="00FC0347">
      <w:pPr>
        <w:spacing w:line="276" w:lineRule="auto"/>
        <w:rPr>
          <w:b/>
          <w:bCs/>
          <w:lang w:val="en-GB"/>
        </w:rPr>
      </w:pPr>
      <w:r w:rsidRPr="00FC0347">
        <w:rPr>
          <w:b/>
          <w:bCs/>
          <w:lang w:val="en-GB"/>
        </w:rPr>
        <w:t xml:space="preserve">References </w:t>
      </w:r>
    </w:p>
    <w:p w14:paraId="7B4388DA" w14:textId="77777777" w:rsidR="00FC0347" w:rsidRPr="00FC0347" w:rsidRDefault="00FC0347" w:rsidP="00FC0347">
      <w:pPr>
        <w:spacing w:line="276" w:lineRule="auto"/>
        <w:rPr>
          <w:lang w:val="en-GB"/>
        </w:rPr>
      </w:pPr>
    </w:p>
    <w:p w14:paraId="5A24A899" w14:textId="77777777" w:rsidR="00FC0347" w:rsidRPr="00FC0347" w:rsidRDefault="00FC0347" w:rsidP="00FC0347">
      <w:pPr>
        <w:spacing w:line="276" w:lineRule="auto"/>
        <w:rPr>
          <w:lang w:val="en-GB"/>
        </w:rPr>
      </w:pPr>
    </w:p>
    <w:p w14:paraId="5E9B5112" w14:textId="77777777" w:rsidR="00FC0347" w:rsidRPr="00FC0347" w:rsidRDefault="00FC0347" w:rsidP="00FC0347">
      <w:pPr>
        <w:numPr>
          <w:ilvl w:val="0"/>
          <w:numId w:val="5"/>
        </w:numPr>
        <w:spacing w:line="276" w:lineRule="auto"/>
        <w:rPr>
          <w:lang w:val="en-GB"/>
        </w:rPr>
      </w:pPr>
      <w:r w:rsidRPr="00FC0347">
        <w:rPr>
          <w:lang w:val="en-GB"/>
        </w:rPr>
        <w:t xml:space="preserve">Fennell, D. A. (2020). </w:t>
      </w:r>
      <w:r w:rsidRPr="00FC0347">
        <w:rPr>
          <w:i/>
          <w:iCs/>
          <w:lang w:val="en-GB"/>
        </w:rPr>
        <w:t>Tourism ethics</w:t>
      </w:r>
      <w:r w:rsidRPr="00FC0347">
        <w:rPr>
          <w:lang w:val="en-GB"/>
        </w:rPr>
        <w:t xml:space="preserve"> (2nd ed.). Channel View Publications.</w:t>
      </w:r>
    </w:p>
    <w:p w14:paraId="07820119" w14:textId="77777777" w:rsidR="00FC0347" w:rsidRPr="00FC0347" w:rsidRDefault="00FC0347" w:rsidP="00FC0347">
      <w:pPr>
        <w:numPr>
          <w:ilvl w:val="0"/>
          <w:numId w:val="5"/>
        </w:numPr>
        <w:spacing w:line="276" w:lineRule="auto"/>
        <w:rPr>
          <w:lang w:val="en-GB"/>
        </w:rPr>
      </w:pPr>
      <w:proofErr w:type="spellStart"/>
      <w:r w:rsidRPr="00FC0347">
        <w:rPr>
          <w:lang w:val="en-GB"/>
        </w:rPr>
        <w:t>Gössling</w:t>
      </w:r>
      <w:proofErr w:type="spellEnd"/>
      <w:r w:rsidRPr="00FC0347">
        <w:rPr>
          <w:lang w:val="en-GB"/>
        </w:rPr>
        <w:t xml:space="preserve">, S., Hall, C. M., &amp; Weaver, D. (2009). Sustainable tourism futures. </w:t>
      </w:r>
      <w:r w:rsidRPr="00FC0347">
        <w:rPr>
          <w:i/>
          <w:iCs/>
          <w:lang w:val="en-GB"/>
        </w:rPr>
        <w:t>Journal of Sustainable Tourism, 17</w:t>
      </w:r>
      <w:r w:rsidRPr="00FC0347">
        <w:rPr>
          <w:lang w:val="en-GB"/>
        </w:rPr>
        <w:t>(5), 577–595. https://doi.org/10.1080/09669580903071949</w:t>
      </w:r>
    </w:p>
    <w:p w14:paraId="2170E297" w14:textId="77777777" w:rsidR="00FC0347" w:rsidRPr="00FC0347" w:rsidRDefault="00FC0347" w:rsidP="00FC0347">
      <w:pPr>
        <w:numPr>
          <w:ilvl w:val="0"/>
          <w:numId w:val="5"/>
        </w:numPr>
        <w:spacing w:line="276" w:lineRule="auto"/>
        <w:rPr>
          <w:lang w:val="en-GB"/>
        </w:rPr>
      </w:pPr>
      <w:r w:rsidRPr="00FC0347">
        <w:rPr>
          <w:lang w:val="en-GB"/>
        </w:rPr>
        <w:t xml:space="preserve">United Nations World Tourism Organization (UNWTO). (1980). </w:t>
      </w:r>
      <w:r w:rsidRPr="00FC0347">
        <w:rPr>
          <w:i/>
          <w:iCs/>
          <w:lang w:val="en-GB"/>
        </w:rPr>
        <w:t>Manila Declaration on World Tourism</w:t>
      </w:r>
      <w:r w:rsidRPr="00FC0347">
        <w:rPr>
          <w:lang w:val="en-GB"/>
        </w:rPr>
        <w:t>. Madrid: UNWTO.</w:t>
      </w:r>
    </w:p>
    <w:p w14:paraId="02B191C7" w14:textId="77777777" w:rsidR="00FC0347" w:rsidRPr="00FC0347" w:rsidRDefault="00FC0347" w:rsidP="00FC0347">
      <w:pPr>
        <w:numPr>
          <w:ilvl w:val="0"/>
          <w:numId w:val="5"/>
        </w:numPr>
        <w:spacing w:line="276" w:lineRule="auto"/>
        <w:rPr>
          <w:lang w:val="en-GB"/>
        </w:rPr>
      </w:pPr>
      <w:r w:rsidRPr="00FC0347">
        <w:rPr>
          <w:lang w:val="en-GB"/>
        </w:rPr>
        <w:t xml:space="preserve">United Nations World Tourism Organization (UNWTO). (2021). </w:t>
      </w:r>
      <w:r w:rsidRPr="00FC0347">
        <w:rPr>
          <w:i/>
          <w:iCs/>
          <w:lang w:val="en-GB"/>
        </w:rPr>
        <w:t>Tourism policy and governance</w:t>
      </w:r>
      <w:r w:rsidRPr="00FC0347">
        <w:rPr>
          <w:lang w:val="en-GB"/>
        </w:rPr>
        <w:t>. Madrid: UNWTO.</w:t>
      </w:r>
    </w:p>
    <w:p w14:paraId="5829232A" w14:textId="16964D82" w:rsidR="00C70025" w:rsidRPr="00FC0347" w:rsidRDefault="00C70025" w:rsidP="00FC0347">
      <w:pPr>
        <w:spacing w:line="276" w:lineRule="auto"/>
        <w:rPr>
          <w:lang w:val="en-US"/>
        </w:rPr>
      </w:pPr>
    </w:p>
    <w:sectPr w:rsidR="00C70025" w:rsidRPr="00FC03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DF9499B-E8CB-4563-B596-FED74D2C1798}"/>
    <w:embedBold r:id="rId2" w:fontKey="{7D9BCD6E-5849-45ED-80DB-7424C84EEFED}"/>
    <w:embedItalic r:id="rId3" w:fontKey="{2EAF715B-7F82-46FF-95CE-A9FDCE29B1F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69ABC8CE-DF20-40FF-A60B-F29182D37D75}"/>
  </w:font>
  <w:font w:name="Aptos Narrow">
    <w:charset w:val="00"/>
    <w:family w:val="swiss"/>
    <w:pitch w:val="variable"/>
    <w:sig w:usb0="20000287" w:usb1="00000003" w:usb2="00000000" w:usb3="00000000" w:csb0="0000019F" w:csb1="00000000"/>
    <w:embedRegular r:id="rId5" w:fontKey="{F2BC3C86-4947-41AC-9DA1-D7490C73F37D}"/>
  </w:font>
  <w:font w:name="Calibri Light">
    <w:panose1 w:val="020F0302020204030204"/>
    <w:charset w:val="00"/>
    <w:family w:val="swiss"/>
    <w:pitch w:val="variable"/>
    <w:sig w:usb0="E4002EFF" w:usb1="C000247B" w:usb2="00000009" w:usb3="00000000" w:csb0="000001FF" w:csb1="00000000"/>
    <w:embedRegular r:id="rId6" w:fontKey="{7839D59D-AD7A-48DC-81BE-9E2674FD1B5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14169"/>
    <w:multiLevelType w:val="multilevel"/>
    <w:tmpl w:val="56B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1C7C06"/>
    <w:multiLevelType w:val="hybridMultilevel"/>
    <w:tmpl w:val="70FE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101679"/>
    <w:multiLevelType w:val="multilevel"/>
    <w:tmpl w:val="8AB6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F769EF"/>
    <w:multiLevelType w:val="multilevel"/>
    <w:tmpl w:val="61A2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4"/>
  </w:num>
  <w:num w:numId="2" w16cid:durableId="1152258877">
    <w:abstractNumId w:val="0"/>
  </w:num>
  <w:num w:numId="3" w16cid:durableId="1034308017">
    <w:abstractNumId w:val="1"/>
  </w:num>
  <w:num w:numId="4" w16cid:durableId="588469606">
    <w:abstractNumId w:val="3"/>
  </w:num>
  <w:num w:numId="5" w16cid:durableId="6543809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760D4"/>
    <w:rsid w:val="001700EC"/>
    <w:rsid w:val="00174BB1"/>
    <w:rsid w:val="0019504D"/>
    <w:rsid w:val="00195C08"/>
    <w:rsid w:val="00224FD9"/>
    <w:rsid w:val="002565DA"/>
    <w:rsid w:val="00264E12"/>
    <w:rsid w:val="002F4AE0"/>
    <w:rsid w:val="00384E8A"/>
    <w:rsid w:val="003D1074"/>
    <w:rsid w:val="00426865"/>
    <w:rsid w:val="00477CAA"/>
    <w:rsid w:val="00481859"/>
    <w:rsid w:val="00502E29"/>
    <w:rsid w:val="00525072"/>
    <w:rsid w:val="005E458B"/>
    <w:rsid w:val="00655624"/>
    <w:rsid w:val="00661030"/>
    <w:rsid w:val="00686ACB"/>
    <w:rsid w:val="00687DF8"/>
    <w:rsid w:val="00716E23"/>
    <w:rsid w:val="007211E8"/>
    <w:rsid w:val="007B2D80"/>
    <w:rsid w:val="00844EC2"/>
    <w:rsid w:val="008516FE"/>
    <w:rsid w:val="00903466"/>
    <w:rsid w:val="00911541"/>
    <w:rsid w:val="0091369A"/>
    <w:rsid w:val="00924C4C"/>
    <w:rsid w:val="009C1D0A"/>
    <w:rsid w:val="00A044F7"/>
    <w:rsid w:val="00A22845"/>
    <w:rsid w:val="00A8150E"/>
    <w:rsid w:val="00AC2926"/>
    <w:rsid w:val="00B20343"/>
    <w:rsid w:val="00B85EA7"/>
    <w:rsid w:val="00BE65DD"/>
    <w:rsid w:val="00C21EBA"/>
    <w:rsid w:val="00C612A4"/>
    <w:rsid w:val="00C70025"/>
    <w:rsid w:val="00CC6AD1"/>
    <w:rsid w:val="00CD620A"/>
    <w:rsid w:val="00DA47A1"/>
    <w:rsid w:val="00E06B94"/>
    <w:rsid w:val="00E6778A"/>
    <w:rsid w:val="00EA737F"/>
    <w:rsid w:val="00F25F5B"/>
    <w:rsid w:val="00F74473"/>
    <w:rsid w:val="00F837B1"/>
    <w:rsid w:val="00FB3399"/>
    <w:rsid w:val="00FC034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 w:type="character" w:styleId="Hyperlink">
    <w:name w:val="Hyperlink"/>
    <w:basedOn w:val="DefaultParagraphFont"/>
    <w:uiPriority w:val="99"/>
    <w:unhideWhenUsed/>
    <w:rsid w:val="00195C08"/>
    <w:rPr>
      <w:color w:val="0563C1" w:themeColor="hyperlink"/>
      <w:u w:val="single"/>
    </w:rPr>
  </w:style>
  <w:style w:type="character" w:styleId="UnresolvedMention">
    <w:name w:val="Unresolved Mention"/>
    <w:basedOn w:val="DefaultParagraphFont"/>
    <w:uiPriority w:val="99"/>
    <w:semiHidden/>
    <w:unhideWhenUsed/>
    <w:rsid w:val="00195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984</Words>
  <Characters>5612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2026-01-20T13:23:00Z</dcterms:created>
  <dcterms:modified xsi:type="dcterms:W3CDTF">2026-01-20T13:23:00Z</dcterms:modified>
</cp:coreProperties>
</file>