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9EED9" w14:textId="77777777" w:rsidR="0019504D" w:rsidRPr="007211E8" w:rsidRDefault="0019504D" w:rsidP="0019504D">
      <w:pPr>
        <w:rPr>
          <w:lang w:val="en-US"/>
        </w:rPr>
      </w:pPr>
      <w:r w:rsidRPr="007211E8">
        <w:rPr>
          <w:noProof/>
          <w:lang w:val="en-US"/>
        </w:rPr>
        <w:drawing>
          <wp:anchor distT="0" distB="0" distL="114300" distR="114300" simplePos="0" relativeHeight="251658240" behindDoc="1" locked="0" layoutInCell="1" allowOverlap="1" wp14:anchorId="0C6AC241" wp14:editId="76AAFB92">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7FCDEB6" w14:textId="77777777" w:rsidR="00661030" w:rsidRPr="007211E8" w:rsidRDefault="00661030" w:rsidP="00661030">
      <w:pPr>
        <w:rPr>
          <w:lang w:val="en-US"/>
        </w:rPr>
      </w:pPr>
      <w:r w:rsidRPr="007211E8">
        <w:rPr>
          <w:lang w:val="en-US"/>
        </w:rPr>
        <w:t>Tourism</w:t>
      </w:r>
      <w:r w:rsidR="00C21EBA" w:rsidRPr="007211E8">
        <w:rPr>
          <w:lang w:val="en-US"/>
        </w:rPr>
        <w:t xml:space="preserve"> </w:t>
      </w:r>
      <w:r w:rsidR="00481859" w:rsidRPr="007211E8">
        <w:rPr>
          <w:lang w:val="en-US"/>
        </w:rPr>
        <w:t>Law and Legislation</w:t>
      </w:r>
    </w:p>
    <w:p w14:paraId="7AF8CAD3" w14:textId="77777777" w:rsidR="0019504D" w:rsidRPr="007211E8" w:rsidRDefault="0019504D" w:rsidP="0019504D">
      <w:pPr>
        <w:rPr>
          <w:lang w:val="en-US"/>
        </w:rPr>
      </w:pPr>
      <w:r w:rsidRPr="007211E8">
        <w:rPr>
          <w:lang w:val="en-US"/>
        </w:rPr>
        <w:t xml:space="preserve">Assignment </w:t>
      </w:r>
      <w:r w:rsidR="00716E23" w:rsidRPr="007211E8">
        <w:rPr>
          <w:lang w:val="en-US"/>
        </w:rPr>
        <w:t>2</w:t>
      </w:r>
    </w:p>
    <w:p w14:paraId="3589F145" w14:textId="77777777" w:rsidR="0019504D" w:rsidRPr="007211E8" w:rsidRDefault="00716E23" w:rsidP="0019504D">
      <w:pPr>
        <w:rPr>
          <w:lang w:val="en-US"/>
        </w:rPr>
      </w:pPr>
      <w:r w:rsidRPr="007211E8">
        <w:rPr>
          <w:lang w:val="en-US"/>
        </w:rPr>
        <w:t>14</w:t>
      </w:r>
      <w:r w:rsidR="0019504D" w:rsidRPr="007211E8">
        <w:rPr>
          <w:lang w:val="en-US"/>
        </w:rPr>
        <w:t>.0</w:t>
      </w:r>
      <w:r w:rsidR="00481859" w:rsidRPr="007211E8">
        <w:rPr>
          <w:lang w:val="en-US"/>
        </w:rPr>
        <w:t>1</w:t>
      </w:r>
      <w:r w:rsidR="0019504D" w:rsidRPr="007211E8">
        <w:rPr>
          <w:lang w:val="en-US"/>
        </w:rPr>
        <w:t>.2025</w:t>
      </w:r>
    </w:p>
    <w:p w14:paraId="07F9BE35" w14:textId="77777777" w:rsidR="0019504D" w:rsidRPr="007211E8" w:rsidRDefault="0019504D"/>
    <w:p w14:paraId="2A240E95" w14:textId="0DAFA454" w:rsidR="0019504D" w:rsidRPr="00911541" w:rsidRDefault="00911541">
      <w:pPr>
        <w:rPr>
          <w:b/>
          <w:bCs/>
        </w:rPr>
      </w:pPr>
      <w:r w:rsidRPr="00911541">
        <w:rPr>
          <w:rFonts w:ascii="Aptos Narrow" w:eastAsia="Times New Roman" w:hAnsi="Aptos Narrow" w:cs="Times New Roman"/>
          <w:b/>
          <w:bCs/>
          <w:color w:val="000000"/>
          <w:kern w:val="0"/>
          <w:sz w:val="22"/>
          <w:szCs w:val="22"/>
          <w:lang w:val="en-GB" w:eastAsia="en-GB" w:bidi="hi-IN"/>
          <w14:ligatures w14:val="none"/>
        </w:rPr>
        <w:t>Ramandeep</w:t>
      </w:r>
    </w:p>
    <w:p w14:paraId="44503069" w14:textId="77777777" w:rsidR="00CD620A" w:rsidRPr="007211E8" w:rsidRDefault="00CD620A"/>
    <w:p w14:paraId="535E1485" w14:textId="77777777" w:rsidR="00CD620A" w:rsidRPr="007211E8" w:rsidRDefault="00CD620A"/>
    <w:p w14:paraId="5B460D21" w14:textId="77777777" w:rsidR="00CD620A" w:rsidRPr="007211E8" w:rsidRDefault="00CD620A"/>
    <w:p w14:paraId="29728A86" w14:textId="77777777" w:rsidR="00CD620A" w:rsidRPr="007211E8" w:rsidRDefault="00CD620A"/>
    <w:p w14:paraId="2A3900DC" w14:textId="77777777" w:rsidR="00CD620A" w:rsidRPr="007211E8" w:rsidRDefault="00CD620A"/>
    <w:p w14:paraId="67E2CB04" w14:textId="77777777" w:rsidR="00EA737F" w:rsidRPr="007211E8" w:rsidRDefault="00EA737F"/>
    <w:p w14:paraId="02934328" w14:textId="77777777" w:rsidR="0019504D" w:rsidRPr="007211E8" w:rsidRDefault="0019504D"/>
    <w:p w14:paraId="6683FBD1" w14:textId="77777777" w:rsidR="0019504D" w:rsidRPr="007211E8" w:rsidRDefault="0019504D"/>
    <w:p w14:paraId="70607A29" w14:textId="77777777" w:rsidR="00EA737F" w:rsidRPr="007211E8" w:rsidRDefault="00CD620A" w:rsidP="00EA737F">
      <w:pPr>
        <w:spacing w:line="276" w:lineRule="auto"/>
        <w:rPr>
          <w:lang w:val="en-US"/>
        </w:rPr>
      </w:pPr>
      <w:r w:rsidRPr="007211E8">
        <w:rPr>
          <w:lang w:val="en-US"/>
        </w:rPr>
        <w:t>In no more than 500 words</w:t>
      </w:r>
      <w:r w:rsidR="00716E23" w:rsidRPr="007211E8">
        <w:rPr>
          <w:lang w:val="en-US"/>
        </w:rPr>
        <w:t>,</w:t>
      </w:r>
      <w:r w:rsidR="00481859" w:rsidRPr="007211E8">
        <w:rPr>
          <w:lang w:val="en-US"/>
        </w:rPr>
        <w:t xml:space="preserve"> each explain</w:t>
      </w:r>
      <w:r w:rsidR="00716E23" w:rsidRPr="007211E8">
        <w:rPr>
          <w:lang w:val="en-US"/>
        </w:rPr>
        <w:t xml:space="preserve"> and 2-4 references:</w:t>
      </w:r>
    </w:p>
    <w:p w14:paraId="403B63B1" w14:textId="77777777" w:rsidR="00EA737F" w:rsidRPr="007211E8" w:rsidRDefault="00EA737F" w:rsidP="00EA737F">
      <w:pPr>
        <w:spacing w:line="276" w:lineRule="auto"/>
        <w:rPr>
          <w:lang w:val="en-US"/>
        </w:rPr>
      </w:pPr>
    </w:p>
    <w:p w14:paraId="4AD3029C" w14:textId="77777777" w:rsidR="00195C08" w:rsidRDefault="00195C08" w:rsidP="00195C08">
      <w:pPr>
        <w:spacing w:line="276" w:lineRule="auto"/>
        <w:rPr>
          <w:b/>
          <w:bCs/>
          <w:lang w:val="en-GB"/>
        </w:rPr>
      </w:pPr>
      <w:r w:rsidRPr="00195C08">
        <w:rPr>
          <w:b/>
          <w:bCs/>
          <w:lang w:val="en-GB"/>
        </w:rPr>
        <w:t>1. What are subsidiary bodies in international tourism governance? Explain their general role within UNWTO.</w:t>
      </w:r>
    </w:p>
    <w:p w14:paraId="3573B14E" w14:textId="77777777" w:rsidR="00195C08" w:rsidRPr="00195C08" w:rsidRDefault="00195C08" w:rsidP="00195C08">
      <w:pPr>
        <w:spacing w:line="276" w:lineRule="auto"/>
        <w:rPr>
          <w:b/>
          <w:bCs/>
          <w:lang w:val="en-GB"/>
        </w:rPr>
      </w:pPr>
    </w:p>
    <w:p w14:paraId="111FBD10" w14:textId="77777777" w:rsidR="00AC2926" w:rsidRPr="00AC2926" w:rsidRDefault="00AC2926" w:rsidP="00AC2926">
      <w:pPr>
        <w:spacing w:line="276" w:lineRule="auto"/>
        <w:rPr>
          <w:lang w:val="en-GB"/>
        </w:rPr>
      </w:pPr>
      <w:proofErr w:type="gramStart"/>
      <w:r w:rsidRPr="00AC2926">
        <w:rPr>
          <w:lang w:val="en-GB"/>
        </w:rPr>
        <w:t>With regard to</w:t>
      </w:r>
      <w:proofErr w:type="gramEnd"/>
      <w:r w:rsidRPr="00AC2926">
        <w:rPr>
          <w:lang w:val="en-GB"/>
        </w:rPr>
        <w:t xml:space="preserve"> the governance of international tourism, subsidiary bodies are institutional structures that are established with the purpose of providing support, advice, and operationalization of the strategic objectives of global tourism organizations. The purpose of their existence is to manage the complexities of tourist governance, which encompasses economic development, environmental sustainability, cultural preservation, and international cooperation. The United Nations World Tourism Organization (UNWTO) is comprised of subsidiary groups that serve as the foundation for both functional and regional governance.</w:t>
      </w:r>
      <w:r w:rsidRPr="00AC2926">
        <w:rPr>
          <w:lang w:val="en-GB"/>
        </w:rPr>
        <w:br/>
      </w:r>
      <w:r w:rsidRPr="00AC2926">
        <w:rPr>
          <w:lang w:val="en-GB"/>
        </w:rPr>
        <w:br/>
        <w:t xml:space="preserve">Regional commissions, standing committees, working groups, and expert panels are all examples of these bodies; each of these bodies has a mandate that is made very apparent. </w:t>
      </w:r>
      <w:proofErr w:type="gramStart"/>
      <w:r w:rsidRPr="00AC2926">
        <w:rPr>
          <w:lang w:val="en-GB"/>
        </w:rPr>
        <w:t>In order to</w:t>
      </w:r>
      <w:proofErr w:type="gramEnd"/>
      <w:r w:rsidRPr="00AC2926">
        <w:rPr>
          <w:lang w:val="en-GB"/>
        </w:rPr>
        <w:t xml:space="preserve"> guarantee that tourist strategies are reflective of a variety of economic and cultural circumstances, regional commissions are responsible for representing several different geographical areas. For example, sustainable tourism, tourism statistics, ethics, education, and crisis resilience are some of the specific areas that thematic committees centre their attention on. Together, they make it possible for the United Nations World Tourism Organization (UNWTO) to handle difficulties that are associated with tourism on a worldwide scale in a manner that is both structured and systematic.</w:t>
      </w:r>
      <w:r w:rsidRPr="00AC2926">
        <w:rPr>
          <w:lang w:val="en-GB"/>
        </w:rPr>
        <w:br/>
      </w:r>
      <w:r w:rsidRPr="00AC2926">
        <w:rPr>
          <w:lang w:val="en-GB"/>
        </w:rPr>
        <w:br/>
        <w:t xml:space="preserve">Both the design of policies and the provision of technical guidance are among the primary responsibilities of subsidiary organizations. They are responsible for the collection of data, the commissioning of research, and the analysis of emerging trends that have an impact on global tourism. These trends include recovery from a crisis, climate change, and technology disruption. Their findings are used to influence policy suggestions that are presented to the </w:t>
      </w:r>
      <w:r w:rsidRPr="00AC2926">
        <w:rPr>
          <w:lang w:val="en-GB"/>
        </w:rPr>
        <w:lastRenderedPageBreak/>
        <w:t>Executive Council and the General Assembly. This helps to ensure that decisions are determined by evidence and are in line with strategic objectives.</w:t>
      </w:r>
      <w:r w:rsidRPr="00AC2926">
        <w:rPr>
          <w:lang w:val="en-GB"/>
        </w:rPr>
        <w:br/>
      </w:r>
      <w:r w:rsidRPr="00AC2926">
        <w:rPr>
          <w:lang w:val="en-GB"/>
        </w:rPr>
        <w:br/>
        <w:t xml:space="preserve">The function of representation and inclusion is also an extremely important one. Member states are given the opportunity to actively participate in governance beyond the scope of high-level assemblies through the establishment of subsidiary bodies. In addition to fostering openness, this participatory structure ensures that smaller or poorer countries </w:t>
      </w:r>
      <w:proofErr w:type="gramStart"/>
      <w:r w:rsidRPr="00AC2926">
        <w:rPr>
          <w:lang w:val="en-GB"/>
        </w:rPr>
        <w:t>have the ability to</w:t>
      </w:r>
      <w:proofErr w:type="gramEnd"/>
      <w:r w:rsidRPr="00AC2926">
        <w:rPr>
          <w:lang w:val="en-GB"/>
        </w:rPr>
        <w:t xml:space="preserve"> influence the agendas of international tourism organizations.</w:t>
      </w:r>
      <w:r w:rsidRPr="00AC2926">
        <w:rPr>
          <w:lang w:val="en-GB"/>
        </w:rPr>
        <w:br/>
      </w:r>
      <w:r w:rsidRPr="00AC2926">
        <w:rPr>
          <w:lang w:val="en-GB"/>
        </w:rPr>
        <w:br/>
        <w:t>The implementation and monitoring processes are also supported by subsidiary bodies. The member states receive assistance in the implementation of global tourism frameworks, they are encouraged to embrace best practices, and they review the progress that has been made toward ethical and sustainable standards. Increasing the ability of national tourist institutions is accomplished through the implementation of capacity-building initiatives, training programs, and technical assistance.</w:t>
      </w:r>
      <w:r w:rsidRPr="00AC2926">
        <w:rPr>
          <w:lang w:val="en-GB"/>
        </w:rPr>
        <w:br/>
      </w:r>
      <w:r w:rsidRPr="00AC2926">
        <w:rPr>
          <w:lang w:val="en-GB"/>
        </w:rPr>
        <w:br/>
        <w:t xml:space="preserve">The overall efficacy of the United Nations World </w:t>
      </w:r>
      <w:proofErr w:type="gramStart"/>
      <w:r w:rsidRPr="00AC2926">
        <w:rPr>
          <w:lang w:val="en-GB"/>
        </w:rPr>
        <w:t>tourist</w:t>
      </w:r>
      <w:proofErr w:type="gramEnd"/>
      <w:r w:rsidRPr="00AC2926">
        <w:rPr>
          <w:lang w:val="en-GB"/>
        </w:rPr>
        <w:t xml:space="preserve"> Organization (UNWTO) is improved by subsidiary entities because they bridge global policy with regional reality. This results in international tourist governance that is more responsive, inclusive, and operationally sound.</w:t>
      </w:r>
    </w:p>
    <w:p w14:paraId="2C292F70" w14:textId="430D9934" w:rsidR="00195C08" w:rsidRDefault="00195C08" w:rsidP="00195C08">
      <w:pPr>
        <w:spacing w:line="276" w:lineRule="auto"/>
        <w:rPr>
          <w:b/>
          <w:bCs/>
          <w:lang w:val="en-GB"/>
        </w:rPr>
      </w:pPr>
    </w:p>
    <w:p w14:paraId="0C2D2A3A" w14:textId="77777777" w:rsidR="00AC2926" w:rsidRDefault="00AC2926" w:rsidP="00195C08">
      <w:pPr>
        <w:spacing w:line="276" w:lineRule="auto"/>
        <w:rPr>
          <w:b/>
          <w:bCs/>
          <w:lang w:val="en-GB"/>
        </w:rPr>
      </w:pPr>
    </w:p>
    <w:p w14:paraId="42691F4B" w14:textId="77777777" w:rsidR="007B2D80" w:rsidRPr="00195C08" w:rsidRDefault="007B2D80" w:rsidP="00195C08">
      <w:pPr>
        <w:spacing w:line="276" w:lineRule="auto"/>
        <w:rPr>
          <w:b/>
          <w:bCs/>
          <w:lang w:val="en-GB"/>
        </w:rPr>
      </w:pPr>
    </w:p>
    <w:p w14:paraId="489D314A" w14:textId="3969D550" w:rsidR="00195C08" w:rsidRPr="00195C08" w:rsidRDefault="00195C08" w:rsidP="00195C08">
      <w:pPr>
        <w:spacing w:line="276" w:lineRule="auto"/>
        <w:rPr>
          <w:b/>
          <w:bCs/>
          <w:lang w:val="en-GB"/>
        </w:rPr>
      </w:pPr>
    </w:p>
    <w:p w14:paraId="5178B614" w14:textId="77777777" w:rsidR="00195C08" w:rsidRDefault="00195C08" w:rsidP="00195C08">
      <w:pPr>
        <w:spacing w:line="276" w:lineRule="auto"/>
        <w:rPr>
          <w:b/>
          <w:bCs/>
          <w:lang w:val="en-GB"/>
        </w:rPr>
      </w:pPr>
      <w:r w:rsidRPr="00195C08">
        <w:rPr>
          <w:b/>
          <w:bCs/>
          <w:lang w:val="en-GB"/>
        </w:rPr>
        <w:t>2. What is the Manila Declaration on World Tourism (1980)? Why is it considered a milestone in tourism policy?</w:t>
      </w:r>
    </w:p>
    <w:p w14:paraId="595D6433" w14:textId="77777777" w:rsidR="00195C08" w:rsidRPr="00195C08" w:rsidRDefault="00195C08" w:rsidP="00195C08">
      <w:pPr>
        <w:spacing w:line="276" w:lineRule="auto"/>
        <w:rPr>
          <w:b/>
          <w:bCs/>
          <w:lang w:val="en-GB"/>
        </w:rPr>
      </w:pPr>
    </w:p>
    <w:p w14:paraId="746B4843" w14:textId="77777777" w:rsidR="00AC2926" w:rsidRPr="00AC2926" w:rsidRDefault="00AC2926" w:rsidP="00AC2926">
      <w:pPr>
        <w:spacing w:line="276" w:lineRule="auto"/>
        <w:rPr>
          <w:lang w:val="en-GB"/>
        </w:rPr>
      </w:pPr>
      <w:r w:rsidRPr="00AC2926">
        <w:rPr>
          <w:lang w:val="en-GB"/>
        </w:rPr>
        <w:t>The Manila Declaration on World Tourism (1980) is a seminal international policy document adopted at the World Tourism Conference in Manila, Philippines. It articulated a comprehensive vision of tourism as an activity that extends beyond economic benefits to include social, cultural, and ethical dimensions. The Declaration sought to guide governments and international institutions in managing tourism responsibly and equitably.</w:t>
      </w:r>
    </w:p>
    <w:p w14:paraId="52C03A1C" w14:textId="77777777" w:rsidR="00AC2926" w:rsidRPr="00AC2926" w:rsidRDefault="00AC2926" w:rsidP="00AC2926">
      <w:pPr>
        <w:spacing w:line="276" w:lineRule="auto"/>
        <w:rPr>
          <w:lang w:val="en-GB"/>
        </w:rPr>
      </w:pPr>
      <w:r w:rsidRPr="00AC2926">
        <w:rPr>
          <w:lang w:val="en-GB"/>
        </w:rPr>
        <w:t>The Declaration emphasized tourism’s contribution to economic development, particularly through employment generation, income diversification, and regional development. At the same time, it stressed the need to safeguard cultural heritage, respect host communities, and protect the natural environment. This balanced perspective distinguished the Declaration from earlier tourism policies that focused primarily on growth and revenue.</w:t>
      </w:r>
    </w:p>
    <w:p w14:paraId="3382231B" w14:textId="77777777" w:rsidR="00AC2926" w:rsidRPr="00AC2926" w:rsidRDefault="00AC2926" w:rsidP="00AC2926">
      <w:pPr>
        <w:spacing w:line="276" w:lineRule="auto"/>
        <w:rPr>
          <w:lang w:val="en-GB"/>
        </w:rPr>
      </w:pPr>
      <w:r w:rsidRPr="00AC2926">
        <w:rPr>
          <w:lang w:val="en-GB"/>
        </w:rPr>
        <w:t xml:space="preserve">The Manila Declaration is widely considered a milestone because it introduced a </w:t>
      </w:r>
      <w:r w:rsidRPr="00AC2926">
        <w:rPr>
          <w:b/>
          <w:bCs/>
          <w:lang w:val="en-GB"/>
        </w:rPr>
        <w:t>human-</w:t>
      </w:r>
      <w:proofErr w:type="spellStart"/>
      <w:r w:rsidRPr="00AC2926">
        <w:rPr>
          <w:b/>
          <w:bCs/>
          <w:lang w:val="en-GB"/>
        </w:rPr>
        <w:t>centered</w:t>
      </w:r>
      <w:proofErr w:type="spellEnd"/>
      <w:r w:rsidRPr="00AC2926">
        <w:rPr>
          <w:b/>
          <w:bCs/>
          <w:lang w:val="en-GB"/>
        </w:rPr>
        <w:t xml:space="preserve"> and rights-based approach</w:t>
      </w:r>
      <w:r w:rsidRPr="00AC2926">
        <w:rPr>
          <w:lang w:val="en-GB"/>
        </w:rPr>
        <w:t xml:space="preserve"> to tourism. It explicitly linked tourism to the right to leisure, rest, and freedom of movement, thereby elevating tourism to a legitimate concern of public policy and social development.</w:t>
      </w:r>
    </w:p>
    <w:p w14:paraId="2289A1F8" w14:textId="77777777" w:rsidR="00AC2926" w:rsidRPr="00AC2926" w:rsidRDefault="00AC2926" w:rsidP="00AC2926">
      <w:pPr>
        <w:spacing w:line="276" w:lineRule="auto"/>
        <w:rPr>
          <w:lang w:val="en-GB"/>
        </w:rPr>
      </w:pPr>
      <w:r w:rsidRPr="00AC2926">
        <w:rPr>
          <w:lang w:val="en-GB"/>
        </w:rPr>
        <w:lastRenderedPageBreak/>
        <w:t xml:space="preserve">Furthermore, the Declaration anticipated the principles of </w:t>
      </w:r>
      <w:r w:rsidRPr="00AC2926">
        <w:rPr>
          <w:b/>
          <w:bCs/>
          <w:lang w:val="en-GB"/>
        </w:rPr>
        <w:t>sustainable tourism development</w:t>
      </w:r>
      <w:r w:rsidRPr="00AC2926">
        <w:rPr>
          <w:lang w:val="en-GB"/>
        </w:rPr>
        <w:t>. Long before sustainability became a dominant global agenda, it warned against uncontrolled tourism growth and called for responsible planning and management. These principles later influenced key international frameworks and ethical codes in tourism governance.</w:t>
      </w:r>
    </w:p>
    <w:p w14:paraId="151774CC" w14:textId="77777777" w:rsidR="00AC2926" w:rsidRPr="00AC2926" w:rsidRDefault="00AC2926" w:rsidP="00AC2926">
      <w:pPr>
        <w:spacing w:line="276" w:lineRule="auto"/>
        <w:rPr>
          <w:lang w:val="en-GB"/>
        </w:rPr>
      </w:pPr>
      <w:r w:rsidRPr="00AC2926">
        <w:rPr>
          <w:lang w:val="en-GB"/>
        </w:rPr>
        <w:t xml:space="preserve">The Declaration also highlighted the importance of </w:t>
      </w:r>
      <w:r w:rsidRPr="00AC2926">
        <w:rPr>
          <w:b/>
          <w:bCs/>
          <w:lang w:val="en-GB"/>
        </w:rPr>
        <w:t>international cooperation</w:t>
      </w:r>
      <w:r w:rsidRPr="00AC2926">
        <w:rPr>
          <w:lang w:val="en-GB"/>
        </w:rPr>
        <w:t>. It called on developed nations and international organizations to support tourism development in less-developed countries, recognizing tourism’s potential to reduce global inequalities and foster mutual understanding.</w:t>
      </w:r>
    </w:p>
    <w:p w14:paraId="3FE87772" w14:textId="77777777" w:rsidR="00AC2926" w:rsidRPr="00AC2926" w:rsidRDefault="00AC2926" w:rsidP="00AC2926">
      <w:pPr>
        <w:spacing w:line="276" w:lineRule="auto"/>
        <w:rPr>
          <w:lang w:val="en-GB"/>
        </w:rPr>
      </w:pPr>
      <w:r w:rsidRPr="00AC2926">
        <w:rPr>
          <w:lang w:val="en-GB"/>
        </w:rPr>
        <w:t>In summary, the Manila Declaration laid the conceptual and ethical foundations of modern tourism policy and continues to influence international tourism governance decades after its adoption.</w:t>
      </w:r>
    </w:p>
    <w:p w14:paraId="7D426B82" w14:textId="77777777" w:rsidR="007B2D80" w:rsidRDefault="007B2D80" w:rsidP="00195C08">
      <w:pPr>
        <w:spacing w:line="276" w:lineRule="auto"/>
        <w:rPr>
          <w:b/>
          <w:bCs/>
          <w:lang w:val="en-GB"/>
        </w:rPr>
      </w:pPr>
    </w:p>
    <w:p w14:paraId="7E56EAE1" w14:textId="77777777" w:rsidR="007B2D80" w:rsidRDefault="007B2D80" w:rsidP="00195C08">
      <w:pPr>
        <w:spacing w:line="276" w:lineRule="auto"/>
        <w:rPr>
          <w:b/>
          <w:bCs/>
          <w:lang w:val="en-GB"/>
        </w:rPr>
      </w:pPr>
    </w:p>
    <w:p w14:paraId="5F418E0D" w14:textId="77777777" w:rsidR="007B2D80" w:rsidRDefault="007B2D80" w:rsidP="00195C08">
      <w:pPr>
        <w:spacing w:line="276" w:lineRule="auto"/>
        <w:rPr>
          <w:b/>
          <w:bCs/>
          <w:lang w:val="en-GB"/>
        </w:rPr>
      </w:pPr>
    </w:p>
    <w:p w14:paraId="75A292AC" w14:textId="77777777" w:rsidR="00195C08" w:rsidRPr="00195C08" w:rsidRDefault="00195C08" w:rsidP="00195C08">
      <w:pPr>
        <w:spacing w:line="276" w:lineRule="auto"/>
        <w:rPr>
          <w:b/>
          <w:bCs/>
          <w:lang w:val="en-GB"/>
        </w:rPr>
      </w:pPr>
    </w:p>
    <w:p w14:paraId="4EEE3830" w14:textId="3330FDF9" w:rsidR="00195C08" w:rsidRDefault="00195C08" w:rsidP="00195C08">
      <w:pPr>
        <w:spacing w:line="276" w:lineRule="auto"/>
        <w:rPr>
          <w:b/>
          <w:bCs/>
          <w:lang w:val="en-GB"/>
        </w:rPr>
      </w:pPr>
      <w:r w:rsidRPr="00195C08">
        <w:rPr>
          <w:b/>
          <w:bCs/>
          <w:lang w:val="en-GB"/>
        </w:rPr>
        <w:t xml:space="preserve">References </w:t>
      </w:r>
    </w:p>
    <w:p w14:paraId="07C55C12" w14:textId="77777777" w:rsidR="00195C08" w:rsidRPr="00195C08" w:rsidRDefault="00195C08" w:rsidP="00195C08">
      <w:pPr>
        <w:spacing w:line="276" w:lineRule="auto"/>
        <w:rPr>
          <w:b/>
          <w:bCs/>
          <w:lang w:val="en-GB"/>
        </w:rPr>
      </w:pPr>
    </w:p>
    <w:p w14:paraId="289F1177" w14:textId="77777777" w:rsidR="00AC2926" w:rsidRPr="00AC2926" w:rsidRDefault="00AC2926" w:rsidP="00AC2926">
      <w:pPr>
        <w:numPr>
          <w:ilvl w:val="0"/>
          <w:numId w:val="4"/>
        </w:numPr>
        <w:spacing w:line="276" w:lineRule="auto"/>
        <w:rPr>
          <w:b/>
          <w:bCs/>
          <w:lang w:val="en-GB"/>
        </w:rPr>
      </w:pPr>
      <w:r w:rsidRPr="00AC2926">
        <w:rPr>
          <w:b/>
          <w:bCs/>
          <w:lang w:val="en-GB"/>
        </w:rPr>
        <w:t>Elliott, J. (1997). Tourism: Politics and public sector management. Routledge.</w:t>
      </w:r>
    </w:p>
    <w:p w14:paraId="796DB7A7" w14:textId="77777777" w:rsidR="00AC2926" w:rsidRPr="00AC2926" w:rsidRDefault="00AC2926" w:rsidP="00AC2926">
      <w:pPr>
        <w:spacing w:line="276" w:lineRule="auto"/>
        <w:ind w:left="720"/>
        <w:rPr>
          <w:b/>
          <w:bCs/>
          <w:lang w:val="en-GB"/>
        </w:rPr>
      </w:pPr>
    </w:p>
    <w:p w14:paraId="012B6F11" w14:textId="77777777" w:rsidR="00AC2926" w:rsidRPr="00AC2926" w:rsidRDefault="00AC2926" w:rsidP="00AC2926">
      <w:pPr>
        <w:numPr>
          <w:ilvl w:val="0"/>
          <w:numId w:val="4"/>
        </w:numPr>
        <w:spacing w:line="276" w:lineRule="auto"/>
        <w:rPr>
          <w:b/>
          <w:bCs/>
          <w:lang w:val="en-GB"/>
        </w:rPr>
      </w:pPr>
      <w:r w:rsidRPr="00AC2926">
        <w:rPr>
          <w:b/>
          <w:bCs/>
          <w:lang w:val="en-GB"/>
        </w:rPr>
        <w:t>Liu, Z. (2003). Sustainable tourism development: A critique. Journal of Sustainable Tourism, 11(6), 459–475. https://doi.org/10.1080/09669580308667216</w:t>
      </w:r>
    </w:p>
    <w:p w14:paraId="7A509A24" w14:textId="77777777" w:rsidR="00AC2926" w:rsidRPr="00AC2926" w:rsidRDefault="00AC2926" w:rsidP="00AC2926">
      <w:pPr>
        <w:spacing w:line="276" w:lineRule="auto"/>
        <w:ind w:left="720"/>
        <w:rPr>
          <w:b/>
          <w:bCs/>
          <w:lang w:val="en-GB"/>
        </w:rPr>
      </w:pPr>
    </w:p>
    <w:p w14:paraId="0136556A" w14:textId="77777777" w:rsidR="00AC2926" w:rsidRPr="00AC2926" w:rsidRDefault="00AC2926" w:rsidP="00AC2926">
      <w:pPr>
        <w:numPr>
          <w:ilvl w:val="0"/>
          <w:numId w:val="4"/>
        </w:numPr>
        <w:spacing w:line="276" w:lineRule="auto"/>
        <w:rPr>
          <w:b/>
          <w:bCs/>
          <w:lang w:val="en-GB"/>
        </w:rPr>
      </w:pPr>
      <w:r w:rsidRPr="00AC2926">
        <w:rPr>
          <w:b/>
          <w:bCs/>
          <w:lang w:val="en-GB"/>
        </w:rPr>
        <w:t>United Nations World Tourism Organization (UNWTO). (1980). Manila Declaration on World Tourism. Madrid: UNWTO.</w:t>
      </w:r>
    </w:p>
    <w:p w14:paraId="1C77659A" w14:textId="77777777" w:rsidR="00AC2926" w:rsidRPr="00AC2926" w:rsidRDefault="00AC2926" w:rsidP="00AC2926">
      <w:pPr>
        <w:spacing w:line="276" w:lineRule="auto"/>
        <w:ind w:left="720"/>
        <w:rPr>
          <w:b/>
          <w:bCs/>
          <w:lang w:val="en-GB"/>
        </w:rPr>
      </w:pPr>
    </w:p>
    <w:p w14:paraId="5829232A" w14:textId="2B81913A" w:rsidR="00C70025" w:rsidRPr="007211E8" w:rsidRDefault="00AC2926" w:rsidP="00AC2926">
      <w:pPr>
        <w:numPr>
          <w:ilvl w:val="0"/>
          <w:numId w:val="4"/>
        </w:numPr>
        <w:spacing w:line="276" w:lineRule="auto"/>
        <w:rPr>
          <w:lang w:val="en-US"/>
        </w:rPr>
      </w:pPr>
      <w:r w:rsidRPr="00AC2926">
        <w:rPr>
          <w:b/>
          <w:bCs/>
          <w:lang w:val="en-GB"/>
        </w:rPr>
        <w:t>United Nations World Tourism Organization (UNWTO). (2019). International tourism and sustainable development. Madrid: UNWTO.</w:t>
      </w:r>
    </w:p>
    <w:sectPr w:rsidR="00C70025" w:rsidRPr="007211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2AF22939-08E3-467A-8F57-A7BE3792C2DD}"/>
    <w:embedBold r:id="rId2" w:fontKey="{19C61B18-7B27-4E06-BAE7-D66967449899}"/>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B80E2106-D5EE-4C90-9147-60F890F51C75}"/>
  </w:font>
  <w:font w:name="Aptos Narrow">
    <w:charset w:val="00"/>
    <w:family w:val="swiss"/>
    <w:pitch w:val="variable"/>
    <w:sig w:usb0="20000287" w:usb1="00000003" w:usb2="00000000" w:usb3="00000000" w:csb0="0000019F" w:csb1="00000000"/>
    <w:embedBold r:id="rId4" w:fontKey="{9F75DB59-1230-4D4C-8102-1985046864EA}"/>
  </w:font>
  <w:font w:name="Calibri Light">
    <w:panose1 w:val="020F0302020204030204"/>
    <w:charset w:val="00"/>
    <w:family w:val="swiss"/>
    <w:pitch w:val="variable"/>
    <w:sig w:usb0="E4002EFF" w:usb1="C000247B" w:usb2="00000009" w:usb3="00000000" w:csb0="000001FF" w:csb1="00000000"/>
    <w:embedRegular r:id="rId5" w:fontKey="{F5E4CFF9-6867-4EEA-BE37-E6844569B1D6}"/>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414169"/>
    <w:multiLevelType w:val="multilevel"/>
    <w:tmpl w:val="56B4C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41C7C06"/>
    <w:multiLevelType w:val="hybridMultilevel"/>
    <w:tmpl w:val="70FE5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F769EF"/>
    <w:multiLevelType w:val="multilevel"/>
    <w:tmpl w:val="61A21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FA436BA"/>
    <w:multiLevelType w:val="multilevel"/>
    <w:tmpl w:val="91DE9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7253393">
    <w:abstractNumId w:val="3"/>
  </w:num>
  <w:num w:numId="2" w16cid:durableId="1152258877">
    <w:abstractNumId w:val="0"/>
  </w:num>
  <w:num w:numId="3" w16cid:durableId="1034308017">
    <w:abstractNumId w:val="1"/>
  </w:num>
  <w:num w:numId="4" w16cid:durableId="5884696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95C08"/>
    <w:rsid w:val="00224FD9"/>
    <w:rsid w:val="002565DA"/>
    <w:rsid w:val="002F4AE0"/>
    <w:rsid w:val="00384E8A"/>
    <w:rsid w:val="003D1074"/>
    <w:rsid w:val="00426865"/>
    <w:rsid w:val="00477CAA"/>
    <w:rsid w:val="00481859"/>
    <w:rsid w:val="00502E29"/>
    <w:rsid w:val="00525072"/>
    <w:rsid w:val="005E458B"/>
    <w:rsid w:val="00661030"/>
    <w:rsid w:val="00686ACB"/>
    <w:rsid w:val="00687DF8"/>
    <w:rsid w:val="00716E23"/>
    <w:rsid w:val="007211E8"/>
    <w:rsid w:val="007B2D80"/>
    <w:rsid w:val="00844EC2"/>
    <w:rsid w:val="008516FE"/>
    <w:rsid w:val="00903466"/>
    <w:rsid w:val="00911541"/>
    <w:rsid w:val="0091369A"/>
    <w:rsid w:val="00924C4C"/>
    <w:rsid w:val="009C1D0A"/>
    <w:rsid w:val="00A044F7"/>
    <w:rsid w:val="00A22845"/>
    <w:rsid w:val="00A8150E"/>
    <w:rsid w:val="00AC2926"/>
    <w:rsid w:val="00B20343"/>
    <w:rsid w:val="00B85EA7"/>
    <w:rsid w:val="00BE65DD"/>
    <w:rsid w:val="00C21EBA"/>
    <w:rsid w:val="00C612A4"/>
    <w:rsid w:val="00C70025"/>
    <w:rsid w:val="00CC6AD1"/>
    <w:rsid w:val="00CD620A"/>
    <w:rsid w:val="00DA47A1"/>
    <w:rsid w:val="00E06B94"/>
    <w:rsid w:val="00E6778A"/>
    <w:rsid w:val="00EA737F"/>
    <w:rsid w:val="00F25F5B"/>
    <w:rsid w:val="00F837B1"/>
    <w:rsid w:val="00FB3399"/>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A666F"/>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C70025"/>
    <w:rPr>
      <w:rFonts w:ascii="Times New Roman" w:hAnsi="Times New Roman" w:cs="Times New Roman"/>
    </w:rPr>
  </w:style>
  <w:style w:type="character" w:styleId="Hyperlink">
    <w:name w:val="Hyperlink"/>
    <w:basedOn w:val="DefaultParagraphFont"/>
    <w:uiPriority w:val="99"/>
    <w:unhideWhenUsed/>
    <w:rsid w:val="00195C08"/>
    <w:rPr>
      <w:color w:val="0563C1" w:themeColor="hyperlink"/>
      <w:u w:val="single"/>
    </w:rPr>
  </w:style>
  <w:style w:type="character" w:styleId="UnresolvedMention">
    <w:name w:val="Unresolved Mention"/>
    <w:basedOn w:val="DefaultParagraphFont"/>
    <w:uiPriority w:val="99"/>
    <w:semiHidden/>
    <w:unhideWhenUsed/>
    <w:rsid w:val="00195C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908</Words>
  <Characters>5177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2026-01-20T13:11:00Z</dcterms:created>
  <dcterms:modified xsi:type="dcterms:W3CDTF">2026-01-20T13:11:00Z</dcterms:modified>
</cp:coreProperties>
</file>