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AD0A7" w14:textId="77777777" w:rsidR="00D006CC" w:rsidRPr="00B73459" w:rsidRDefault="00D006CC" w:rsidP="00D006CC">
      <w:pPr>
        <w:spacing w:line="480" w:lineRule="auto"/>
        <w:jc w:val="center"/>
        <w:rPr>
          <w:rFonts w:ascii="Times New Roman" w:hAnsi="Times New Roman" w:cs="Times New Roman"/>
          <w:color w:val="000000" w:themeColor="text1"/>
          <w:szCs w:val="24"/>
        </w:rPr>
      </w:pPr>
    </w:p>
    <w:p w14:paraId="20439E97" w14:textId="77777777" w:rsidR="00D006CC" w:rsidRPr="00B73459" w:rsidRDefault="00D006CC" w:rsidP="00D006CC">
      <w:pPr>
        <w:spacing w:line="480" w:lineRule="auto"/>
        <w:jc w:val="center"/>
        <w:rPr>
          <w:rFonts w:ascii="Times New Roman" w:hAnsi="Times New Roman" w:cs="Times New Roman"/>
          <w:color w:val="000000" w:themeColor="text1"/>
          <w:szCs w:val="24"/>
        </w:rPr>
      </w:pPr>
      <w:r w:rsidRPr="00B73459">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3818D199" wp14:editId="2B2DB6AC">
            <wp:simplePos x="0" y="0"/>
            <wp:positionH relativeFrom="margin">
              <wp:posOffset>2505075</wp:posOffset>
            </wp:positionH>
            <wp:positionV relativeFrom="paragraph">
              <wp:posOffset>280670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5D27CD83" w14:textId="77777777" w:rsidR="00D006CC" w:rsidRPr="00B73459" w:rsidRDefault="00D006CC" w:rsidP="00D006CC">
      <w:pPr>
        <w:spacing w:line="480" w:lineRule="auto"/>
        <w:jc w:val="center"/>
        <w:rPr>
          <w:rFonts w:ascii="Times New Roman" w:hAnsi="Times New Roman" w:cs="Times New Roman"/>
          <w:color w:val="000000" w:themeColor="text1"/>
          <w:szCs w:val="24"/>
        </w:rPr>
      </w:pPr>
    </w:p>
    <w:p w14:paraId="5B03FF71" w14:textId="77777777" w:rsidR="00D006CC" w:rsidRPr="00B73459" w:rsidRDefault="00D006CC" w:rsidP="00D006CC">
      <w:pPr>
        <w:spacing w:line="480" w:lineRule="auto"/>
        <w:jc w:val="center"/>
        <w:rPr>
          <w:rFonts w:ascii="Times New Roman" w:hAnsi="Times New Roman" w:cs="Times New Roman"/>
          <w:b/>
          <w:bCs/>
          <w:color w:val="000000" w:themeColor="text1"/>
          <w:szCs w:val="24"/>
        </w:rPr>
      </w:pPr>
    </w:p>
    <w:p w14:paraId="436B7E9F" w14:textId="77777777" w:rsidR="00D006CC" w:rsidRPr="00B73459" w:rsidRDefault="00D006CC" w:rsidP="00D006CC">
      <w:pPr>
        <w:spacing w:line="480" w:lineRule="auto"/>
        <w:jc w:val="center"/>
        <w:rPr>
          <w:rFonts w:ascii="Times New Roman" w:hAnsi="Times New Roman" w:cs="Times New Roman"/>
          <w:b/>
          <w:bCs/>
          <w:color w:val="000000" w:themeColor="text1"/>
          <w:szCs w:val="24"/>
        </w:rPr>
      </w:pPr>
      <w:r w:rsidRPr="00B73459">
        <w:rPr>
          <w:rFonts w:ascii="Times New Roman" w:hAnsi="Times New Roman" w:cs="Times New Roman"/>
          <w:b/>
          <w:bCs/>
          <w:color w:val="000000" w:themeColor="text1"/>
          <w:szCs w:val="24"/>
        </w:rPr>
        <w:t>Masters in Tourism and Recreation</w:t>
      </w:r>
    </w:p>
    <w:p w14:paraId="0DE57B2C" w14:textId="77777777" w:rsidR="00D006CC" w:rsidRPr="00B73459" w:rsidRDefault="00D006CC" w:rsidP="00D006CC">
      <w:pPr>
        <w:spacing w:line="480" w:lineRule="auto"/>
        <w:jc w:val="center"/>
        <w:rPr>
          <w:rFonts w:ascii="Times New Roman" w:hAnsi="Times New Roman" w:cs="Times New Roman"/>
          <w:b/>
          <w:bCs/>
          <w:color w:val="000000" w:themeColor="text1"/>
          <w:szCs w:val="24"/>
        </w:rPr>
      </w:pPr>
      <w:proofErr w:type="spellStart"/>
      <w:r w:rsidRPr="00B73459">
        <w:rPr>
          <w:rFonts w:ascii="Times New Roman" w:hAnsi="Times New Roman" w:cs="Times New Roman"/>
          <w:b/>
          <w:bCs/>
          <w:color w:val="000000" w:themeColor="text1"/>
          <w:szCs w:val="24"/>
        </w:rPr>
        <w:t>Opera&amp;ons</w:t>
      </w:r>
      <w:proofErr w:type="spellEnd"/>
      <w:r w:rsidRPr="00B73459">
        <w:rPr>
          <w:rFonts w:ascii="Times New Roman" w:hAnsi="Times New Roman" w:cs="Times New Roman"/>
          <w:b/>
          <w:bCs/>
          <w:color w:val="000000" w:themeColor="text1"/>
          <w:szCs w:val="24"/>
        </w:rPr>
        <w:t xml:space="preserve"> Management in Hospitality </w:t>
      </w:r>
    </w:p>
    <w:p w14:paraId="37B2FF8E" w14:textId="77777777" w:rsidR="00D006CC" w:rsidRPr="00B73459" w:rsidRDefault="00D006CC" w:rsidP="00D006CC">
      <w:pPr>
        <w:spacing w:line="480" w:lineRule="auto"/>
        <w:jc w:val="center"/>
        <w:rPr>
          <w:rFonts w:ascii="Times New Roman" w:hAnsi="Times New Roman" w:cs="Times New Roman"/>
          <w:b/>
          <w:bCs/>
          <w:color w:val="000000" w:themeColor="text1"/>
          <w:szCs w:val="24"/>
        </w:rPr>
      </w:pPr>
      <w:r w:rsidRPr="00B73459">
        <w:rPr>
          <w:rFonts w:ascii="Times New Roman" w:hAnsi="Times New Roman" w:cs="Times New Roman"/>
          <w:b/>
          <w:bCs/>
          <w:color w:val="000000" w:themeColor="text1"/>
          <w:szCs w:val="24"/>
        </w:rPr>
        <w:t xml:space="preserve">Assignment 12 </w:t>
      </w:r>
    </w:p>
    <w:p w14:paraId="6902C9BE" w14:textId="77777777" w:rsidR="00D006CC" w:rsidRPr="00B73459" w:rsidRDefault="00D006CC" w:rsidP="00D006CC">
      <w:pPr>
        <w:spacing w:line="480" w:lineRule="auto"/>
        <w:jc w:val="center"/>
        <w:rPr>
          <w:rFonts w:ascii="Times New Roman" w:hAnsi="Times New Roman" w:cs="Times New Roman"/>
          <w:b/>
          <w:bCs/>
          <w:color w:val="000000" w:themeColor="text1"/>
          <w:szCs w:val="24"/>
        </w:rPr>
      </w:pPr>
      <w:r w:rsidRPr="00B73459">
        <w:rPr>
          <w:rFonts w:ascii="Times New Roman" w:hAnsi="Times New Roman" w:cs="Times New Roman"/>
          <w:b/>
          <w:bCs/>
          <w:color w:val="000000" w:themeColor="text1"/>
          <w:szCs w:val="24"/>
        </w:rPr>
        <w:t>04.02.2026</w:t>
      </w:r>
    </w:p>
    <w:p w14:paraId="2B027217" w14:textId="77777777" w:rsidR="00D006CC" w:rsidRPr="00B73459" w:rsidRDefault="00D006CC" w:rsidP="00D006CC">
      <w:pPr>
        <w:rPr>
          <w:rFonts w:ascii="Times New Roman" w:hAnsi="Times New Roman" w:cs="Times New Roman"/>
        </w:rPr>
      </w:pPr>
    </w:p>
    <w:p w14:paraId="17DF9DB2" w14:textId="77777777" w:rsidR="00D006CC" w:rsidRPr="00B73459" w:rsidRDefault="00D006CC" w:rsidP="00D006CC">
      <w:pPr>
        <w:rPr>
          <w:rFonts w:ascii="Times New Roman" w:hAnsi="Times New Roman" w:cs="Times New Roman"/>
        </w:rPr>
      </w:pPr>
    </w:p>
    <w:p w14:paraId="78B1781F" w14:textId="77777777" w:rsidR="00D006CC" w:rsidRPr="00B73459" w:rsidRDefault="00D006CC" w:rsidP="00D006CC">
      <w:pPr>
        <w:rPr>
          <w:rFonts w:ascii="Times New Roman" w:hAnsi="Times New Roman" w:cs="Times New Roman"/>
        </w:rPr>
      </w:pPr>
    </w:p>
    <w:p w14:paraId="4B5A41E2" w14:textId="77777777" w:rsidR="00D006CC" w:rsidRPr="00B73459" w:rsidRDefault="00D006CC" w:rsidP="00D006CC">
      <w:pPr>
        <w:rPr>
          <w:rFonts w:ascii="Times New Roman" w:hAnsi="Times New Roman" w:cs="Times New Roman"/>
        </w:rPr>
      </w:pPr>
    </w:p>
    <w:p w14:paraId="609E686C" w14:textId="77777777" w:rsidR="00D006CC" w:rsidRPr="00B73459" w:rsidRDefault="00D006CC" w:rsidP="00D006CC">
      <w:pPr>
        <w:rPr>
          <w:rFonts w:ascii="Times New Roman" w:hAnsi="Times New Roman" w:cs="Times New Roman"/>
        </w:rPr>
      </w:pPr>
    </w:p>
    <w:p w14:paraId="685527BC" w14:textId="77777777" w:rsidR="00D006CC" w:rsidRPr="00B73459" w:rsidRDefault="00D006CC">
      <w:pPr>
        <w:rPr>
          <w:rFonts w:ascii="Times New Roman" w:hAnsi="Times New Roman" w:cs="Times New Roman"/>
        </w:rPr>
      </w:pPr>
    </w:p>
    <w:p w14:paraId="3E13305A" w14:textId="77777777" w:rsidR="00B73459" w:rsidRPr="00B73459" w:rsidRDefault="00B73459">
      <w:pPr>
        <w:rPr>
          <w:rFonts w:ascii="Times New Roman" w:hAnsi="Times New Roman" w:cs="Times New Roman"/>
        </w:rPr>
      </w:pPr>
    </w:p>
    <w:p w14:paraId="14A3BFAF" w14:textId="77777777" w:rsidR="00B73459" w:rsidRPr="00B73459" w:rsidRDefault="00B73459">
      <w:pPr>
        <w:rPr>
          <w:rFonts w:ascii="Times New Roman" w:hAnsi="Times New Roman" w:cs="Times New Roman"/>
        </w:rPr>
      </w:pPr>
    </w:p>
    <w:p w14:paraId="5C13FBF1" w14:textId="77777777" w:rsidR="00B73459" w:rsidRPr="00B73459" w:rsidRDefault="00B73459">
      <w:pPr>
        <w:rPr>
          <w:rFonts w:ascii="Times New Roman" w:hAnsi="Times New Roman" w:cs="Times New Roman"/>
        </w:rPr>
      </w:pPr>
    </w:p>
    <w:p w14:paraId="14771A82" w14:textId="77777777" w:rsidR="00B73459" w:rsidRPr="00B73459" w:rsidRDefault="00B73459">
      <w:pPr>
        <w:rPr>
          <w:rFonts w:ascii="Times New Roman" w:hAnsi="Times New Roman" w:cs="Times New Roman"/>
        </w:rPr>
      </w:pPr>
    </w:p>
    <w:p w14:paraId="23564012" w14:textId="77777777" w:rsidR="00B73459" w:rsidRPr="00B73459" w:rsidRDefault="00B73459">
      <w:pPr>
        <w:rPr>
          <w:rFonts w:ascii="Times New Roman" w:hAnsi="Times New Roman" w:cs="Times New Roman"/>
        </w:rPr>
      </w:pPr>
    </w:p>
    <w:p w14:paraId="69AFA059" w14:textId="77777777" w:rsidR="00B73459" w:rsidRPr="00B73459" w:rsidRDefault="00B73459">
      <w:pPr>
        <w:rPr>
          <w:rFonts w:ascii="Times New Roman" w:hAnsi="Times New Roman" w:cs="Times New Roman"/>
        </w:rPr>
      </w:pPr>
    </w:p>
    <w:p w14:paraId="5F8122B1" w14:textId="77777777" w:rsidR="00B73459" w:rsidRPr="00B73459" w:rsidRDefault="00B73459">
      <w:pPr>
        <w:rPr>
          <w:rFonts w:ascii="Times New Roman" w:hAnsi="Times New Roman" w:cs="Times New Roman"/>
        </w:rPr>
      </w:pPr>
    </w:p>
    <w:p w14:paraId="030952A4" w14:textId="77777777" w:rsidR="00B73459" w:rsidRPr="00B73459" w:rsidRDefault="00B73459">
      <w:pPr>
        <w:rPr>
          <w:rFonts w:ascii="Times New Roman" w:hAnsi="Times New Roman" w:cs="Times New Roman"/>
        </w:rPr>
      </w:pPr>
    </w:p>
    <w:p w14:paraId="6FD170D9" w14:textId="77777777" w:rsidR="00B73459" w:rsidRPr="00B73459" w:rsidRDefault="00B73459">
      <w:pPr>
        <w:rPr>
          <w:rFonts w:ascii="Times New Roman" w:hAnsi="Times New Roman" w:cs="Times New Roman"/>
        </w:rPr>
      </w:pPr>
    </w:p>
    <w:p w14:paraId="6C6758CC" w14:textId="77777777" w:rsidR="00B73459" w:rsidRPr="00B73459" w:rsidRDefault="00B73459" w:rsidP="00B73459">
      <w:pPr>
        <w:rPr>
          <w:rFonts w:ascii="Times New Roman" w:hAnsi="Times New Roman" w:cs="Times New Roman"/>
        </w:rPr>
      </w:pPr>
      <w:r w:rsidRPr="00B73459">
        <w:rPr>
          <w:rFonts w:ascii="Times New Roman" w:hAnsi="Times New Roman" w:cs="Times New Roman"/>
        </w:rPr>
        <w:lastRenderedPageBreak/>
        <w:t>The role of non-pricing revenue management tools in enabling hotels to maximize revenue without altering room rates.</w:t>
      </w:r>
    </w:p>
    <w:p w14:paraId="53C67BB4" w14:textId="77777777" w:rsidR="00B73459" w:rsidRPr="00B73459" w:rsidRDefault="00B73459" w:rsidP="00B73459">
      <w:pPr>
        <w:rPr>
          <w:rFonts w:ascii="Times New Roman" w:hAnsi="Times New Roman" w:cs="Times New Roman"/>
        </w:rPr>
      </w:pPr>
    </w:p>
    <w:p w14:paraId="00848109" w14:textId="77777777" w:rsidR="00B73459" w:rsidRPr="00B73459" w:rsidRDefault="00B73459" w:rsidP="00B73459">
      <w:pPr>
        <w:rPr>
          <w:rFonts w:ascii="Times New Roman" w:hAnsi="Times New Roman" w:cs="Times New Roman"/>
        </w:rPr>
      </w:pPr>
      <w:r w:rsidRPr="00B73459">
        <w:rPr>
          <w:rFonts w:ascii="Times New Roman" w:hAnsi="Times New Roman" w:cs="Times New Roman"/>
        </w:rPr>
        <w:t>Hotels can optimise demand, capacity use, customer behaviour, and ancillary expenditure using non-pricing revenue management tools to increase overall revenue without changing room prices. They are also used to target when, who, and how rooms and services are sold rather than to change the price itself, which is especially convenient in relatively competitive or rate-sensitive markets.</w:t>
      </w:r>
    </w:p>
    <w:p w14:paraId="7656E52C" w14:textId="77777777" w:rsidR="00B73459" w:rsidRPr="00B73459" w:rsidRDefault="00B73459" w:rsidP="00B73459">
      <w:pPr>
        <w:rPr>
          <w:rFonts w:ascii="Times New Roman" w:hAnsi="Times New Roman" w:cs="Times New Roman"/>
        </w:rPr>
      </w:pPr>
    </w:p>
    <w:p w14:paraId="7EA2BDF2" w14:textId="77777777" w:rsidR="00B73459" w:rsidRPr="00B73459" w:rsidRDefault="00B73459" w:rsidP="00B73459">
      <w:pPr>
        <w:rPr>
          <w:rFonts w:ascii="Times New Roman" w:hAnsi="Times New Roman" w:cs="Times New Roman"/>
        </w:rPr>
      </w:pPr>
      <w:r w:rsidRPr="00B73459">
        <w:rPr>
          <w:rFonts w:ascii="Times New Roman" w:hAnsi="Times New Roman" w:cs="Times New Roman"/>
        </w:rPr>
        <w:t>Length-of-stay (LOS) control is one of the most effective non-pricing remedies. Hotels can minimize short, low-value stays and focus on booking that maximizes total revenue per available room (</w:t>
      </w:r>
      <w:proofErr w:type="spellStart"/>
      <w:r w:rsidRPr="00B73459">
        <w:rPr>
          <w:rFonts w:ascii="Times New Roman" w:hAnsi="Times New Roman" w:cs="Times New Roman"/>
        </w:rPr>
        <w:t>TRevPAR</w:t>
      </w:r>
      <w:proofErr w:type="spellEnd"/>
      <w:r w:rsidRPr="00B73459">
        <w:rPr>
          <w:rFonts w:ascii="Times New Roman" w:hAnsi="Times New Roman" w:cs="Times New Roman"/>
        </w:rPr>
        <w:t xml:space="preserve">) through set minimum or maximum stay requirements during high-demand periods. The LOS controls facilitate a </w:t>
      </w:r>
      <w:proofErr w:type="spellStart"/>
      <w:r w:rsidRPr="00B73459">
        <w:rPr>
          <w:rFonts w:ascii="Times New Roman" w:hAnsi="Times New Roman" w:cs="Times New Roman"/>
        </w:rPr>
        <w:t>leveling</w:t>
      </w:r>
      <w:proofErr w:type="spellEnd"/>
      <w:r w:rsidRPr="00B73459">
        <w:rPr>
          <w:rFonts w:ascii="Times New Roman" w:hAnsi="Times New Roman" w:cs="Times New Roman"/>
        </w:rPr>
        <w:t xml:space="preserve"> of demand during peak and shoulder seasons and minimize operational inefficiencies like high room turnover (Talluri and Van Ryzin, 2004).</w:t>
      </w:r>
    </w:p>
    <w:p w14:paraId="445DE71F" w14:textId="77777777" w:rsidR="00B73459" w:rsidRPr="00B73459" w:rsidRDefault="00B73459" w:rsidP="00B73459">
      <w:pPr>
        <w:rPr>
          <w:rFonts w:ascii="Times New Roman" w:hAnsi="Times New Roman" w:cs="Times New Roman"/>
        </w:rPr>
      </w:pPr>
    </w:p>
    <w:p w14:paraId="617873FD" w14:textId="77777777" w:rsidR="00B73459" w:rsidRPr="00B73459" w:rsidRDefault="00B73459" w:rsidP="00B73459">
      <w:pPr>
        <w:rPr>
          <w:rFonts w:ascii="Times New Roman" w:hAnsi="Times New Roman" w:cs="Times New Roman"/>
        </w:rPr>
      </w:pPr>
      <w:r w:rsidRPr="00B73459">
        <w:rPr>
          <w:rFonts w:ascii="Times New Roman" w:hAnsi="Times New Roman" w:cs="Times New Roman"/>
        </w:rPr>
        <w:t xml:space="preserve">Inventory management and room type optimisation are also essential. Hotels position small room inventory across segments (business, leisure, group, OTA, or direct bookings) </w:t>
      </w:r>
      <w:proofErr w:type="spellStart"/>
      <w:r w:rsidRPr="00B73459">
        <w:rPr>
          <w:rFonts w:ascii="Times New Roman" w:hAnsi="Times New Roman" w:cs="Times New Roman"/>
        </w:rPr>
        <w:t>preemptively</w:t>
      </w:r>
      <w:proofErr w:type="spellEnd"/>
      <w:r w:rsidRPr="00B73459">
        <w:rPr>
          <w:rFonts w:ascii="Times New Roman" w:hAnsi="Times New Roman" w:cs="Times New Roman"/>
        </w:rPr>
        <w:t xml:space="preserve"> on projected profitability, not price, alone. An example of this is the shutdown of low-value distribution channels during peak demand to create space at higher-yield customer so that the quality of revenue is improved without rate adjustments (Kimes, 2011).</w:t>
      </w:r>
    </w:p>
    <w:p w14:paraId="6506A80B" w14:textId="77777777" w:rsidR="00B73459" w:rsidRPr="00B73459" w:rsidRDefault="00B73459" w:rsidP="00B73459">
      <w:pPr>
        <w:rPr>
          <w:rFonts w:ascii="Times New Roman" w:hAnsi="Times New Roman" w:cs="Times New Roman"/>
        </w:rPr>
      </w:pPr>
    </w:p>
    <w:p w14:paraId="4B69A6DB" w14:textId="77777777" w:rsidR="00B73459" w:rsidRPr="00B73459" w:rsidRDefault="00B73459" w:rsidP="00B73459">
      <w:pPr>
        <w:rPr>
          <w:rFonts w:ascii="Times New Roman" w:hAnsi="Times New Roman" w:cs="Times New Roman"/>
        </w:rPr>
      </w:pPr>
      <w:r w:rsidRPr="00B73459">
        <w:rPr>
          <w:rFonts w:ascii="Times New Roman" w:hAnsi="Times New Roman" w:cs="Times New Roman"/>
        </w:rPr>
        <w:t>Overbooking management is another important non-pricing tool. Due to the nature of cancellations and no-shows in hospitality, controlled overbooking enables hotels to maintain a higher occupancy rate with the risk of displacing guests being mitigated. When used with historical data and forecasting models, overbooking can substantially boost realised revenue without any impact on published prices (Ivanov, 2007).</w:t>
      </w:r>
    </w:p>
    <w:p w14:paraId="2F32F8E0" w14:textId="77777777" w:rsidR="00B73459" w:rsidRPr="00B73459" w:rsidRDefault="00B73459" w:rsidP="00B73459">
      <w:pPr>
        <w:rPr>
          <w:rFonts w:ascii="Times New Roman" w:hAnsi="Times New Roman" w:cs="Times New Roman"/>
        </w:rPr>
      </w:pPr>
    </w:p>
    <w:p w14:paraId="518270A2" w14:textId="77777777" w:rsidR="00B73459" w:rsidRPr="00B73459" w:rsidRDefault="00B73459" w:rsidP="00B73459">
      <w:pPr>
        <w:rPr>
          <w:rFonts w:ascii="Times New Roman" w:hAnsi="Times New Roman" w:cs="Times New Roman"/>
        </w:rPr>
      </w:pPr>
      <w:r w:rsidRPr="00B73459">
        <w:rPr>
          <w:rFonts w:ascii="Times New Roman" w:hAnsi="Times New Roman" w:cs="Times New Roman"/>
        </w:rPr>
        <w:t xml:space="preserve">Ancillary revenue optimisation through upgrades, food and beverage, spa services, parking, and late check-outs are another </w:t>
      </w:r>
      <w:proofErr w:type="gramStart"/>
      <w:r w:rsidRPr="00B73459">
        <w:rPr>
          <w:rFonts w:ascii="Times New Roman" w:hAnsi="Times New Roman" w:cs="Times New Roman"/>
        </w:rPr>
        <w:t>ways</w:t>
      </w:r>
      <w:proofErr w:type="gramEnd"/>
      <w:r w:rsidRPr="00B73459">
        <w:rPr>
          <w:rFonts w:ascii="Times New Roman" w:hAnsi="Times New Roman" w:cs="Times New Roman"/>
        </w:rPr>
        <w:t xml:space="preserve"> that hotels maximise revenue. Specific upselling and cross-selling, particularly by digital pre-arrival marketing and front-desk approaches, can significantly boost the overall amount spent by guests without changing room rates (Noone and McGuire, 2013).</w:t>
      </w:r>
    </w:p>
    <w:p w14:paraId="1427C6BA" w14:textId="77777777" w:rsidR="00B73459" w:rsidRPr="00B73459" w:rsidRDefault="00B73459" w:rsidP="00B73459">
      <w:pPr>
        <w:rPr>
          <w:rFonts w:ascii="Times New Roman" w:hAnsi="Times New Roman" w:cs="Times New Roman"/>
        </w:rPr>
      </w:pPr>
    </w:p>
    <w:p w14:paraId="54FF992C" w14:textId="77777777" w:rsidR="00B73459" w:rsidRPr="00B73459" w:rsidRDefault="00B73459" w:rsidP="00B73459">
      <w:pPr>
        <w:rPr>
          <w:rFonts w:ascii="Times New Roman" w:hAnsi="Times New Roman" w:cs="Times New Roman"/>
        </w:rPr>
      </w:pPr>
      <w:r w:rsidRPr="00B73459">
        <w:rPr>
          <w:rFonts w:ascii="Times New Roman" w:hAnsi="Times New Roman" w:cs="Times New Roman"/>
        </w:rPr>
        <w:lastRenderedPageBreak/>
        <w:t>Lastly, customer segmentation and demand forecasting are foundational. Hotels can use booking patterns, lead times, and customer behaviour analysis to personalize availability rules, marketing offers, and service bundles to certain segments. This increases the efficiency of demand capture and the overall performance of revenue independent of price adjustments (Cross, Higbie, and Cross, 2009).</w:t>
      </w:r>
    </w:p>
    <w:p w14:paraId="6CA41163" w14:textId="77777777" w:rsidR="00B73459" w:rsidRPr="00B73459" w:rsidRDefault="00B73459" w:rsidP="00B73459">
      <w:pPr>
        <w:rPr>
          <w:rFonts w:ascii="Times New Roman" w:hAnsi="Times New Roman" w:cs="Times New Roman"/>
        </w:rPr>
      </w:pPr>
    </w:p>
    <w:p w14:paraId="342C31FC" w14:textId="6D3BEC16" w:rsidR="00B73459" w:rsidRPr="00B73459" w:rsidRDefault="00B73459" w:rsidP="00B73459">
      <w:pPr>
        <w:rPr>
          <w:rFonts w:ascii="Times New Roman" w:hAnsi="Times New Roman" w:cs="Times New Roman"/>
        </w:rPr>
      </w:pPr>
      <w:r w:rsidRPr="00B73459">
        <w:rPr>
          <w:rFonts w:ascii="Times New Roman" w:hAnsi="Times New Roman" w:cs="Times New Roman"/>
        </w:rPr>
        <w:t xml:space="preserve">In conclusion, non-pricing revenue management instruments enable hotels to maximise revenue through capacity utilisation, demand timing, customer mix, and ancillary expenditure. When competition, brand positioning, or customer sensitivity limits price growth, these strategies prove particularly </w:t>
      </w:r>
      <w:proofErr w:type="gramStart"/>
      <w:r w:rsidRPr="00B73459">
        <w:rPr>
          <w:rFonts w:ascii="Times New Roman" w:hAnsi="Times New Roman" w:cs="Times New Roman"/>
        </w:rPr>
        <w:t>useful, and</w:t>
      </w:r>
      <w:proofErr w:type="gramEnd"/>
      <w:r w:rsidRPr="00B73459">
        <w:rPr>
          <w:rFonts w:ascii="Times New Roman" w:hAnsi="Times New Roman" w:cs="Times New Roman"/>
        </w:rPr>
        <w:t xml:space="preserve"> are a critical part of contemporary hotel revenue management.</w:t>
      </w:r>
    </w:p>
    <w:p w14:paraId="6FAA4241" w14:textId="3B65E9A6" w:rsidR="00B73459" w:rsidRPr="00B73459" w:rsidRDefault="00B73459" w:rsidP="00B73459">
      <w:pPr>
        <w:rPr>
          <w:rFonts w:ascii="Times New Roman" w:hAnsi="Times New Roman" w:cs="Times New Roman"/>
          <w:b/>
          <w:bCs/>
        </w:rPr>
      </w:pPr>
      <w:r w:rsidRPr="00B73459">
        <w:rPr>
          <w:rFonts w:ascii="Times New Roman" w:hAnsi="Times New Roman" w:cs="Times New Roman"/>
          <w:b/>
          <w:bCs/>
        </w:rPr>
        <w:t>References</w:t>
      </w:r>
    </w:p>
    <w:p w14:paraId="5E27C598" w14:textId="77777777" w:rsidR="00B73459" w:rsidRPr="00B73459" w:rsidRDefault="00B73459" w:rsidP="00B73459">
      <w:pPr>
        <w:rPr>
          <w:rFonts w:ascii="Times New Roman" w:hAnsi="Times New Roman" w:cs="Times New Roman"/>
        </w:rPr>
      </w:pPr>
      <w:r w:rsidRPr="00B73459">
        <w:rPr>
          <w:rFonts w:ascii="Times New Roman" w:hAnsi="Times New Roman" w:cs="Times New Roman"/>
        </w:rPr>
        <w:t xml:space="preserve">Cross, R. G., Higbie, J. A., &amp; Cross, Z. N. (2009). Revenue management’s renaissance: A rebirth of the art and science of profitable revenue generation. </w:t>
      </w:r>
      <w:r w:rsidRPr="00B73459">
        <w:rPr>
          <w:rFonts w:ascii="Times New Roman" w:hAnsi="Times New Roman" w:cs="Times New Roman"/>
          <w:i/>
          <w:iCs/>
        </w:rPr>
        <w:t>Cornell Hospitality Quarterly, 50</w:t>
      </w:r>
      <w:r w:rsidRPr="00B73459">
        <w:rPr>
          <w:rFonts w:ascii="Times New Roman" w:hAnsi="Times New Roman" w:cs="Times New Roman"/>
        </w:rPr>
        <w:t xml:space="preserve">(1), 56–81. </w:t>
      </w:r>
      <w:hyperlink r:id="rId5" w:tgtFrame="_new" w:history="1">
        <w:r w:rsidRPr="00B73459">
          <w:rPr>
            <w:rStyle w:val="Hyperlink"/>
            <w:rFonts w:ascii="Times New Roman" w:hAnsi="Times New Roman" w:cs="Times New Roman"/>
          </w:rPr>
          <w:t>https://doi.org/10.1177/1938965508328716</w:t>
        </w:r>
      </w:hyperlink>
    </w:p>
    <w:p w14:paraId="36D44C6F" w14:textId="77777777" w:rsidR="00B73459" w:rsidRPr="00B73459" w:rsidRDefault="00B73459" w:rsidP="00B73459">
      <w:pPr>
        <w:rPr>
          <w:rFonts w:ascii="Times New Roman" w:hAnsi="Times New Roman" w:cs="Times New Roman"/>
        </w:rPr>
      </w:pPr>
      <w:r w:rsidRPr="00B73459">
        <w:rPr>
          <w:rFonts w:ascii="Times New Roman" w:hAnsi="Times New Roman" w:cs="Times New Roman"/>
        </w:rPr>
        <w:t xml:space="preserve">Ivanov, S. (2007). Optimal overbooking policies for accommodation establishments. </w:t>
      </w:r>
      <w:r w:rsidRPr="00B73459">
        <w:rPr>
          <w:rFonts w:ascii="Times New Roman" w:hAnsi="Times New Roman" w:cs="Times New Roman"/>
          <w:i/>
          <w:iCs/>
        </w:rPr>
        <w:t>Tourism Economics, 13</w:t>
      </w:r>
      <w:r w:rsidRPr="00B73459">
        <w:rPr>
          <w:rFonts w:ascii="Times New Roman" w:hAnsi="Times New Roman" w:cs="Times New Roman"/>
        </w:rPr>
        <w:t>(1), 67–88. https://doi.org/10.5367/000000007779784498</w:t>
      </w:r>
    </w:p>
    <w:p w14:paraId="09850D9A" w14:textId="77777777" w:rsidR="00B73459" w:rsidRPr="00B73459" w:rsidRDefault="00B73459" w:rsidP="00B73459">
      <w:pPr>
        <w:rPr>
          <w:rFonts w:ascii="Times New Roman" w:hAnsi="Times New Roman" w:cs="Times New Roman"/>
        </w:rPr>
      </w:pPr>
      <w:r w:rsidRPr="00B73459">
        <w:rPr>
          <w:rFonts w:ascii="Times New Roman" w:hAnsi="Times New Roman" w:cs="Times New Roman"/>
        </w:rPr>
        <w:t xml:space="preserve">Kimes, S. E. (2011). The future of hotel revenue management. </w:t>
      </w:r>
      <w:r w:rsidRPr="00B73459">
        <w:rPr>
          <w:rFonts w:ascii="Times New Roman" w:hAnsi="Times New Roman" w:cs="Times New Roman"/>
          <w:i/>
          <w:iCs/>
        </w:rPr>
        <w:t>Journal of Revenue and Pricing Management, 10</w:t>
      </w:r>
      <w:r w:rsidRPr="00B73459">
        <w:rPr>
          <w:rFonts w:ascii="Times New Roman" w:hAnsi="Times New Roman" w:cs="Times New Roman"/>
        </w:rPr>
        <w:t>(1), 62–72. https://doi.org/10.1057/rpm.2010.47</w:t>
      </w:r>
    </w:p>
    <w:p w14:paraId="5067872A" w14:textId="77777777" w:rsidR="00B73459" w:rsidRPr="00B73459" w:rsidRDefault="00B73459" w:rsidP="00B73459">
      <w:pPr>
        <w:rPr>
          <w:rFonts w:ascii="Times New Roman" w:hAnsi="Times New Roman" w:cs="Times New Roman"/>
        </w:rPr>
      </w:pPr>
      <w:r w:rsidRPr="00B73459">
        <w:rPr>
          <w:rFonts w:ascii="Times New Roman" w:hAnsi="Times New Roman" w:cs="Times New Roman"/>
        </w:rPr>
        <w:t xml:space="preserve">Noone, B. M., &amp; McGuire, K. A. (2013). Pricing in hotel revenue management: A behavioural perspective. </w:t>
      </w:r>
      <w:r w:rsidRPr="00B73459">
        <w:rPr>
          <w:rFonts w:ascii="Times New Roman" w:hAnsi="Times New Roman" w:cs="Times New Roman"/>
          <w:i/>
          <w:iCs/>
        </w:rPr>
        <w:t>International Journal of Hospitality Management, 34</w:t>
      </w:r>
      <w:r w:rsidRPr="00B73459">
        <w:rPr>
          <w:rFonts w:ascii="Times New Roman" w:hAnsi="Times New Roman" w:cs="Times New Roman"/>
        </w:rPr>
        <w:t xml:space="preserve">, 387–397. </w:t>
      </w:r>
      <w:hyperlink r:id="rId6" w:tgtFrame="_new" w:history="1">
        <w:r w:rsidRPr="00B73459">
          <w:rPr>
            <w:rStyle w:val="Hyperlink"/>
            <w:rFonts w:ascii="Times New Roman" w:hAnsi="Times New Roman" w:cs="Times New Roman"/>
          </w:rPr>
          <w:t>https://doi.org/10.1016/j.ijhm.2012.11.008</w:t>
        </w:r>
      </w:hyperlink>
    </w:p>
    <w:p w14:paraId="2EB93545" w14:textId="77777777" w:rsidR="00B73459" w:rsidRPr="00B73459" w:rsidRDefault="00B73459" w:rsidP="00B73459">
      <w:pPr>
        <w:rPr>
          <w:rFonts w:ascii="Times New Roman" w:hAnsi="Times New Roman" w:cs="Times New Roman"/>
        </w:rPr>
      </w:pPr>
      <w:r w:rsidRPr="00B73459">
        <w:rPr>
          <w:rFonts w:ascii="Times New Roman" w:hAnsi="Times New Roman" w:cs="Times New Roman"/>
        </w:rPr>
        <w:t xml:space="preserve">Talluri, K. T., &amp; Van Ryzin, G. J. (2004). The theory and practice of revenue management. </w:t>
      </w:r>
      <w:r w:rsidRPr="00B73459">
        <w:rPr>
          <w:rFonts w:ascii="Times New Roman" w:hAnsi="Times New Roman" w:cs="Times New Roman"/>
          <w:i/>
          <w:iCs/>
        </w:rPr>
        <w:t>Manufacturing &amp; Service Operations Management, 6</w:t>
      </w:r>
      <w:r w:rsidRPr="00B73459">
        <w:rPr>
          <w:rFonts w:ascii="Times New Roman" w:hAnsi="Times New Roman" w:cs="Times New Roman"/>
        </w:rPr>
        <w:t>(3), 262–264. https://doi.org/10.1287/msom.1040.0056</w:t>
      </w:r>
    </w:p>
    <w:p w14:paraId="6E88CE65" w14:textId="77777777" w:rsidR="00B73459" w:rsidRPr="00B73459" w:rsidRDefault="00B73459" w:rsidP="00B73459">
      <w:pPr>
        <w:rPr>
          <w:rFonts w:ascii="Times New Roman" w:hAnsi="Times New Roman" w:cs="Times New Roman"/>
        </w:rPr>
      </w:pPr>
    </w:p>
    <w:sectPr w:rsidR="00B73459" w:rsidRPr="00B7345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6CC"/>
    <w:rsid w:val="00343C21"/>
    <w:rsid w:val="00B73459"/>
    <w:rsid w:val="00CB2166"/>
    <w:rsid w:val="00D006C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03C67"/>
  <w15:chartTrackingRefBased/>
  <w15:docId w15:val="{D86DDE3D-4E7E-41F8-BA08-E822E30D3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6CC"/>
  </w:style>
  <w:style w:type="paragraph" w:styleId="Heading1">
    <w:name w:val="heading 1"/>
    <w:basedOn w:val="Normal"/>
    <w:next w:val="Normal"/>
    <w:link w:val="Heading1Char"/>
    <w:uiPriority w:val="9"/>
    <w:qFormat/>
    <w:rsid w:val="00D006CC"/>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D006CC"/>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006CC"/>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006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06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06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06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06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06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6CC"/>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D006CC"/>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006CC"/>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006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06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06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06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06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06CC"/>
    <w:rPr>
      <w:rFonts w:eastAsiaTheme="majorEastAsia" w:cstheme="majorBidi"/>
      <w:color w:val="272727" w:themeColor="text1" w:themeTint="D8"/>
    </w:rPr>
  </w:style>
  <w:style w:type="paragraph" w:styleId="Title">
    <w:name w:val="Title"/>
    <w:basedOn w:val="Normal"/>
    <w:next w:val="Normal"/>
    <w:link w:val="TitleChar"/>
    <w:uiPriority w:val="10"/>
    <w:qFormat/>
    <w:rsid w:val="00D006CC"/>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006CC"/>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006CC"/>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006CC"/>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006CC"/>
    <w:pPr>
      <w:spacing w:before="160"/>
      <w:jc w:val="center"/>
    </w:pPr>
    <w:rPr>
      <w:i/>
      <w:iCs/>
      <w:color w:val="404040" w:themeColor="text1" w:themeTint="BF"/>
    </w:rPr>
  </w:style>
  <w:style w:type="character" w:customStyle="1" w:styleId="QuoteChar">
    <w:name w:val="Quote Char"/>
    <w:basedOn w:val="DefaultParagraphFont"/>
    <w:link w:val="Quote"/>
    <w:uiPriority w:val="29"/>
    <w:rsid w:val="00D006CC"/>
    <w:rPr>
      <w:i/>
      <w:iCs/>
      <w:color w:val="404040" w:themeColor="text1" w:themeTint="BF"/>
    </w:rPr>
  </w:style>
  <w:style w:type="paragraph" w:styleId="ListParagraph">
    <w:name w:val="List Paragraph"/>
    <w:basedOn w:val="Normal"/>
    <w:uiPriority w:val="34"/>
    <w:qFormat/>
    <w:rsid w:val="00D006CC"/>
    <w:pPr>
      <w:ind w:left="720"/>
      <w:contextualSpacing/>
    </w:pPr>
  </w:style>
  <w:style w:type="character" w:styleId="IntenseEmphasis">
    <w:name w:val="Intense Emphasis"/>
    <w:basedOn w:val="DefaultParagraphFont"/>
    <w:uiPriority w:val="21"/>
    <w:qFormat/>
    <w:rsid w:val="00D006CC"/>
    <w:rPr>
      <w:i/>
      <w:iCs/>
      <w:color w:val="0F4761" w:themeColor="accent1" w:themeShade="BF"/>
    </w:rPr>
  </w:style>
  <w:style w:type="paragraph" w:styleId="IntenseQuote">
    <w:name w:val="Intense Quote"/>
    <w:basedOn w:val="Normal"/>
    <w:next w:val="Normal"/>
    <w:link w:val="IntenseQuoteChar"/>
    <w:uiPriority w:val="30"/>
    <w:qFormat/>
    <w:rsid w:val="00D006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06CC"/>
    <w:rPr>
      <w:i/>
      <w:iCs/>
      <w:color w:val="0F4761" w:themeColor="accent1" w:themeShade="BF"/>
    </w:rPr>
  </w:style>
  <w:style w:type="character" w:styleId="IntenseReference">
    <w:name w:val="Intense Reference"/>
    <w:basedOn w:val="DefaultParagraphFont"/>
    <w:uiPriority w:val="32"/>
    <w:qFormat/>
    <w:rsid w:val="00D006CC"/>
    <w:rPr>
      <w:b/>
      <w:bCs/>
      <w:smallCaps/>
      <w:color w:val="0F4761" w:themeColor="accent1" w:themeShade="BF"/>
      <w:spacing w:val="5"/>
    </w:rPr>
  </w:style>
  <w:style w:type="character" w:styleId="Hyperlink">
    <w:name w:val="Hyperlink"/>
    <w:basedOn w:val="DefaultParagraphFont"/>
    <w:uiPriority w:val="99"/>
    <w:unhideWhenUsed/>
    <w:rsid w:val="00B73459"/>
    <w:rPr>
      <w:color w:val="467886" w:themeColor="hyperlink"/>
      <w:u w:val="single"/>
    </w:rPr>
  </w:style>
  <w:style w:type="character" w:styleId="UnresolvedMention">
    <w:name w:val="Unresolved Mention"/>
    <w:basedOn w:val="DefaultParagraphFont"/>
    <w:uiPriority w:val="99"/>
    <w:semiHidden/>
    <w:unhideWhenUsed/>
    <w:rsid w:val="00B734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ijhm.2012.11.008" TargetMode="External"/><Relationship Id="rId5" Type="http://schemas.openxmlformats.org/officeDocument/2006/relationships/hyperlink" Target="https://doi.org/10.1177/1938965508328716"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625</Words>
  <Characters>3566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2026-02-08T10:20:00Z</dcterms:created>
  <dcterms:modified xsi:type="dcterms:W3CDTF">2026-02-08T10:26:00Z</dcterms:modified>
</cp:coreProperties>
</file>