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26592" w:rsidRDefault="00D26592" w:rsidP="00D26592">
      <w:pPr>
        <w:jc w:val="center"/>
        <w:rPr>
          <w:b/>
          <w:bCs/>
          <w:sz w:val="48"/>
          <w:szCs w:val="48"/>
        </w:rPr>
      </w:pPr>
      <w:r>
        <w:rPr>
          <w:b/>
          <w:noProof/>
          <w:sz w:val="48"/>
          <w:szCs w:val="48"/>
        </w:rPr>
        <w:drawing>
          <wp:inline distT="0" distB="0" distL="0" distR="0">
            <wp:extent cx="5474970" cy="1715770"/>
            <wp:effectExtent l="0" t="0" r="0" b="0"/>
            <wp:docPr id="1"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5"/>
                    <a:srcRect/>
                    <a:stretch>
                      <a:fillRect/>
                    </a:stretch>
                  </pic:blipFill>
                  <pic:spPr bwMode="auto">
                    <a:xfrm>
                      <a:off x="0" y="0"/>
                      <a:ext cx="5474970" cy="1715770"/>
                    </a:xfrm>
                    <a:prstGeom prst="rect">
                      <a:avLst/>
                    </a:prstGeom>
                    <a:noFill/>
                    <a:ln w="9525">
                      <a:noFill/>
                      <a:miter lim="800000"/>
                      <a:headEnd/>
                      <a:tailEnd/>
                    </a:ln>
                  </pic:spPr>
                </pic:pic>
              </a:graphicData>
            </a:graphic>
          </wp:inline>
        </w:drawing>
      </w:r>
    </w:p>
    <w:p w:rsidR="003A3B46" w:rsidRDefault="00D26592" w:rsidP="003A3B46">
      <w:pPr>
        <w:jc w:val="center"/>
        <w:rPr>
          <w:sz w:val="44"/>
          <w:szCs w:val="44"/>
          <w:lang w:val="nl-NL"/>
        </w:rPr>
      </w:pPr>
      <w:r>
        <w:rPr>
          <w:b/>
          <w:bCs/>
          <w:sz w:val="48"/>
          <w:szCs w:val="48"/>
        </w:rPr>
        <w:t xml:space="preserve">Title: </w:t>
      </w:r>
      <w:r w:rsidR="0078039E" w:rsidRPr="0078039E">
        <w:rPr>
          <w:b/>
          <w:bCs/>
          <w:sz w:val="48"/>
          <w:szCs w:val="48"/>
        </w:rPr>
        <w:t xml:space="preserve">Reinventing Agra: A TALC-Based Strategy for Sustainable Heritage Tourism Beyond the </w:t>
      </w:r>
      <w:proofErr w:type="spellStart"/>
      <w:r w:rsidR="0078039E" w:rsidRPr="0078039E">
        <w:rPr>
          <w:b/>
          <w:bCs/>
          <w:sz w:val="48"/>
          <w:szCs w:val="48"/>
        </w:rPr>
        <w:t>Taj</w:t>
      </w:r>
      <w:proofErr w:type="spellEnd"/>
      <w:r w:rsidR="0078039E" w:rsidRPr="0078039E">
        <w:rPr>
          <w:b/>
          <w:bCs/>
          <w:sz w:val="48"/>
          <w:szCs w:val="48"/>
        </w:rPr>
        <w:t xml:space="preserve"> </w:t>
      </w:r>
      <w:proofErr w:type="spellStart"/>
      <w:r w:rsidR="0078039E" w:rsidRPr="0078039E">
        <w:rPr>
          <w:b/>
          <w:bCs/>
          <w:sz w:val="48"/>
          <w:szCs w:val="48"/>
        </w:rPr>
        <w:t>Mahal</w:t>
      </w:r>
      <w:proofErr w:type="spellEnd"/>
      <w:r>
        <w:rPr>
          <w:b/>
          <w:sz w:val="40"/>
          <w:szCs w:val="40"/>
        </w:rPr>
        <w:br/>
      </w:r>
      <w:r>
        <w:rPr>
          <w:sz w:val="40"/>
          <w:szCs w:val="40"/>
        </w:rPr>
        <w:br/>
      </w:r>
      <w:r w:rsidR="003A3B46">
        <w:rPr>
          <w:sz w:val="44"/>
          <w:szCs w:val="44"/>
          <w:lang w:val="nl-NL"/>
        </w:rPr>
        <w:t>Student Name: Champion</w:t>
      </w:r>
    </w:p>
    <w:p w:rsidR="00D26592" w:rsidRDefault="003A3B46" w:rsidP="003A3B46">
      <w:pPr>
        <w:jc w:val="center"/>
        <w:rPr>
          <w:sz w:val="44"/>
          <w:szCs w:val="44"/>
        </w:rPr>
      </w:pPr>
      <w:r>
        <w:rPr>
          <w:sz w:val="44"/>
          <w:szCs w:val="44"/>
          <w:lang w:val="nl-NL"/>
        </w:rPr>
        <w:t>Submission Id: DE240077</w:t>
      </w:r>
      <w:r>
        <w:rPr>
          <w:sz w:val="44"/>
          <w:szCs w:val="44"/>
        </w:rPr>
        <w:br/>
      </w:r>
    </w:p>
    <w:p w:rsidR="00D26592" w:rsidRDefault="00D26592" w:rsidP="00D26592">
      <w:pPr>
        <w:jc w:val="center"/>
        <w:rPr>
          <w:sz w:val="44"/>
          <w:szCs w:val="44"/>
        </w:rPr>
      </w:pPr>
      <w:r>
        <w:rPr>
          <w:sz w:val="44"/>
          <w:szCs w:val="44"/>
        </w:rPr>
        <w:t>Submission date: 25.06.2025</w:t>
      </w:r>
    </w:p>
    <w:p w:rsidR="00672EA7" w:rsidRDefault="00672EA7" w:rsidP="00D26592"/>
    <w:p w:rsidR="00C448D7" w:rsidRDefault="00C448D7" w:rsidP="00D26592"/>
    <w:p w:rsidR="00C448D7" w:rsidRDefault="00C448D7" w:rsidP="00D26592"/>
    <w:p w:rsidR="00C448D7" w:rsidRDefault="00C448D7" w:rsidP="00D26592"/>
    <w:p w:rsidR="00C448D7" w:rsidRDefault="00C448D7" w:rsidP="00D26592"/>
    <w:p w:rsidR="00C448D7" w:rsidRDefault="00C448D7" w:rsidP="00D26592"/>
    <w:p w:rsidR="00B74537" w:rsidRDefault="00B74537" w:rsidP="00D26592"/>
    <w:p w:rsidR="0081643C" w:rsidRDefault="0081643C" w:rsidP="00D26592"/>
    <w:p w:rsidR="0081643C" w:rsidRDefault="0081643C" w:rsidP="0081643C">
      <w:pPr>
        <w:pStyle w:val="Heading1"/>
      </w:pPr>
      <w:r>
        <w:rPr>
          <w:rStyle w:val="Strong"/>
          <w:b/>
          <w:bCs/>
        </w:rPr>
        <w:lastRenderedPageBreak/>
        <w:t>Table of Contents</w:t>
      </w:r>
    </w:p>
    <w:p w:rsidR="0081643C" w:rsidRDefault="0081643C" w:rsidP="0081643C">
      <w:pPr>
        <w:pStyle w:val="NormalWeb"/>
        <w:numPr>
          <w:ilvl w:val="0"/>
          <w:numId w:val="19"/>
        </w:numPr>
      </w:pPr>
      <w:r>
        <w:t>Abstract</w:t>
      </w:r>
    </w:p>
    <w:p w:rsidR="0081643C" w:rsidRDefault="0081643C" w:rsidP="0081643C">
      <w:pPr>
        <w:pStyle w:val="NormalWeb"/>
        <w:numPr>
          <w:ilvl w:val="0"/>
          <w:numId w:val="19"/>
        </w:numPr>
      </w:pPr>
      <w:r>
        <w:t>Introduction</w:t>
      </w:r>
    </w:p>
    <w:p w:rsidR="0081643C" w:rsidRDefault="0081643C" w:rsidP="0081643C">
      <w:pPr>
        <w:pStyle w:val="NormalWeb"/>
        <w:numPr>
          <w:ilvl w:val="0"/>
          <w:numId w:val="19"/>
        </w:numPr>
      </w:pPr>
      <w:r>
        <w:t>Literature Review</w:t>
      </w:r>
    </w:p>
    <w:p w:rsidR="0081643C" w:rsidRDefault="0081643C" w:rsidP="0081643C">
      <w:pPr>
        <w:pStyle w:val="NormalWeb"/>
        <w:numPr>
          <w:ilvl w:val="0"/>
          <w:numId w:val="19"/>
        </w:numPr>
      </w:pPr>
      <w:r>
        <w:t>Methodology</w:t>
      </w:r>
    </w:p>
    <w:p w:rsidR="0081643C" w:rsidRDefault="0081643C" w:rsidP="0081643C">
      <w:pPr>
        <w:pStyle w:val="NormalWeb"/>
        <w:numPr>
          <w:ilvl w:val="0"/>
          <w:numId w:val="19"/>
        </w:numPr>
      </w:pPr>
      <w:r>
        <w:t>Findings</w:t>
      </w:r>
    </w:p>
    <w:p w:rsidR="0081643C" w:rsidRDefault="0081643C" w:rsidP="0081643C">
      <w:pPr>
        <w:pStyle w:val="NormalWeb"/>
        <w:numPr>
          <w:ilvl w:val="0"/>
          <w:numId w:val="19"/>
        </w:numPr>
      </w:pPr>
      <w:r>
        <w:t>Discussion</w:t>
      </w:r>
    </w:p>
    <w:p w:rsidR="0081643C" w:rsidRDefault="0081643C" w:rsidP="0081643C">
      <w:pPr>
        <w:pStyle w:val="NormalWeb"/>
        <w:numPr>
          <w:ilvl w:val="0"/>
          <w:numId w:val="19"/>
        </w:numPr>
      </w:pPr>
      <w:r>
        <w:t>Conclusion</w:t>
      </w:r>
    </w:p>
    <w:p w:rsidR="0081643C" w:rsidRDefault="0081643C" w:rsidP="0081643C">
      <w:pPr>
        <w:pStyle w:val="NormalWeb"/>
        <w:numPr>
          <w:ilvl w:val="0"/>
          <w:numId w:val="19"/>
        </w:numPr>
      </w:pPr>
      <w:r>
        <w:t>References</w:t>
      </w:r>
    </w:p>
    <w:p w:rsidR="00EF1015" w:rsidRDefault="00EF1015" w:rsidP="0081643C">
      <w:pPr>
        <w:pStyle w:val="Heading2"/>
        <w:rPr>
          <w:rStyle w:val="Strong"/>
          <w:b/>
          <w:bCs/>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1. Abstract</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Agra, located in Uttar Pradesh, India, is globally recognized for the iconic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a UNESCO World Heritage site that attracts millions of domestic and international visitors annually. Despite this global appeal, Agra faces significant limitations in leveraging its full tourism potential. The average duration of stay remains under one day, indicating that the city is seen as a transit stop rather than a comprehensive travel destination (Jain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2020). This trend limits local economic growth, employment opportunities, and broader cultural engagement.</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The city’s tourism pattern reflects stagnation, aligning closely with Butler’s Tourism Area Life Cycle (TALC) model. Stagnation occurs when destinations experience </w:t>
      </w:r>
      <w:proofErr w:type="spellStart"/>
      <w:r w:rsidRPr="00EF1015">
        <w:rPr>
          <w:rFonts w:ascii="Times New Roman" w:eastAsia="Times New Roman" w:hAnsi="Times New Roman" w:cs="Times New Roman"/>
          <w:sz w:val="24"/>
          <w:szCs w:val="24"/>
        </w:rPr>
        <w:t>plateaued</w:t>
      </w:r>
      <w:proofErr w:type="spellEnd"/>
      <w:r w:rsidRPr="00EF1015">
        <w:rPr>
          <w:rFonts w:ascii="Times New Roman" w:eastAsia="Times New Roman" w:hAnsi="Times New Roman" w:cs="Times New Roman"/>
          <w:sz w:val="24"/>
          <w:szCs w:val="24"/>
        </w:rPr>
        <w:t xml:space="preserve"> growth, visitor dissatisfaction, and over-commercialization (Butler, 1980). In Agra’s case, the overcrowding of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poor visitor management, underutilization of other historical assets, and limited modern tourism infrastructure signal a pressing need for reinvention (Singh, 2016; Sharma &amp; Gupta, 2019).</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This paper proposes a comprehensive revitalization strategy that moves beyond the "monument-only" model of tourism. By integrating lesser-known </w:t>
      </w:r>
      <w:proofErr w:type="spellStart"/>
      <w:r w:rsidRPr="00EF1015">
        <w:rPr>
          <w:rFonts w:ascii="Times New Roman" w:eastAsia="Times New Roman" w:hAnsi="Times New Roman" w:cs="Times New Roman"/>
          <w:sz w:val="24"/>
          <w:szCs w:val="24"/>
        </w:rPr>
        <w:t>Mughal</w:t>
      </w:r>
      <w:proofErr w:type="spellEnd"/>
      <w:r w:rsidRPr="00EF1015">
        <w:rPr>
          <w:rFonts w:ascii="Times New Roman" w:eastAsia="Times New Roman" w:hAnsi="Times New Roman" w:cs="Times New Roman"/>
          <w:sz w:val="24"/>
          <w:szCs w:val="24"/>
        </w:rPr>
        <w:t>-era sites and neighboring rural experiences, Agra can offer a richer, multi-day tourism experience. The inclusion of experiential tourism—such as local cuisine trails, artisan workshops, and cultural performances—can diversify offerings and prolong visitor stays (</w:t>
      </w:r>
      <w:proofErr w:type="spellStart"/>
      <w:r w:rsidRPr="00EF1015">
        <w:rPr>
          <w:rFonts w:ascii="Times New Roman" w:eastAsia="Times New Roman" w:hAnsi="Times New Roman" w:cs="Times New Roman"/>
          <w:sz w:val="24"/>
          <w:szCs w:val="24"/>
        </w:rPr>
        <w:t>Scheyvens</w:t>
      </w:r>
      <w:proofErr w:type="spellEnd"/>
      <w:r w:rsidRPr="00EF1015">
        <w:rPr>
          <w:rFonts w:ascii="Times New Roman" w:eastAsia="Times New Roman" w:hAnsi="Times New Roman" w:cs="Times New Roman"/>
          <w:sz w:val="24"/>
          <w:szCs w:val="24"/>
        </w:rPr>
        <w:t>, 1999; Richards, 2011).</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Moreover, the incorporation of smart tourism practices—like digital storytelling, e-ticketing, real-time transport systems, and multilingual virtual guides—can enhance visitor satisfaction while reducing stress points like congestion and navigation challenges (</w:t>
      </w: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et al., 2015). These interventions align with global trends of tech-enabled tourism and are necessary for engaging the modern traveler.</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 community-based approach is critical for sustainable tourism development. By empowering local stakeholders and rural communities around Agra, inclusive growth can be achieved. Integrating local artisans, </w:t>
      </w:r>
      <w:proofErr w:type="spellStart"/>
      <w:r w:rsidRPr="00EF1015">
        <w:rPr>
          <w:rFonts w:ascii="Times New Roman" w:eastAsia="Times New Roman" w:hAnsi="Times New Roman" w:cs="Times New Roman"/>
          <w:sz w:val="24"/>
          <w:szCs w:val="24"/>
        </w:rPr>
        <w:t>homestays</w:t>
      </w:r>
      <w:proofErr w:type="spellEnd"/>
      <w:r w:rsidRPr="00EF1015">
        <w:rPr>
          <w:rFonts w:ascii="Times New Roman" w:eastAsia="Times New Roman" w:hAnsi="Times New Roman" w:cs="Times New Roman"/>
          <w:sz w:val="24"/>
          <w:szCs w:val="24"/>
        </w:rPr>
        <w:t xml:space="preserve">, and </w:t>
      </w:r>
      <w:proofErr w:type="spellStart"/>
      <w:r w:rsidRPr="00EF1015">
        <w:rPr>
          <w:rFonts w:ascii="Times New Roman" w:eastAsia="Times New Roman" w:hAnsi="Times New Roman" w:cs="Times New Roman"/>
          <w:sz w:val="24"/>
          <w:szCs w:val="24"/>
        </w:rPr>
        <w:t>agritourism</w:t>
      </w:r>
      <w:proofErr w:type="spellEnd"/>
      <w:r w:rsidRPr="00EF1015">
        <w:rPr>
          <w:rFonts w:ascii="Times New Roman" w:eastAsia="Times New Roman" w:hAnsi="Times New Roman" w:cs="Times New Roman"/>
          <w:sz w:val="24"/>
          <w:szCs w:val="24"/>
        </w:rPr>
        <w:t xml:space="preserve"> initiatives provides an authentic experience </w:t>
      </w:r>
      <w:r w:rsidRPr="00EF1015">
        <w:rPr>
          <w:rFonts w:ascii="Times New Roman" w:eastAsia="Times New Roman" w:hAnsi="Times New Roman" w:cs="Times New Roman"/>
          <w:sz w:val="24"/>
          <w:szCs w:val="24"/>
        </w:rPr>
        <w:lastRenderedPageBreak/>
        <w:t xml:space="preserve">for tourists and drives local employment and cultural preservation (Timothy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2009; George &amp; George, 2004).</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Ultimately, this study argues that Agra must reinvent itself as a multi-dimensional cultural and historical hub. Such repositioning requires policy shifts, private-sector collaboration, and branding strategies that move beyond the shadow of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The TALC-based reinvention strategy serves as a blueprint for other stagnating heritage destinations as well.</w:t>
      </w:r>
    </w:p>
    <w:p w:rsidR="00EF1015" w:rsidRPr="00EF1015" w:rsidRDefault="00EF1015" w:rsidP="00EF1015">
      <w:pPr>
        <w:spacing w:after="0" w:line="240" w:lineRule="auto"/>
        <w:rPr>
          <w:rFonts w:ascii="Times New Roman" w:eastAsia="Times New Roman" w:hAnsi="Times New Roman" w:cs="Times New Roman"/>
          <w:sz w:val="24"/>
          <w:szCs w:val="24"/>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2. Introduction</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Agra stands as a symbol of India’s historical grandeur, attracting millions with its most prominent jewel—the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However, the city's global popularity does not translate into proportionate economic or social benefits for its residents. The issue lies in Agra’s overdependence on one site, resulting in a high influx of day-trippers who do not engage with the city beyond the monument (Jain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2020). This lack of tourist dispersion restricts spending across sectors and leads to missed opportunities in hospitality, retail, and artisanal economies.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Tourism in Agra has reached a plateau, marked by signs of stagnation such as overcrowded attractions, declining visitor satisfaction, and poor infrastructure (Sharma &amp; Gupta, 2019). Over-tourism around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has caused environmental degradation, logistical bottlenecks, and local discontent. These problems are compounded by insufficient promotion of Agra’s other heritage assets and the near-total absence of a nighttime economy (Singh, 2016). As a result, the city's tourism industry is underperforming in comparison to its potential.</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The Tourism Area Life Cycle (TALC) model offers a structured lens to analyze this situation. According to Butler (1980), stagnation in tourism occurs when visitor numbers peak and begin to decline due to factors such as overdevelopment, loss of authenticity, and limited innovation. Agra shows many of these symptoms, especially in the form of repetitive tourist experiences and poor diversification of attractions. This makes TALC an apt theoretical model for understanding Agra’s current challenges.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The lack of tourist dispersion also negatively impacts rural and suburban areas surrounding Agra, such as </w:t>
      </w:r>
      <w:proofErr w:type="spellStart"/>
      <w:r w:rsidRPr="00EF1015">
        <w:rPr>
          <w:rFonts w:ascii="Times New Roman" w:eastAsia="Times New Roman" w:hAnsi="Times New Roman" w:cs="Times New Roman"/>
          <w:sz w:val="24"/>
          <w:szCs w:val="24"/>
        </w:rPr>
        <w:t>Kachhpura</w:t>
      </w:r>
      <w:proofErr w:type="spellEnd"/>
      <w:r w:rsidRPr="00EF1015">
        <w:rPr>
          <w:rFonts w:ascii="Times New Roman" w:eastAsia="Times New Roman" w:hAnsi="Times New Roman" w:cs="Times New Roman"/>
          <w:sz w:val="24"/>
          <w:szCs w:val="24"/>
        </w:rPr>
        <w:t xml:space="preserve"> and </w:t>
      </w:r>
      <w:proofErr w:type="spellStart"/>
      <w:r w:rsidRPr="00EF1015">
        <w:rPr>
          <w:rFonts w:ascii="Times New Roman" w:eastAsia="Times New Roman" w:hAnsi="Times New Roman" w:cs="Times New Roman"/>
          <w:sz w:val="24"/>
          <w:szCs w:val="24"/>
        </w:rPr>
        <w:t>Fatehpur</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Sikri</w:t>
      </w:r>
      <w:proofErr w:type="spellEnd"/>
      <w:r w:rsidRPr="00EF1015">
        <w:rPr>
          <w:rFonts w:ascii="Times New Roman" w:eastAsia="Times New Roman" w:hAnsi="Times New Roman" w:cs="Times New Roman"/>
          <w:sz w:val="24"/>
          <w:szCs w:val="24"/>
        </w:rPr>
        <w:t xml:space="preserve">. Despite being rich in cultural and natural resources, these areas remain disconnected from the primary tourism circuit (Asher, 2006). This spatial inequality in tourism development fosters a </w:t>
      </w:r>
      <w:proofErr w:type="spellStart"/>
      <w:r w:rsidRPr="00EF1015">
        <w:rPr>
          <w:rFonts w:ascii="Times New Roman" w:eastAsia="Times New Roman" w:hAnsi="Times New Roman" w:cs="Times New Roman"/>
          <w:sz w:val="24"/>
          <w:szCs w:val="24"/>
        </w:rPr>
        <w:t>monocultural</w:t>
      </w:r>
      <w:proofErr w:type="spellEnd"/>
      <w:r w:rsidRPr="00EF1015">
        <w:rPr>
          <w:rFonts w:ascii="Times New Roman" w:eastAsia="Times New Roman" w:hAnsi="Times New Roman" w:cs="Times New Roman"/>
          <w:sz w:val="24"/>
          <w:szCs w:val="24"/>
        </w:rPr>
        <w:t xml:space="preserve"> economy and prevents local communities from reaping the benefits of tourism growth.</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Additionally, the absence of smart tourism infrastructure limits Agra’s appeal to younger, tech-savvy travelers who expect seamless digital integration in their journeys (</w:t>
      </w: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et al., 2015). Inadequate signage, poor transit connectivity, and outdated booking systems frustrate visitors and inhibit return tourism. These issues underscore the urgent need for both digital modernization and stakeholder collaboration across sectors.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Given these multi-layered issues, this paper aims to explore a reinvention strategy for Agra, using the TALC model as a diagnostic tool. By proposing multidimensional approaches rooted in sustainability, cultural diversification, and smart infrastructure, the paper hopes to offer a roadmap for Agra’s transformation into a dynamic, resilient, and inclusive tourism destination.</w:t>
      </w:r>
    </w:p>
    <w:p w:rsidR="00EF1015" w:rsidRPr="00EF1015" w:rsidRDefault="00EF1015" w:rsidP="00EF1015">
      <w:pPr>
        <w:spacing w:after="0" w:line="240" w:lineRule="auto"/>
        <w:rPr>
          <w:rFonts w:ascii="Times New Roman" w:eastAsia="Times New Roman" w:hAnsi="Times New Roman" w:cs="Times New Roman"/>
          <w:sz w:val="24"/>
          <w:szCs w:val="24"/>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3. Literature Review</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3.1 TALC and Urban Heritage Cities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The Tourism Area Life Cycle (TALC) model introduced by Butler (1980) describes the evolutionary stages of tourist destinations, including exploration, development, stagnation, and potential decline. Urban heritage cities like Agra are prone to stagnation once their iconic sites become saturated and </w:t>
      </w:r>
      <w:proofErr w:type="spellStart"/>
      <w:r w:rsidRPr="00EF1015">
        <w:rPr>
          <w:rFonts w:ascii="Times New Roman" w:eastAsia="Times New Roman" w:hAnsi="Times New Roman" w:cs="Times New Roman"/>
          <w:sz w:val="24"/>
          <w:szCs w:val="24"/>
        </w:rPr>
        <w:t>overcommercialized</w:t>
      </w:r>
      <w:proofErr w:type="spellEnd"/>
      <w:r w:rsidRPr="00EF1015">
        <w:rPr>
          <w:rFonts w:ascii="Times New Roman" w:eastAsia="Times New Roman" w:hAnsi="Times New Roman" w:cs="Times New Roman"/>
          <w:sz w:val="24"/>
          <w:szCs w:val="24"/>
        </w:rPr>
        <w:t>. Studies have highlighted that Agra's reliance on a single monument has resulted in tourism fatigue, leading to minimal innovation in tourist offerings (Sharma &amp; Gupta, 2019; Singh, 2016). The stagnation stage is also marked by poor visitor experience, infrastructural stress, and diminishing economic returns despite stable visitor numbers.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Recent applications of TALC in cities like Venice and Athens show how over-tourism accelerates destination fatigue, especially in heritage cities that fail to innovate (Russo, 2002; </w:t>
      </w:r>
      <w:proofErr w:type="spellStart"/>
      <w:r w:rsidRPr="00EF1015">
        <w:rPr>
          <w:rFonts w:ascii="Times New Roman" w:eastAsia="Times New Roman" w:hAnsi="Times New Roman" w:cs="Times New Roman"/>
          <w:sz w:val="24"/>
          <w:szCs w:val="24"/>
        </w:rPr>
        <w:t>Koens</w:t>
      </w:r>
      <w:proofErr w:type="spellEnd"/>
      <w:r w:rsidRPr="00EF1015">
        <w:rPr>
          <w:rFonts w:ascii="Times New Roman" w:eastAsia="Times New Roman" w:hAnsi="Times New Roman" w:cs="Times New Roman"/>
          <w:sz w:val="24"/>
          <w:szCs w:val="24"/>
        </w:rPr>
        <w:t xml:space="preserve"> et al., 2018). Agra reflects similar trends—limited policy diversification, uneven spatial development, and minimal reinvestment into emerging tourism clusters. Scholars argue that failure to diversify tourism narratives beyond a single monument contributes significantly to stagnation (</w:t>
      </w:r>
      <w:proofErr w:type="spellStart"/>
      <w:r w:rsidRPr="00EF1015">
        <w:rPr>
          <w:rFonts w:ascii="Times New Roman" w:eastAsia="Times New Roman" w:hAnsi="Times New Roman" w:cs="Times New Roman"/>
          <w:sz w:val="24"/>
          <w:szCs w:val="24"/>
        </w:rPr>
        <w:t>Briedenhann</w:t>
      </w:r>
      <w:proofErr w:type="spellEnd"/>
      <w:r w:rsidRPr="00EF1015">
        <w:rPr>
          <w:rFonts w:ascii="Times New Roman" w:eastAsia="Times New Roman" w:hAnsi="Times New Roman" w:cs="Times New Roman"/>
          <w:sz w:val="24"/>
          <w:szCs w:val="24"/>
        </w:rPr>
        <w:t xml:space="preserve"> &amp; </w:t>
      </w:r>
      <w:proofErr w:type="spellStart"/>
      <w:r w:rsidRPr="00EF1015">
        <w:rPr>
          <w:rFonts w:ascii="Times New Roman" w:eastAsia="Times New Roman" w:hAnsi="Times New Roman" w:cs="Times New Roman"/>
          <w:sz w:val="24"/>
          <w:szCs w:val="24"/>
        </w:rPr>
        <w:t>Wickens</w:t>
      </w:r>
      <w:proofErr w:type="spellEnd"/>
      <w:r w:rsidRPr="00EF1015">
        <w:rPr>
          <w:rFonts w:ascii="Times New Roman" w:eastAsia="Times New Roman" w:hAnsi="Times New Roman" w:cs="Times New Roman"/>
          <w:sz w:val="24"/>
          <w:szCs w:val="24"/>
        </w:rPr>
        <w:t>, 2004).</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3.2 Tourism Monoculture Risks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Monoculture in tourism refers to an over-reliance on one form or site of attraction. Agra presents a textbook case where tourism monoculture around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has resulted in the marginalization of other cultural, culinary, and historical assets (Richards, 2011). This singularity in tourism strategy makes the city vulnerable to sudden drops in tourist arrivals and offers little incentive for tourists to extend their stay or explore further.</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Furthermore, monoculture tourism often leads to the </w:t>
      </w:r>
      <w:proofErr w:type="spellStart"/>
      <w:r w:rsidRPr="00EF1015">
        <w:rPr>
          <w:rFonts w:ascii="Times New Roman" w:eastAsia="Times New Roman" w:hAnsi="Times New Roman" w:cs="Times New Roman"/>
          <w:sz w:val="24"/>
          <w:szCs w:val="24"/>
        </w:rPr>
        <w:t>commodification</w:t>
      </w:r>
      <w:proofErr w:type="spellEnd"/>
      <w:r w:rsidRPr="00EF1015">
        <w:rPr>
          <w:rFonts w:ascii="Times New Roman" w:eastAsia="Times New Roman" w:hAnsi="Times New Roman" w:cs="Times New Roman"/>
          <w:sz w:val="24"/>
          <w:szCs w:val="24"/>
        </w:rPr>
        <w:t xml:space="preserve"> of heritage, loss of authenticity, and spatial inequality (Timothy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xml:space="preserve">, 2009). Local businesses, especially those situated away from the </w:t>
      </w:r>
      <w:proofErr w:type="spellStart"/>
      <w:r w:rsidRPr="00EF1015">
        <w:rPr>
          <w:rFonts w:ascii="Times New Roman" w:eastAsia="Times New Roman" w:hAnsi="Times New Roman" w:cs="Times New Roman"/>
          <w:sz w:val="24"/>
          <w:szCs w:val="24"/>
        </w:rPr>
        <w:t>Taj’s</w:t>
      </w:r>
      <w:proofErr w:type="spellEnd"/>
      <w:r w:rsidRPr="00EF1015">
        <w:rPr>
          <w:rFonts w:ascii="Times New Roman" w:eastAsia="Times New Roman" w:hAnsi="Times New Roman" w:cs="Times New Roman"/>
          <w:sz w:val="24"/>
          <w:szCs w:val="24"/>
        </w:rPr>
        <w:t xml:space="preserve"> immediate vicinity, struggle to attract footfall. This restricts the multiplier effect of tourism, which is essential for holistic development. Diversification through cultural corridors and rural experiences is therefore critical to breaking the monoculture cycle (George &amp; George, 2004).</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 xml:space="preserve">3.3 </w:t>
      </w:r>
      <w:proofErr w:type="spellStart"/>
      <w:r w:rsidRPr="00EF1015">
        <w:rPr>
          <w:rFonts w:ascii="Times New Roman" w:eastAsia="Times New Roman" w:hAnsi="Times New Roman" w:cs="Times New Roman"/>
          <w:b/>
          <w:bCs/>
          <w:sz w:val="27"/>
          <w:szCs w:val="27"/>
        </w:rPr>
        <w:t>Mughal</w:t>
      </w:r>
      <w:proofErr w:type="spellEnd"/>
      <w:r w:rsidRPr="00EF1015">
        <w:rPr>
          <w:rFonts w:ascii="Times New Roman" w:eastAsia="Times New Roman" w:hAnsi="Times New Roman" w:cs="Times New Roman"/>
          <w:b/>
          <w:bCs/>
          <w:sz w:val="27"/>
          <w:szCs w:val="27"/>
        </w:rPr>
        <w:t xml:space="preserve"> Heritage and Cultural Routes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 xml:space="preserve">Agra’s potential lies in its rich </w:t>
      </w:r>
      <w:proofErr w:type="spellStart"/>
      <w:r w:rsidRPr="00EF1015">
        <w:rPr>
          <w:rFonts w:ascii="Times New Roman" w:eastAsia="Times New Roman" w:hAnsi="Times New Roman" w:cs="Times New Roman"/>
          <w:sz w:val="24"/>
          <w:szCs w:val="24"/>
        </w:rPr>
        <w:t>Mughal</w:t>
      </w:r>
      <w:proofErr w:type="spellEnd"/>
      <w:r w:rsidRPr="00EF1015">
        <w:rPr>
          <w:rFonts w:ascii="Times New Roman" w:eastAsia="Times New Roman" w:hAnsi="Times New Roman" w:cs="Times New Roman"/>
          <w:sz w:val="24"/>
          <w:szCs w:val="24"/>
        </w:rPr>
        <w:t xml:space="preserve"> heritage, which remains largely underexploited. Sites such as Agra Fort, </w:t>
      </w:r>
      <w:proofErr w:type="spellStart"/>
      <w:r w:rsidRPr="00EF1015">
        <w:rPr>
          <w:rFonts w:ascii="Times New Roman" w:eastAsia="Times New Roman" w:hAnsi="Times New Roman" w:cs="Times New Roman"/>
          <w:sz w:val="24"/>
          <w:szCs w:val="24"/>
        </w:rPr>
        <w:t>Fatehpur</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Sikri</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Mehtab</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Bagh</w:t>
      </w:r>
      <w:proofErr w:type="spellEnd"/>
      <w:r w:rsidRPr="00EF1015">
        <w:rPr>
          <w:rFonts w:ascii="Times New Roman" w:eastAsia="Times New Roman" w:hAnsi="Times New Roman" w:cs="Times New Roman"/>
          <w:sz w:val="24"/>
          <w:szCs w:val="24"/>
        </w:rPr>
        <w:t xml:space="preserve">, and the tomb of </w:t>
      </w:r>
      <w:proofErr w:type="spellStart"/>
      <w:r w:rsidRPr="00EF1015">
        <w:rPr>
          <w:rFonts w:ascii="Times New Roman" w:eastAsia="Times New Roman" w:hAnsi="Times New Roman" w:cs="Times New Roman"/>
          <w:sz w:val="24"/>
          <w:szCs w:val="24"/>
        </w:rPr>
        <w:t>Itimad-ud-Daulah</w:t>
      </w:r>
      <w:proofErr w:type="spellEnd"/>
      <w:r w:rsidRPr="00EF1015">
        <w:rPr>
          <w:rFonts w:ascii="Times New Roman" w:eastAsia="Times New Roman" w:hAnsi="Times New Roman" w:cs="Times New Roman"/>
          <w:sz w:val="24"/>
          <w:szCs w:val="24"/>
        </w:rPr>
        <w:t xml:space="preserve"> can be stitched together to create a heritage trail (Asher, 2006). However, these sites suffer from poor maintenance, inadequate signage, and limited integration with the city’s core tourism strategy. Their spatial detachment from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further isolates them in the tourism experience.</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Creating thematic heritage circuits can encourage longer stays and distribute tourist footfall more evenly (Bhatia, 2011). Cultural route development, combined with storytelling, can rejuvenate interest in lesser-visited sites. Scholars recommend integrating architectural history, cuisine, and crafts in these trails to offer an immersive experience (Timothy &amp; Boyd, 2003). Such integration aligns with UNESCO’s cultural tourism guidelines and presents a sustainable model for heritage promotion.</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3.4 Experiential and Rural Tourism</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Experiential tourism focuses on meaningful, personalized, and immersive travel, offering a sharp contrast to passive sightseeing (</w:t>
      </w:r>
      <w:proofErr w:type="spellStart"/>
      <w:r w:rsidRPr="00EF1015">
        <w:rPr>
          <w:rFonts w:ascii="Times New Roman" w:eastAsia="Times New Roman" w:hAnsi="Times New Roman" w:cs="Times New Roman"/>
          <w:sz w:val="24"/>
          <w:szCs w:val="24"/>
        </w:rPr>
        <w:t>Scheyvens</w:t>
      </w:r>
      <w:proofErr w:type="spellEnd"/>
      <w:r w:rsidRPr="00EF1015">
        <w:rPr>
          <w:rFonts w:ascii="Times New Roman" w:eastAsia="Times New Roman" w:hAnsi="Times New Roman" w:cs="Times New Roman"/>
          <w:sz w:val="24"/>
          <w:szCs w:val="24"/>
        </w:rPr>
        <w:t xml:space="preserve">, 1999). </w:t>
      </w:r>
      <w:proofErr w:type="gramStart"/>
      <w:r w:rsidRPr="00EF1015">
        <w:rPr>
          <w:rFonts w:ascii="Times New Roman" w:eastAsia="Times New Roman" w:hAnsi="Times New Roman" w:cs="Times New Roman"/>
          <w:sz w:val="24"/>
          <w:szCs w:val="24"/>
        </w:rPr>
        <w:t xml:space="preserve">For Agra, nearby rural areas like </w:t>
      </w:r>
      <w:proofErr w:type="spellStart"/>
      <w:r w:rsidRPr="00EF1015">
        <w:rPr>
          <w:rFonts w:ascii="Times New Roman" w:eastAsia="Times New Roman" w:hAnsi="Times New Roman" w:cs="Times New Roman"/>
          <w:sz w:val="24"/>
          <w:szCs w:val="24"/>
        </w:rPr>
        <w:t>Kachhpura</w:t>
      </w:r>
      <w:proofErr w:type="spellEnd"/>
      <w:r w:rsidRPr="00EF1015">
        <w:rPr>
          <w:rFonts w:ascii="Times New Roman" w:eastAsia="Times New Roman" w:hAnsi="Times New Roman" w:cs="Times New Roman"/>
          <w:sz w:val="24"/>
          <w:szCs w:val="24"/>
        </w:rPr>
        <w:t xml:space="preserve"> and </w:t>
      </w:r>
      <w:proofErr w:type="spellStart"/>
      <w:r w:rsidRPr="00EF1015">
        <w:rPr>
          <w:rFonts w:ascii="Times New Roman" w:eastAsia="Times New Roman" w:hAnsi="Times New Roman" w:cs="Times New Roman"/>
          <w:sz w:val="24"/>
          <w:szCs w:val="24"/>
        </w:rPr>
        <w:t>Korai</w:t>
      </w:r>
      <w:proofErr w:type="spellEnd"/>
      <w:r w:rsidRPr="00EF1015">
        <w:rPr>
          <w:rFonts w:ascii="Times New Roman" w:eastAsia="Times New Roman" w:hAnsi="Times New Roman" w:cs="Times New Roman"/>
          <w:sz w:val="24"/>
          <w:szCs w:val="24"/>
        </w:rPr>
        <w:t xml:space="preserve"> can serve as sites for </w:t>
      </w:r>
      <w:proofErr w:type="spellStart"/>
      <w:r w:rsidRPr="00EF1015">
        <w:rPr>
          <w:rFonts w:ascii="Times New Roman" w:eastAsia="Times New Roman" w:hAnsi="Times New Roman" w:cs="Times New Roman"/>
          <w:sz w:val="24"/>
          <w:szCs w:val="24"/>
        </w:rPr>
        <w:t>homestays</w:t>
      </w:r>
      <w:proofErr w:type="spellEnd"/>
      <w:r w:rsidRPr="00EF1015">
        <w:rPr>
          <w:rFonts w:ascii="Times New Roman" w:eastAsia="Times New Roman" w:hAnsi="Times New Roman" w:cs="Times New Roman"/>
          <w:sz w:val="24"/>
          <w:szCs w:val="24"/>
        </w:rPr>
        <w:t>, traditional cooking classes, and handicraft workshops.</w:t>
      </w:r>
      <w:proofErr w:type="gramEnd"/>
      <w:r w:rsidRPr="00EF1015">
        <w:rPr>
          <w:rFonts w:ascii="Times New Roman" w:eastAsia="Times New Roman" w:hAnsi="Times New Roman" w:cs="Times New Roman"/>
          <w:sz w:val="24"/>
          <w:szCs w:val="24"/>
        </w:rPr>
        <w:t xml:space="preserve"> These experiences enhance tourist engagement and create income opportunities for local communities (George &amp; George, 2004; Timothy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2009).</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Moreover, rural and experiential tourism extends the tourist life cycle and spreads the benefits of tourism beyond urban centers. This approach has shown success in other heritage-rich regions such as Rajasthan and Kerala, where rural circuits now form essential parts of tourism planning (Singh, 2016; </w:t>
      </w:r>
      <w:proofErr w:type="spellStart"/>
      <w:r w:rsidRPr="00EF1015">
        <w:rPr>
          <w:rFonts w:ascii="Times New Roman" w:eastAsia="Times New Roman" w:hAnsi="Times New Roman" w:cs="Times New Roman"/>
          <w:sz w:val="24"/>
          <w:szCs w:val="24"/>
        </w:rPr>
        <w:t>Chhabra</w:t>
      </w:r>
      <w:proofErr w:type="spellEnd"/>
      <w:r w:rsidRPr="00EF1015">
        <w:rPr>
          <w:rFonts w:ascii="Times New Roman" w:eastAsia="Times New Roman" w:hAnsi="Times New Roman" w:cs="Times New Roman"/>
          <w:sz w:val="24"/>
          <w:szCs w:val="24"/>
        </w:rPr>
        <w:t>, 2012). Involving local stakeholders is critical to ensuring authenticity, cultural sensitivity, and equitable development.</w:t>
      </w:r>
    </w:p>
    <w:p w:rsidR="00EF1015" w:rsidRPr="00EF1015" w:rsidRDefault="00EF1015" w:rsidP="00EF1015">
      <w:pPr>
        <w:spacing w:before="100" w:beforeAutospacing="1" w:after="100" w:afterAutospacing="1" w:line="240" w:lineRule="auto"/>
        <w:outlineLvl w:val="2"/>
        <w:rPr>
          <w:rFonts w:ascii="Times New Roman" w:eastAsia="Times New Roman" w:hAnsi="Times New Roman" w:cs="Times New Roman"/>
          <w:b/>
          <w:bCs/>
          <w:sz w:val="27"/>
          <w:szCs w:val="27"/>
        </w:rPr>
      </w:pPr>
      <w:r w:rsidRPr="00EF1015">
        <w:rPr>
          <w:rFonts w:ascii="Times New Roman" w:eastAsia="Times New Roman" w:hAnsi="Times New Roman" w:cs="Times New Roman"/>
          <w:b/>
          <w:bCs/>
          <w:sz w:val="27"/>
          <w:szCs w:val="27"/>
        </w:rPr>
        <w:t>3.5 Smart Tourism and Urban Mobility</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Smart tourism leverages digital innovation to enhance visitor experience, streamline operations, and reduce environmental impact (</w:t>
      </w: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et al., 2015). In Agra, smart interventions such as GPS-based navigation apps, multilingual virtual guides, and real-time ticketing can transform the way tourists interact with the city. These tools also improve accessibility for differently-</w:t>
      </w:r>
      <w:proofErr w:type="spellStart"/>
      <w:r w:rsidRPr="00EF1015">
        <w:rPr>
          <w:rFonts w:ascii="Times New Roman" w:eastAsia="Times New Roman" w:hAnsi="Times New Roman" w:cs="Times New Roman"/>
          <w:sz w:val="24"/>
          <w:szCs w:val="24"/>
        </w:rPr>
        <w:t>abled</w:t>
      </w:r>
      <w:proofErr w:type="spellEnd"/>
      <w:r w:rsidRPr="00EF1015">
        <w:rPr>
          <w:rFonts w:ascii="Times New Roman" w:eastAsia="Times New Roman" w:hAnsi="Times New Roman" w:cs="Times New Roman"/>
          <w:sz w:val="24"/>
          <w:szCs w:val="24"/>
        </w:rPr>
        <w:t xml:space="preserve"> travelers and reduce dependency on unregulated local guides (</w:t>
      </w:r>
      <w:proofErr w:type="spellStart"/>
      <w:r w:rsidRPr="00EF1015">
        <w:rPr>
          <w:rFonts w:ascii="Times New Roman" w:eastAsia="Times New Roman" w:hAnsi="Times New Roman" w:cs="Times New Roman"/>
          <w:sz w:val="24"/>
          <w:szCs w:val="24"/>
        </w:rPr>
        <w:t>Buhalis</w:t>
      </w:r>
      <w:proofErr w:type="spellEnd"/>
      <w:r w:rsidRPr="00EF1015">
        <w:rPr>
          <w:rFonts w:ascii="Times New Roman" w:eastAsia="Times New Roman" w:hAnsi="Times New Roman" w:cs="Times New Roman"/>
          <w:sz w:val="24"/>
          <w:szCs w:val="24"/>
        </w:rPr>
        <w:t xml:space="preserve"> &amp; </w:t>
      </w:r>
      <w:proofErr w:type="spellStart"/>
      <w:r w:rsidRPr="00EF1015">
        <w:rPr>
          <w:rFonts w:ascii="Times New Roman" w:eastAsia="Times New Roman" w:hAnsi="Times New Roman" w:cs="Times New Roman"/>
          <w:sz w:val="24"/>
          <w:szCs w:val="24"/>
        </w:rPr>
        <w:t>Amaranggana</w:t>
      </w:r>
      <w:proofErr w:type="spellEnd"/>
      <w:r w:rsidRPr="00EF1015">
        <w:rPr>
          <w:rFonts w:ascii="Times New Roman" w:eastAsia="Times New Roman" w:hAnsi="Times New Roman" w:cs="Times New Roman"/>
          <w:sz w:val="24"/>
          <w:szCs w:val="24"/>
        </w:rPr>
        <w:t>, 2015).</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Inadequate transport and signage limit connectivity between key attractions in Agra. Smart mobility solutions like integrated bus networks, app-based electric rickshaws, and guided cycling tours can offer environmentally friendly and tourist-centric mobility (Zhang et al., 2019). These solutions align with the Indian government’s Smart Cities Mission and hold promise for sustainable tourism development.</w:t>
      </w:r>
    </w:p>
    <w:p w:rsidR="00EF1015" w:rsidRPr="00EF1015" w:rsidRDefault="00EF1015" w:rsidP="00EF1015">
      <w:pPr>
        <w:spacing w:after="0" w:line="240" w:lineRule="auto"/>
        <w:rPr>
          <w:rFonts w:ascii="Times New Roman" w:eastAsia="Times New Roman" w:hAnsi="Times New Roman" w:cs="Times New Roman"/>
          <w:sz w:val="24"/>
          <w:szCs w:val="24"/>
        </w:rPr>
      </w:pPr>
    </w:p>
    <w:p w:rsidR="00EF1015" w:rsidRPr="00EF1015" w:rsidRDefault="00EF1015" w:rsidP="00EF1015">
      <w:pPr>
        <w:spacing w:before="100" w:beforeAutospacing="1" w:after="100" w:afterAutospacing="1" w:line="240" w:lineRule="auto"/>
        <w:outlineLvl w:val="1"/>
        <w:rPr>
          <w:rFonts w:ascii="Times New Roman" w:eastAsia="Times New Roman" w:hAnsi="Times New Roman" w:cs="Times New Roman"/>
          <w:b/>
          <w:bCs/>
          <w:sz w:val="36"/>
          <w:szCs w:val="36"/>
        </w:rPr>
      </w:pPr>
      <w:r w:rsidRPr="00EF1015">
        <w:rPr>
          <w:rFonts w:ascii="Times New Roman" w:eastAsia="Times New Roman" w:hAnsi="Times New Roman" w:cs="Times New Roman"/>
          <w:b/>
          <w:bCs/>
          <w:sz w:val="36"/>
          <w:szCs w:val="36"/>
        </w:rPr>
        <w:t>4. Methodology</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The research adopts a qualitative exploratory design to deeply understand the stagnation of Agra’s tourism sector and identify actionable strategies. A case study method is chosen to explore the multi-dimensional challenges and opportunities in a specific heritage city context. Qualitative methods are appropriate for tourism research where perceptions, policies, and spatial dynamics need to be interpreted contextually (</w:t>
      </w:r>
      <w:proofErr w:type="spellStart"/>
      <w:r w:rsidRPr="00EF1015">
        <w:rPr>
          <w:rFonts w:ascii="Times New Roman" w:eastAsia="Times New Roman" w:hAnsi="Times New Roman" w:cs="Times New Roman"/>
          <w:sz w:val="24"/>
          <w:szCs w:val="24"/>
        </w:rPr>
        <w:t>Denzin</w:t>
      </w:r>
      <w:proofErr w:type="spellEnd"/>
      <w:r w:rsidRPr="00EF1015">
        <w:rPr>
          <w:rFonts w:ascii="Times New Roman" w:eastAsia="Times New Roman" w:hAnsi="Times New Roman" w:cs="Times New Roman"/>
          <w:sz w:val="24"/>
          <w:szCs w:val="24"/>
        </w:rPr>
        <w:t xml:space="preserve"> &amp; Lincoln, 2011; Yin, 2018).</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Data was primarily collected through secondary sources, including academic publications, tourism policy documents, and government reports. Key sources include the Ministry of Tourism (India), the Archaeological Survey of India (ASI), and Uttar Pradesh Tourism Development Corporation. In addition, local newspapers and scholarly articles provided insights into on-ground realities such as congestion, local resentment, and policy gaps (Sharma &amp; Gupta, 2019; Jain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2020).</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Analytical tools used include TALC staging to determine the current phase of Agra’s tourism development, SWOT analysis to identify internal and external factors affecting tourism, and gap analysis to assess the underperformance of attractions beyond the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Mahal</w:t>
      </w:r>
      <w:proofErr w:type="spellEnd"/>
      <w:r w:rsidRPr="00EF1015">
        <w:rPr>
          <w:rFonts w:ascii="Times New Roman" w:eastAsia="Times New Roman" w:hAnsi="Times New Roman" w:cs="Times New Roman"/>
          <w:sz w:val="24"/>
          <w:szCs w:val="24"/>
        </w:rPr>
        <w:t xml:space="preserve">. These frameworks are widely used in tourism planning and allow for structured diagnosis and strategy formulation (Butler, 1980; </w:t>
      </w:r>
      <w:proofErr w:type="spellStart"/>
      <w:r w:rsidRPr="00EF1015">
        <w:rPr>
          <w:rFonts w:ascii="Times New Roman" w:eastAsia="Times New Roman" w:hAnsi="Times New Roman" w:cs="Times New Roman"/>
          <w:sz w:val="24"/>
          <w:szCs w:val="24"/>
        </w:rPr>
        <w:t>Briedenhann</w:t>
      </w:r>
      <w:proofErr w:type="spellEnd"/>
      <w:r w:rsidRPr="00EF1015">
        <w:rPr>
          <w:rFonts w:ascii="Times New Roman" w:eastAsia="Times New Roman" w:hAnsi="Times New Roman" w:cs="Times New Roman"/>
          <w:sz w:val="24"/>
          <w:szCs w:val="24"/>
        </w:rPr>
        <w:t xml:space="preserve"> &amp; </w:t>
      </w:r>
      <w:proofErr w:type="spellStart"/>
      <w:r w:rsidRPr="00EF1015">
        <w:rPr>
          <w:rFonts w:ascii="Times New Roman" w:eastAsia="Times New Roman" w:hAnsi="Times New Roman" w:cs="Times New Roman"/>
          <w:sz w:val="24"/>
          <w:szCs w:val="24"/>
        </w:rPr>
        <w:t>Wickens</w:t>
      </w:r>
      <w:proofErr w:type="spellEnd"/>
      <w:r w:rsidRPr="00EF1015">
        <w:rPr>
          <w:rFonts w:ascii="Times New Roman" w:eastAsia="Times New Roman" w:hAnsi="Times New Roman" w:cs="Times New Roman"/>
          <w:sz w:val="24"/>
          <w:szCs w:val="24"/>
        </w:rPr>
        <w:t>, 2004).</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The research also draws upon cultural tourism theory, sustainable development frameworks, and digital innovation literature to build a comprehensive reinvention model. The triangulation of theories ensures that the analysis remains holistic and actionable. Ethical considerations include acknowledgment of all sources and objective interpretation of secondary data without bias.</w:t>
      </w:r>
    </w:p>
    <w:p w:rsidR="00EF1015" w:rsidRPr="00EF1015" w:rsidRDefault="00EF1015" w:rsidP="00EF1015">
      <w:p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While primary data like surveys or interviews could have enhanced the study, the breadth of existing literature and policy reviews allows for a robust qualitative understanding. Future studies may incorporate empirical data through focus groups, stakeholder interviews, and tourist feedback surveys to validate and refine the recommendations proposed here.</w:t>
      </w:r>
    </w:p>
    <w:p w:rsidR="00EF1015" w:rsidRDefault="00EF1015" w:rsidP="0081643C">
      <w:pPr>
        <w:pStyle w:val="Heading2"/>
        <w:rPr>
          <w:rStyle w:val="Strong"/>
          <w:b/>
          <w:bCs/>
        </w:rPr>
      </w:pPr>
    </w:p>
    <w:p w:rsidR="0081643C" w:rsidRDefault="0081643C" w:rsidP="0081643C">
      <w:pPr>
        <w:pStyle w:val="Heading2"/>
      </w:pPr>
      <w:r>
        <w:rPr>
          <w:rStyle w:val="Strong"/>
          <w:b/>
          <w:bCs/>
        </w:rPr>
        <w:t>5. Findings</w:t>
      </w:r>
    </w:p>
    <w:p w:rsidR="0081643C" w:rsidRDefault="0081643C" w:rsidP="0081643C">
      <w:pPr>
        <w:pStyle w:val="Heading3"/>
      </w:pPr>
      <w:r>
        <w:t>5.1 Current TALC Stage: Stagnation</w:t>
      </w:r>
    </w:p>
    <w:p w:rsidR="0081643C" w:rsidRDefault="0081643C" w:rsidP="0081643C">
      <w:pPr>
        <w:pStyle w:val="NormalWeb"/>
        <w:numPr>
          <w:ilvl w:val="0"/>
          <w:numId w:val="23"/>
        </w:numPr>
      </w:pPr>
      <w:r>
        <w:t xml:space="preserve">Overconcentration of visitors at the </w:t>
      </w:r>
      <w:proofErr w:type="spellStart"/>
      <w:r>
        <w:t>Taj</w:t>
      </w:r>
      <w:proofErr w:type="spellEnd"/>
      <w:r>
        <w:t xml:space="preserve"> </w:t>
      </w:r>
      <w:proofErr w:type="spellStart"/>
      <w:r>
        <w:t>Mahal</w:t>
      </w:r>
      <w:proofErr w:type="spellEnd"/>
    </w:p>
    <w:p w:rsidR="0081643C" w:rsidRDefault="0081643C" w:rsidP="0081643C">
      <w:pPr>
        <w:pStyle w:val="NormalWeb"/>
        <w:numPr>
          <w:ilvl w:val="0"/>
          <w:numId w:val="23"/>
        </w:numPr>
      </w:pPr>
      <w:r>
        <w:t>Short average stay (~0.5 to 1.2 days)</w:t>
      </w:r>
    </w:p>
    <w:p w:rsidR="0081643C" w:rsidRDefault="0081643C" w:rsidP="0081643C">
      <w:pPr>
        <w:pStyle w:val="NormalWeb"/>
        <w:numPr>
          <w:ilvl w:val="0"/>
          <w:numId w:val="23"/>
        </w:numPr>
      </w:pPr>
      <w:r>
        <w:t>Neglect of non-monumental assets</w:t>
      </w:r>
    </w:p>
    <w:p w:rsidR="0081643C" w:rsidRDefault="0081643C" w:rsidP="0081643C">
      <w:pPr>
        <w:pStyle w:val="NormalWeb"/>
        <w:numPr>
          <w:ilvl w:val="0"/>
          <w:numId w:val="23"/>
        </w:numPr>
      </w:pPr>
      <w:r>
        <w:t>Minimal engagement with local communities</w:t>
      </w:r>
    </w:p>
    <w:p w:rsidR="0081643C" w:rsidRDefault="0081643C" w:rsidP="0081643C">
      <w:pPr>
        <w:pStyle w:val="NormalWeb"/>
        <w:numPr>
          <w:ilvl w:val="0"/>
          <w:numId w:val="23"/>
        </w:numPr>
      </w:pPr>
      <w:r>
        <w:t>Lack of after-dark tourism</w:t>
      </w:r>
    </w:p>
    <w:p w:rsidR="0081643C" w:rsidRDefault="0081643C" w:rsidP="0081643C">
      <w:pPr>
        <w:pStyle w:val="Heading3"/>
      </w:pPr>
      <w:r>
        <w:t>5.2 Internal Challenges</w:t>
      </w:r>
    </w:p>
    <w:p w:rsidR="0081643C" w:rsidRDefault="0081643C" w:rsidP="0081643C">
      <w:pPr>
        <w:pStyle w:val="NormalWeb"/>
        <w:numPr>
          <w:ilvl w:val="0"/>
          <w:numId w:val="24"/>
        </w:numPr>
      </w:pPr>
      <w:r>
        <w:t>Poor signage and accessibility to secondary sites</w:t>
      </w:r>
    </w:p>
    <w:p w:rsidR="0081643C" w:rsidRDefault="0081643C" w:rsidP="0081643C">
      <w:pPr>
        <w:pStyle w:val="NormalWeb"/>
        <w:numPr>
          <w:ilvl w:val="0"/>
          <w:numId w:val="24"/>
        </w:numPr>
      </w:pPr>
      <w:r>
        <w:t>Underinvestment in regional roads and trails</w:t>
      </w:r>
    </w:p>
    <w:p w:rsidR="0081643C" w:rsidRDefault="0081643C" w:rsidP="0081643C">
      <w:pPr>
        <w:pStyle w:val="NormalWeb"/>
        <w:numPr>
          <w:ilvl w:val="0"/>
          <w:numId w:val="24"/>
        </w:numPr>
      </w:pPr>
      <w:r>
        <w:lastRenderedPageBreak/>
        <w:t xml:space="preserve">Commercialization around </w:t>
      </w:r>
      <w:proofErr w:type="spellStart"/>
      <w:r>
        <w:t>Taj</w:t>
      </w:r>
      <w:proofErr w:type="spellEnd"/>
      <w:r>
        <w:t xml:space="preserve"> </w:t>
      </w:r>
      <w:proofErr w:type="spellStart"/>
      <w:r>
        <w:t>Mahal</w:t>
      </w:r>
      <w:proofErr w:type="spellEnd"/>
      <w:r>
        <w:t xml:space="preserve"> diminishing heritage atmosphere</w:t>
      </w:r>
    </w:p>
    <w:p w:rsidR="0081643C" w:rsidRDefault="0081643C" w:rsidP="0081643C">
      <w:pPr>
        <w:pStyle w:val="NormalWeb"/>
        <w:numPr>
          <w:ilvl w:val="0"/>
          <w:numId w:val="24"/>
        </w:numPr>
      </w:pPr>
      <w:r>
        <w:t>Limited interpretation of history beyond architecture</w:t>
      </w:r>
    </w:p>
    <w:p w:rsidR="0081643C" w:rsidRDefault="0081643C" w:rsidP="0081643C">
      <w:pPr>
        <w:pStyle w:val="Heading3"/>
      </w:pPr>
      <w:r>
        <w:t>5.3 External Challenges</w:t>
      </w:r>
    </w:p>
    <w:p w:rsidR="0081643C" w:rsidRDefault="0081643C" w:rsidP="0081643C">
      <w:pPr>
        <w:pStyle w:val="NormalWeb"/>
        <w:numPr>
          <w:ilvl w:val="0"/>
          <w:numId w:val="25"/>
        </w:numPr>
      </w:pPr>
      <w:r>
        <w:t xml:space="preserve">Competition from </w:t>
      </w:r>
      <w:proofErr w:type="spellStart"/>
      <w:r>
        <w:t>Jaipur</w:t>
      </w:r>
      <w:proofErr w:type="spellEnd"/>
      <w:r>
        <w:t>, Delhi, and other Golden Triangle circuits</w:t>
      </w:r>
    </w:p>
    <w:p w:rsidR="0081643C" w:rsidRDefault="0081643C" w:rsidP="0081643C">
      <w:pPr>
        <w:pStyle w:val="NormalWeb"/>
        <w:numPr>
          <w:ilvl w:val="0"/>
          <w:numId w:val="25"/>
        </w:numPr>
      </w:pPr>
      <w:r>
        <w:t>Seasonal weather extremes limiting tourist comfort</w:t>
      </w:r>
    </w:p>
    <w:p w:rsidR="0081643C" w:rsidRDefault="0081643C" w:rsidP="0081643C">
      <w:pPr>
        <w:pStyle w:val="NormalWeb"/>
        <w:numPr>
          <w:ilvl w:val="0"/>
          <w:numId w:val="25"/>
        </w:numPr>
      </w:pPr>
      <w:r>
        <w:t>Lack of awareness about broader offerings</w:t>
      </w:r>
    </w:p>
    <w:p w:rsidR="00EF1015" w:rsidRDefault="00EF1015" w:rsidP="0081643C">
      <w:pPr>
        <w:pStyle w:val="Heading2"/>
        <w:rPr>
          <w:rStyle w:val="Strong"/>
          <w:b/>
          <w:bCs/>
        </w:rPr>
      </w:pPr>
    </w:p>
    <w:p w:rsidR="00360B0F" w:rsidRDefault="00360B0F" w:rsidP="00360B0F">
      <w:pPr>
        <w:pStyle w:val="Heading2"/>
      </w:pPr>
      <w:r>
        <w:rPr>
          <w:rStyle w:val="Strong"/>
          <w:b/>
          <w:bCs/>
        </w:rPr>
        <w:t>6. Discussion</w:t>
      </w:r>
    </w:p>
    <w:p w:rsidR="00360B0F" w:rsidRDefault="00360B0F" w:rsidP="00360B0F">
      <w:pPr>
        <w:pStyle w:val="Heading3"/>
      </w:pPr>
      <w:r>
        <w:rPr>
          <w:rStyle w:val="Strong"/>
          <w:b/>
          <w:bCs/>
        </w:rPr>
        <w:t>6.1 Reinvention Strategy Overview</w:t>
      </w:r>
    </w:p>
    <w:p w:rsidR="00360B0F" w:rsidRDefault="00360B0F" w:rsidP="00360B0F">
      <w:pPr>
        <w:pStyle w:val="NormalWeb"/>
      </w:pPr>
      <w:r>
        <w:t xml:space="preserve">Agra’s current status as a globally recognized yet underperforming tourist city necessitates a bold and strategic reinvention. The city’s identity has long been dominated by the majestic </w:t>
      </w:r>
      <w:proofErr w:type="spellStart"/>
      <w:r>
        <w:t>Taj</w:t>
      </w:r>
      <w:proofErr w:type="spellEnd"/>
      <w:r>
        <w:t xml:space="preserve"> </w:t>
      </w:r>
      <w:proofErr w:type="spellStart"/>
      <w:r>
        <w:t>Mahal</w:t>
      </w:r>
      <w:proofErr w:type="spellEnd"/>
      <w:r>
        <w:t>, which has overshadowed its broader historical, cultural, and community offerings. While this world-renowned monument continues to draw crowds, its dominance in Agra’s tourism narrative has also led to monoculture tourism and stagnation—conditions that the TALC model identifies as indicators of a destination nearing decline (Butler, 1980). As visitor numbers plateau and the city's infrastructure struggles to accommodate mass tourism, there is growing consensus among scholars and practitioners that Agra needs to diversify its tourism portfolio. Reinvention must include reframing Agra not as a “one-monument stopover,” but as a multidimensional tourism destination that invites longer stays, repeat visits, and deeper cultural immersion (Richards, 2011; Sharma &amp; Gupta, 2019).</w:t>
      </w:r>
    </w:p>
    <w:p w:rsidR="00360B0F" w:rsidRDefault="00360B0F" w:rsidP="00360B0F">
      <w:pPr>
        <w:pStyle w:val="NormalWeb"/>
      </w:pPr>
      <w:r>
        <w:t xml:space="preserve">This reinvention calls for a radical shift in how Agra is imagined, experienced, and managed. It demands the integration of multiple tourism themes—such as </w:t>
      </w:r>
      <w:proofErr w:type="spellStart"/>
      <w:r>
        <w:t>Mughal</w:t>
      </w:r>
      <w:proofErr w:type="spellEnd"/>
      <w:r>
        <w:t xml:space="preserve"> heritage, rural life, gastronomy, community traditions, wellness, and smart infrastructure—into a cohesive regional experience. Such a transformation would not only reposition Agra within the national and global tourism circuits but also create ripple effects in terms of inclusive economic development. For instance, embracing a community-based approach can empower artisans, women, and youth by including them in storytelling, entrepreneurship, and destination branding (</w:t>
      </w:r>
      <w:proofErr w:type="spellStart"/>
      <w:r>
        <w:t>Scheyvens</w:t>
      </w:r>
      <w:proofErr w:type="spellEnd"/>
      <w:r>
        <w:t xml:space="preserve">, 1999; George &amp; George, 2004). Reinvention also requires deliberate collaboration among public agencies, private operators, NGOs, and </w:t>
      </w:r>
      <w:proofErr w:type="gramStart"/>
      <w:r>
        <w:t>residents, ensuring that tourism development is</w:t>
      </w:r>
      <w:proofErr w:type="gramEnd"/>
      <w:r>
        <w:t xml:space="preserve"> not only sustainable but also co-created and locally rooted. Ultimately, the objective is to transform Agra from a high-volume, low-value site into a high-value, culturally rich, and socially inclusive tourism destination.</w:t>
      </w:r>
    </w:p>
    <w:p w:rsidR="00360B0F" w:rsidRDefault="00360B0F" w:rsidP="00360B0F"/>
    <w:p w:rsidR="00360B0F" w:rsidRDefault="00360B0F" w:rsidP="00360B0F">
      <w:pPr>
        <w:pStyle w:val="Heading3"/>
      </w:pPr>
      <w:r>
        <w:rPr>
          <w:rStyle w:val="Strong"/>
          <w:b/>
          <w:bCs/>
        </w:rPr>
        <w:t>6.2 Proposed Innovations</w:t>
      </w:r>
    </w:p>
    <w:p w:rsidR="00360B0F" w:rsidRDefault="00360B0F" w:rsidP="00360B0F">
      <w:pPr>
        <w:pStyle w:val="Heading4"/>
      </w:pPr>
      <w:r>
        <w:rPr>
          <w:rStyle w:val="Strong"/>
          <w:b/>
          <w:bCs/>
        </w:rPr>
        <w:lastRenderedPageBreak/>
        <w:t xml:space="preserve">6.2.1 Integrated </w:t>
      </w:r>
      <w:proofErr w:type="spellStart"/>
      <w:r>
        <w:rPr>
          <w:rStyle w:val="Strong"/>
          <w:b/>
          <w:bCs/>
        </w:rPr>
        <w:t>Mughal</w:t>
      </w:r>
      <w:proofErr w:type="spellEnd"/>
      <w:r>
        <w:rPr>
          <w:rStyle w:val="Strong"/>
          <w:b/>
          <w:bCs/>
        </w:rPr>
        <w:t xml:space="preserve"> Heritage Trail</w:t>
      </w:r>
    </w:p>
    <w:p w:rsidR="00360B0F" w:rsidRDefault="00360B0F" w:rsidP="00360B0F">
      <w:pPr>
        <w:pStyle w:val="NormalWeb"/>
      </w:pPr>
      <w:r>
        <w:t xml:space="preserve">One of the most promising avenues for Agra’s tourism revitalization lies in the development of a well-connected and </w:t>
      </w:r>
      <w:proofErr w:type="spellStart"/>
      <w:r>
        <w:t>narratively</w:t>
      </w:r>
      <w:proofErr w:type="spellEnd"/>
      <w:r>
        <w:t xml:space="preserve"> rich </w:t>
      </w:r>
      <w:proofErr w:type="spellStart"/>
      <w:r>
        <w:t>Mughal</w:t>
      </w:r>
      <w:proofErr w:type="spellEnd"/>
      <w:r>
        <w:t xml:space="preserve"> Heritage Trail. This trail would integrate key </w:t>
      </w:r>
      <w:proofErr w:type="spellStart"/>
      <w:r>
        <w:t>Mughal</w:t>
      </w:r>
      <w:proofErr w:type="spellEnd"/>
      <w:r>
        <w:t xml:space="preserve">-era landmarks—such as Agra Fort, </w:t>
      </w:r>
      <w:proofErr w:type="spellStart"/>
      <w:r>
        <w:t>Fatehpur</w:t>
      </w:r>
      <w:proofErr w:type="spellEnd"/>
      <w:r>
        <w:t xml:space="preserve"> </w:t>
      </w:r>
      <w:proofErr w:type="spellStart"/>
      <w:r>
        <w:t>Sikri</w:t>
      </w:r>
      <w:proofErr w:type="spellEnd"/>
      <w:r>
        <w:t xml:space="preserve">, </w:t>
      </w:r>
      <w:proofErr w:type="spellStart"/>
      <w:r>
        <w:t>Sikandra</w:t>
      </w:r>
      <w:proofErr w:type="spellEnd"/>
      <w:r>
        <w:t xml:space="preserve"> (Akbar’s Tomb), </w:t>
      </w:r>
      <w:proofErr w:type="spellStart"/>
      <w:r>
        <w:t>Mehtab</w:t>
      </w:r>
      <w:proofErr w:type="spellEnd"/>
      <w:r>
        <w:t xml:space="preserve"> </w:t>
      </w:r>
      <w:proofErr w:type="spellStart"/>
      <w:r>
        <w:t>Bagh</w:t>
      </w:r>
      <w:proofErr w:type="spellEnd"/>
      <w:r>
        <w:t xml:space="preserve">, and </w:t>
      </w:r>
      <w:proofErr w:type="spellStart"/>
      <w:r>
        <w:t>Itimad-ud-Daulah</w:t>
      </w:r>
      <w:proofErr w:type="spellEnd"/>
      <w:r>
        <w:t xml:space="preserve">—into a thematic route that tells the story of </w:t>
      </w:r>
      <w:proofErr w:type="spellStart"/>
      <w:r>
        <w:t>Mughal</w:t>
      </w:r>
      <w:proofErr w:type="spellEnd"/>
      <w:r>
        <w:t xml:space="preserve"> art, architecture, and imperial culture (Asher, 2006; Bhatia, 2011). These sites, though historically significant, are often under-visited and lack the interpretive infrastructure needed to enhance visitor engagement. By </w:t>
      </w:r>
      <w:proofErr w:type="spellStart"/>
      <w:r>
        <w:t>curating</w:t>
      </w:r>
      <w:proofErr w:type="spellEnd"/>
      <w:r>
        <w:t xml:space="preserve"> these sites through audio-guided walking trails, augmented reality storytelling, and multi-language heritage narratives, the city can create an immersive experience that extends well beyond the </w:t>
      </w:r>
      <w:proofErr w:type="spellStart"/>
      <w:r>
        <w:t>Taj</w:t>
      </w:r>
      <w:proofErr w:type="spellEnd"/>
      <w:r>
        <w:t xml:space="preserve"> </w:t>
      </w:r>
      <w:proofErr w:type="spellStart"/>
      <w:r>
        <w:t>Mahal</w:t>
      </w:r>
      <w:proofErr w:type="spellEnd"/>
      <w:r>
        <w:t>.</w:t>
      </w:r>
    </w:p>
    <w:p w:rsidR="00360B0F" w:rsidRDefault="00360B0F" w:rsidP="00360B0F">
      <w:pPr>
        <w:pStyle w:val="NormalWeb"/>
      </w:pPr>
      <w:r>
        <w:t>To further activate these spaces, heritage tourism events such as “</w:t>
      </w:r>
      <w:proofErr w:type="spellStart"/>
      <w:r>
        <w:t>Mughal</w:t>
      </w:r>
      <w:proofErr w:type="spellEnd"/>
      <w:r>
        <w:t xml:space="preserve"> Nights” can be introduced. These light and sound shows, similar to those implemented at </w:t>
      </w:r>
      <w:proofErr w:type="spellStart"/>
      <w:r>
        <w:t>Humayun’s</w:t>
      </w:r>
      <w:proofErr w:type="spellEnd"/>
      <w:r>
        <w:t xml:space="preserve"> Tomb and Red Fort, bring monuments to life after sunset through music, narration, and visual projection (Singh, 2016). Such programming not only stimulates the evening economy but also diversifies the tourist flow across different hours of the day. Moreover, these experiences appeal to both domestic and international tourists seeking cultural enrichment through storytelling. Integrating local historians, dramatists, and digital artists in these projects can also provide employment opportunities while maintaining historical authenticity. The </w:t>
      </w:r>
      <w:proofErr w:type="spellStart"/>
      <w:r>
        <w:t>Mughal</w:t>
      </w:r>
      <w:proofErr w:type="spellEnd"/>
      <w:r>
        <w:t xml:space="preserve"> Heritage Trail thus represents a holistic strategy for spatial, cultural, and economic dispersion of tourism in Agra.</w:t>
      </w:r>
    </w:p>
    <w:p w:rsidR="00360B0F" w:rsidRDefault="00360B0F" w:rsidP="00360B0F">
      <w:pPr>
        <w:pStyle w:val="Heading4"/>
      </w:pPr>
      <w:r>
        <w:rPr>
          <w:rStyle w:val="Strong"/>
          <w:b/>
          <w:bCs/>
        </w:rPr>
        <w:t>6.2.2 Rural and Culinary Tourism Circuit</w:t>
      </w:r>
    </w:p>
    <w:p w:rsidR="00360B0F" w:rsidRDefault="00360B0F" w:rsidP="00360B0F">
      <w:pPr>
        <w:pStyle w:val="NormalWeb"/>
      </w:pPr>
      <w:r>
        <w:t xml:space="preserve">Agra’s surrounding rural regions, including villages like </w:t>
      </w:r>
      <w:proofErr w:type="spellStart"/>
      <w:r>
        <w:t>Kachhpura</w:t>
      </w:r>
      <w:proofErr w:type="spellEnd"/>
      <w:r>
        <w:t xml:space="preserve">, </w:t>
      </w:r>
      <w:proofErr w:type="spellStart"/>
      <w:r>
        <w:t>Korai</w:t>
      </w:r>
      <w:proofErr w:type="spellEnd"/>
      <w:r>
        <w:t xml:space="preserve">, and </w:t>
      </w:r>
      <w:proofErr w:type="spellStart"/>
      <w:r>
        <w:t>Nagla</w:t>
      </w:r>
      <w:proofErr w:type="spellEnd"/>
      <w:r>
        <w:t xml:space="preserve">, offer fertile ground for developing a vibrant rural and culinary tourism circuit. These villages are rich in folklore, craft traditions, agriculture, and </w:t>
      </w:r>
      <w:proofErr w:type="spellStart"/>
      <w:r>
        <w:t>Mughal</w:t>
      </w:r>
      <w:proofErr w:type="spellEnd"/>
      <w:r>
        <w:t xml:space="preserve">-era legacies that remain underexplored. Developing farm-stays and rural </w:t>
      </w:r>
      <w:proofErr w:type="spellStart"/>
      <w:r>
        <w:t>homestays</w:t>
      </w:r>
      <w:proofErr w:type="spellEnd"/>
      <w:r>
        <w:t xml:space="preserve"> in these regions would enable tourists to experience local life—ranging from traditional farming methods and pottery making to village festivals and folk performances (</w:t>
      </w:r>
      <w:proofErr w:type="spellStart"/>
      <w:r>
        <w:t>Scheyvens</w:t>
      </w:r>
      <w:proofErr w:type="spellEnd"/>
      <w:r>
        <w:t xml:space="preserve">, 1999; Timothy &amp; </w:t>
      </w:r>
      <w:proofErr w:type="spellStart"/>
      <w:r>
        <w:t>Nyaupane</w:t>
      </w:r>
      <w:proofErr w:type="spellEnd"/>
      <w:r>
        <w:t xml:space="preserve">, 2009). These immersive experiences align with the growing global trend toward “slow tourism,” where travelers seek authenticity, local connection, and </w:t>
      </w:r>
      <w:proofErr w:type="gramStart"/>
      <w:r>
        <w:t>mindful</w:t>
      </w:r>
      <w:proofErr w:type="gramEnd"/>
      <w:r>
        <w:t xml:space="preserve"> exploration.</w:t>
      </w:r>
    </w:p>
    <w:p w:rsidR="00360B0F" w:rsidRDefault="00360B0F" w:rsidP="00360B0F">
      <w:pPr>
        <w:pStyle w:val="NormalWeb"/>
      </w:pPr>
      <w:r>
        <w:t xml:space="preserve">Culinary tourism, in particular, holds immense untapped potential in Agra. The region’s historical cuisine—shaped by </w:t>
      </w:r>
      <w:proofErr w:type="spellStart"/>
      <w:r>
        <w:t>Mughal</w:t>
      </w:r>
      <w:proofErr w:type="spellEnd"/>
      <w:r>
        <w:t xml:space="preserve">, </w:t>
      </w:r>
      <w:proofErr w:type="spellStart"/>
      <w:r>
        <w:t>Braj</w:t>
      </w:r>
      <w:proofErr w:type="spellEnd"/>
      <w:r>
        <w:t xml:space="preserve">, and Awadhi culinary styles—can be transformed into a powerful tourist draw. Initiatives such as </w:t>
      </w:r>
      <w:proofErr w:type="spellStart"/>
      <w:r>
        <w:t>Mughal</w:t>
      </w:r>
      <w:proofErr w:type="spellEnd"/>
      <w:r>
        <w:t xml:space="preserve"> </w:t>
      </w:r>
      <w:proofErr w:type="spellStart"/>
      <w:r>
        <w:t>thali</w:t>
      </w:r>
      <w:proofErr w:type="spellEnd"/>
      <w:r>
        <w:t xml:space="preserve"> tasting sessions, spice tours, and cooking classes hosted by local women can generate income, empower rural communities, and preserve intangible culinary heritage (Sharma &amp; </w:t>
      </w:r>
      <w:proofErr w:type="spellStart"/>
      <w:r>
        <w:t>Verma</w:t>
      </w:r>
      <w:proofErr w:type="spellEnd"/>
      <w:r>
        <w:t xml:space="preserve">, 2020). Training rural women in culinary storytelling and entrepreneurship would not only strengthen their economic agency but also ensure that tourism revenue circulates within local households. Monthly food festivals and pop-up markets featuring regional delicacies like </w:t>
      </w:r>
      <w:proofErr w:type="spellStart"/>
      <w:r>
        <w:t>Bedai</w:t>
      </w:r>
      <w:proofErr w:type="spellEnd"/>
      <w:r>
        <w:t xml:space="preserve">, </w:t>
      </w:r>
      <w:proofErr w:type="spellStart"/>
      <w:r>
        <w:t>Dalmoth</w:t>
      </w:r>
      <w:proofErr w:type="spellEnd"/>
      <w:r>
        <w:t xml:space="preserve">, and </w:t>
      </w:r>
      <w:proofErr w:type="spellStart"/>
      <w:r>
        <w:t>Mughal</w:t>
      </w:r>
      <w:proofErr w:type="spellEnd"/>
      <w:r>
        <w:t xml:space="preserve"> kebabs can attract domestic tourists and food bloggers alike, turning culinary traditions into cultural capital. This circuit, when marketed effectively, can complement the heritage tourism strategy and offer a holistic, sensorial experience.</w:t>
      </w:r>
    </w:p>
    <w:p w:rsidR="00360B0F" w:rsidRDefault="00360B0F" w:rsidP="00360B0F">
      <w:pPr>
        <w:pStyle w:val="Heading4"/>
      </w:pPr>
      <w:r>
        <w:rPr>
          <w:rStyle w:val="Strong"/>
          <w:b/>
          <w:bCs/>
        </w:rPr>
        <w:lastRenderedPageBreak/>
        <w:t>6.2.3 Smart Tourism Infrastructure</w:t>
      </w:r>
    </w:p>
    <w:p w:rsidR="00360B0F" w:rsidRDefault="00360B0F" w:rsidP="00360B0F">
      <w:pPr>
        <w:pStyle w:val="NormalWeb"/>
      </w:pPr>
      <w:r>
        <w:t>In the digital age, a smart tourism ecosystem is not just a value-add but a necessity. Agra’s reinvention must include robust investment in smart infrastructure to meet the expectations of tech-savvy global travelers. Developing an integrated Agra Tourism App with features such as real-time booking, interactive monument maps, AR overlays, QR-coded signboards, digital crowd management tools, and multilingual support would significantly enhance the visitor experience (</w:t>
      </w:r>
      <w:proofErr w:type="spellStart"/>
      <w:r>
        <w:t>Gretzel</w:t>
      </w:r>
      <w:proofErr w:type="spellEnd"/>
      <w:r>
        <w:t xml:space="preserve"> et al., 2015; </w:t>
      </w:r>
      <w:proofErr w:type="spellStart"/>
      <w:r>
        <w:t>Buhalis</w:t>
      </w:r>
      <w:proofErr w:type="spellEnd"/>
      <w:r>
        <w:t xml:space="preserve"> &amp; </w:t>
      </w:r>
      <w:proofErr w:type="spellStart"/>
      <w:r>
        <w:t>Amaranggana</w:t>
      </w:r>
      <w:proofErr w:type="spellEnd"/>
      <w:r>
        <w:t>, 2015). These tools reduce friction, prevent crowding, and personalize the tourist journey—allowing travelers to curate their experiences based on interests and time constraints.</w:t>
      </w:r>
    </w:p>
    <w:p w:rsidR="00360B0F" w:rsidRDefault="00360B0F" w:rsidP="00360B0F">
      <w:pPr>
        <w:pStyle w:val="NormalWeb"/>
      </w:pPr>
      <w:r>
        <w:t>In addition to digital upgrades, physical infrastructure must also evolve to support sustainable and accessible tourism. Smart transit options such as e-rickshaws, guided e-bikes, and hop-on-hop-off buses can facilitate eco-friendly last-mile connectivity to heritage and rural sites (Zhang et al., 2019). Installing GPS-enabled digital signage at monuments, transport hubs, and tourist hotspots helps in navigation and information dissemination. Furthermore, these systems can collect anonymous data on tourist behavior and preferences, enabling tourism managers to make evidence-based decisions. Integrating smart solutions will not only increase visitor satisfaction but also position Agra as a forward-looking destination aligned with global sustainable tourism standards.</w:t>
      </w:r>
    </w:p>
    <w:p w:rsidR="00360B0F" w:rsidRDefault="00360B0F" w:rsidP="00360B0F">
      <w:pPr>
        <w:pStyle w:val="Heading4"/>
      </w:pPr>
      <w:r>
        <w:rPr>
          <w:rStyle w:val="Strong"/>
          <w:b/>
          <w:bCs/>
        </w:rPr>
        <w:t>6.2.4 Cultural Repositioning and Branding</w:t>
      </w:r>
    </w:p>
    <w:p w:rsidR="00360B0F" w:rsidRDefault="00360B0F" w:rsidP="00360B0F">
      <w:pPr>
        <w:pStyle w:val="NormalWeb"/>
      </w:pPr>
      <w:r>
        <w:t xml:space="preserve">A successful reinvention of Agra requires not just infrastructural changes but also a deep rebranding effort. The current perception of Agra as a “one-monument city” must be challenged through narrative repositioning and marketing strategies that emphasize its cultural diversity, living traditions, and historical depth. Branding Agra as </w:t>
      </w:r>
      <w:r>
        <w:rPr>
          <w:rStyle w:val="Strong"/>
        </w:rPr>
        <w:t xml:space="preserve">“Beyond the </w:t>
      </w:r>
      <w:proofErr w:type="spellStart"/>
      <w:r>
        <w:rPr>
          <w:rStyle w:val="Strong"/>
        </w:rPr>
        <w:t>Taj</w:t>
      </w:r>
      <w:proofErr w:type="spellEnd"/>
      <w:r>
        <w:rPr>
          <w:rStyle w:val="Strong"/>
        </w:rPr>
        <w:t xml:space="preserve">: Heart of </w:t>
      </w:r>
      <w:proofErr w:type="spellStart"/>
      <w:r>
        <w:rPr>
          <w:rStyle w:val="Strong"/>
        </w:rPr>
        <w:t>Mughal</w:t>
      </w:r>
      <w:proofErr w:type="spellEnd"/>
      <w:r>
        <w:rPr>
          <w:rStyle w:val="Strong"/>
        </w:rPr>
        <w:t xml:space="preserve"> India”</w:t>
      </w:r>
      <w:r>
        <w:t xml:space="preserve"> signals a shift from a monument-centric identity to a broader cultural geography (Richards, 2011). This repositioning must be backed by content-rich campaigns across digital and traditional media platforms.</w:t>
      </w:r>
    </w:p>
    <w:p w:rsidR="00360B0F" w:rsidRDefault="00360B0F" w:rsidP="00360B0F">
      <w:pPr>
        <w:pStyle w:val="NormalWeb"/>
      </w:pPr>
      <w:r>
        <w:t xml:space="preserve">Leveraging partnerships with travel influencers, heritage artists, and digital creators can help project Agra’s new image to a global audience. Content like mini-documentaries, </w:t>
      </w:r>
      <w:proofErr w:type="spellStart"/>
      <w:r>
        <w:t>Instagram</w:t>
      </w:r>
      <w:proofErr w:type="spellEnd"/>
      <w:r>
        <w:t xml:space="preserve"> reels, and interactive blogs can narrate lesser-known stories from Agra’s past, showcase its crafts and cuisine, and highlight offbeat experiences. Visual storytelling through </w:t>
      </w:r>
      <w:proofErr w:type="spellStart"/>
      <w:r>
        <w:t>Instagrammable</w:t>
      </w:r>
      <w:proofErr w:type="spellEnd"/>
      <w:r>
        <w:t xml:space="preserve"> zones at heritage sites, art murals in old neighborhoods, and storytelling kiosks with holographic displays can engage millennial and Gen Z travelers who seek unique, shareable experiences (</w:t>
      </w:r>
      <w:proofErr w:type="spellStart"/>
      <w:r>
        <w:t>Gretzel</w:t>
      </w:r>
      <w:proofErr w:type="spellEnd"/>
      <w:r>
        <w:t xml:space="preserve"> et al., 2015). A unified brand identity that connects history, innovation, and community will enhance Agra’s competitive edge in India’s evolving tourism landscape.</w:t>
      </w:r>
    </w:p>
    <w:p w:rsidR="00360B0F" w:rsidRDefault="00360B0F" w:rsidP="00360B0F">
      <w:pPr>
        <w:pStyle w:val="Heading4"/>
      </w:pPr>
      <w:r>
        <w:rPr>
          <w:rStyle w:val="Strong"/>
          <w:b/>
          <w:bCs/>
        </w:rPr>
        <w:t>6.2.5 Community Co-creation</w:t>
      </w:r>
    </w:p>
    <w:p w:rsidR="00360B0F" w:rsidRDefault="00360B0F" w:rsidP="00360B0F">
      <w:pPr>
        <w:pStyle w:val="NormalWeb"/>
      </w:pPr>
      <w:r>
        <w:t xml:space="preserve">Community involvement is not only an ethical imperative but also a practical strategy for ensuring long-term sustainability and authenticity in tourism. Empowering local artisans—especially those skilled in marble inlay, </w:t>
      </w:r>
      <w:proofErr w:type="spellStart"/>
      <w:r>
        <w:t>zardozi</w:t>
      </w:r>
      <w:proofErr w:type="spellEnd"/>
      <w:r>
        <w:t xml:space="preserve">, carpet weaving, and leather craft—through maker spaces, product incubation labs, and e-commerce platforms can create sustainable </w:t>
      </w:r>
      <w:r>
        <w:lastRenderedPageBreak/>
        <w:t>livelihood opportunities (Timothy &amp; Boyd, 2003). These spaces can also serve as interactive zones for tourists to learn, co-create, and purchase directly, ensuring value addition across the supply chain.</w:t>
      </w:r>
    </w:p>
    <w:p w:rsidR="00360B0F" w:rsidRDefault="00360B0F" w:rsidP="00360B0F">
      <w:pPr>
        <w:pStyle w:val="NormalWeb"/>
      </w:pPr>
      <w:r>
        <w:t>Youth engagement is equally vital. Partnering with local universities, NGOs, and tour operators to train young people in heritage interpretation, foreign language skills, and digital tourism tools can foster a new generation of locally rooted tourism professionals (George &amp; George, 2004). Educational tourism programs, such as history walks led by schoolchildren or storytelling sessions by community elders, can promote intergenerational learning while also enhancing the visitor experience. By turning citizens into stewards of their heritage, community co-creation ensures that tourism development reflects local aspirations and retains cultural integrity.</w:t>
      </w:r>
    </w:p>
    <w:p w:rsidR="00360B0F" w:rsidRDefault="00360B0F" w:rsidP="00360B0F"/>
    <w:p w:rsidR="00360B0F" w:rsidRDefault="00360B0F" w:rsidP="00360B0F">
      <w:pPr>
        <w:pStyle w:val="Heading2"/>
      </w:pPr>
      <w:r>
        <w:rPr>
          <w:rStyle w:val="Strong"/>
          <w:b/>
          <w:bCs/>
        </w:rPr>
        <w:t>7. Conclusion</w:t>
      </w:r>
    </w:p>
    <w:p w:rsidR="00360B0F" w:rsidRDefault="00360B0F" w:rsidP="00360B0F">
      <w:pPr>
        <w:pStyle w:val="NormalWeb"/>
      </w:pPr>
      <w:r>
        <w:t xml:space="preserve">Agra’s tourism stagnation is emblematic of a deeper issue faced by many heritage cities worldwide—overreliance on a single iconic attraction at the expense of broader cultural and community engagement. While the </w:t>
      </w:r>
      <w:proofErr w:type="spellStart"/>
      <w:r>
        <w:t>Taj</w:t>
      </w:r>
      <w:proofErr w:type="spellEnd"/>
      <w:r>
        <w:t xml:space="preserve"> </w:t>
      </w:r>
      <w:proofErr w:type="spellStart"/>
      <w:r>
        <w:t>Mahal</w:t>
      </w:r>
      <w:proofErr w:type="spellEnd"/>
      <w:r>
        <w:t xml:space="preserve"> remains an unparalleled marvel of architecture and emotion, it cannot bear the weight of Agra’s entire tourism economy. The current state of over-tourism around the </w:t>
      </w:r>
      <w:proofErr w:type="spellStart"/>
      <w:r>
        <w:t>Taj</w:t>
      </w:r>
      <w:proofErr w:type="spellEnd"/>
      <w:r>
        <w:t xml:space="preserve">, limited night-time economy, and underutilized heritage sites has led to reduced tourist satisfaction, short visitor stays, and economic leakage, all of which place Agra firmly in the stagnation stage of the Tourism Area Life Cycle model (Butler, 1980; Jain &amp; </w:t>
      </w:r>
      <w:proofErr w:type="spellStart"/>
      <w:r>
        <w:t>Trivedi</w:t>
      </w:r>
      <w:proofErr w:type="spellEnd"/>
      <w:r>
        <w:t>, 2020).</w:t>
      </w:r>
    </w:p>
    <w:p w:rsidR="00360B0F" w:rsidRDefault="00360B0F" w:rsidP="00360B0F">
      <w:pPr>
        <w:pStyle w:val="NormalWeb"/>
      </w:pPr>
      <w:r>
        <w:t xml:space="preserve">This study has argued for a comprehensive reinvention of Agra that </w:t>
      </w:r>
      <w:proofErr w:type="spellStart"/>
      <w:r>
        <w:t>reimagines</w:t>
      </w:r>
      <w:proofErr w:type="spellEnd"/>
      <w:r>
        <w:t xml:space="preserve"> the city as a multi-layered, experience-rich, and community-driven tourism destination. By activating underexplored </w:t>
      </w:r>
      <w:proofErr w:type="spellStart"/>
      <w:r>
        <w:t>Mughal</w:t>
      </w:r>
      <w:proofErr w:type="spellEnd"/>
      <w:r>
        <w:t xml:space="preserve"> sites through heritage trails, empowering rural communities through farm-stays and food tourism, embedding digital smart tools for enhanced accessibility, and creating an inclusive cultural brand narrative, Agra can rise beyond its current limitations. These innovations are not only aligned with global tourism trends but are also deeply grounded in local context and capacity. They offer a sustainable pathway that balances preservation with participation, exclusivity with inclusivity, and innovation with tradition (Sharma &amp; Gupta, 2019; Richards, 2011).</w:t>
      </w:r>
    </w:p>
    <w:p w:rsidR="00360B0F" w:rsidRDefault="00360B0F" w:rsidP="00360B0F">
      <w:pPr>
        <w:pStyle w:val="NormalWeb"/>
      </w:pPr>
      <w:r>
        <w:t xml:space="preserve">The future of Agra as a tourism destination lies not in preserving a static image but in embracing dynamic reinvention. With strategic vision, inclusive governance, and collaborative implementation, Agra has the potential to emerge not just as the city of the </w:t>
      </w:r>
      <w:proofErr w:type="spellStart"/>
      <w:r>
        <w:t>Taj</w:t>
      </w:r>
      <w:proofErr w:type="spellEnd"/>
      <w:r>
        <w:t xml:space="preserve"> </w:t>
      </w:r>
      <w:proofErr w:type="spellStart"/>
      <w:r>
        <w:t>Mahal</w:t>
      </w:r>
      <w:proofErr w:type="spellEnd"/>
      <w:r>
        <w:t xml:space="preserve"> but as a living, breathing, evolving cultural capital of North India—where history meets innovation, and monuments coexist with vibrant communities. This blueprint, while tailored for Agra, can serve as a replicable model for revitalizing heritage cities globally facing similar stagnation and tourism fatigue.</w:t>
      </w:r>
    </w:p>
    <w:p w:rsidR="00360B0F" w:rsidRDefault="00360B0F" w:rsidP="00360B0F">
      <w:pPr>
        <w:pStyle w:val="NormalWeb"/>
      </w:pPr>
      <w:r>
        <w:t xml:space="preserve">In implementing this reinvention strategy, it is essential that policymakers and tourism stakeholders adopt a phased and participatory approach. Reinvention is not a one-time event but a continuous process that requires adaptability, monitoring, and community feedback. Each </w:t>
      </w:r>
      <w:r>
        <w:lastRenderedPageBreak/>
        <w:t>intervention—be it digital transformation, rural tourism development, or heritage branding—must be piloted, evaluated, and scaled thoughtfully to avoid replicating past mistakes of over-commercialization and cultural dilution. Special care should be taken to preserve the integrity of Agra's built and living heritage while fostering innovation that resonates with evolving traveler expectations. Establishing cross-</w:t>
      </w:r>
      <w:proofErr w:type="spellStart"/>
      <w:r>
        <w:t>sectoral</w:t>
      </w:r>
      <w:proofErr w:type="spellEnd"/>
      <w:r>
        <w:t xml:space="preserve"> partnerships among government bodies, private investors, educational institutions, and grassroots organizations will be crucial to ensure that the reinvention plan is both inclusive and resilient (</w:t>
      </w:r>
      <w:proofErr w:type="spellStart"/>
      <w:r>
        <w:t>Buhalis</w:t>
      </w:r>
      <w:proofErr w:type="spellEnd"/>
      <w:r>
        <w:t xml:space="preserve"> &amp; </w:t>
      </w:r>
      <w:proofErr w:type="spellStart"/>
      <w:r>
        <w:t>Amaranggana</w:t>
      </w:r>
      <w:proofErr w:type="spellEnd"/>
      <w:r>
        <w:t xml:space="preserve">, 2015; Timothy &amp; </w:t>
      </w:r>
      <w:proofErr w:type="spellStart"/>
      <w:r>
        <w:t>Nyaupane</w:t>
      </w:r>
      <w:proofErr w:type="spellEnd"/>
      <w:r>
        <w:t>, 2009).</w:t>
      </w:r>
    </w:p>
    <w:p w:rsidR="00360B0F" w:rsidRDefault="00360B0F" w:rsidP="00360B0F">
      <w:pPr>
        <w:pStyle w:val="NormalWeb"/>
      </w:pPr>
      <w:r>
        <w:t xml:space="preserve">Finally, the reinvention of Agra should also contribute to broader regional development and national tourism goals. As one of India's flagship heritage cities, Agra has the symbolic and strategic potential to lead by example. If successful, the city could become a benchmark for sustainable and smart heritage tourism in South Asia, influencing policies in other stagnating destinations such as Varanasi, </w:t>
      </w:r>
      <w:proofErr w:type="spellStart"/>
      <w:r>
        <w:t>Hampi</w:t>
      </w:r>
      <w:proofErr w:type="spellEnd"/>
      <w:r>
        <w:t xml:space="preserve">, or </w:t>
      </w:r>
      <w:proofErr w:type="spellStart"/>
      <w:r>
        <w:t>Jaipur</w:t>
      </w:r>
      <w:proofErr w:type="spellEnd"/>
      <w:r>
        <w:t>. By shifting from a mono-attraction framework to a multi-layered tourism ecosystem, Agra can showcase how cultural preservation, economic vitality, and technological innovation can harmoniously coexist. In doing so, it not only secures its own future as a thriving destination but also reclaims its historical legacy as a center of creativity, hospitality, and cultural exchange.</w:t>
      </w:r>
    </w:p>
    <w:p w:rsidR="00EF1015" w:rsidRDefault="00EF1015" w:rsidP="0081643C">
      <w:pPr>
        <w:pStyle w:val="Heading2"/>
        <w:rPr>
          <w:rStyle w:val="Strong"/>
          <w:b/>
          <w:bCs/>
        </w:rPr>
      </w:pPr>
    </w:p>
    <w:p w:rsidR="0081643C" w:rsidRDefault="0081643C" w:rsidP="0081643C">
      <w:pPr>
        <w:pStyle w:val="Heading2"/>
      </w:pPr>
      <w:r>
        <w:rPr>
          <w:rStyle w:val="Strong"/>
          <w:b/>
          <w:bCs/>
        </w:rPr>
        <w:t>8. References</w:t>
      </w:r>
    </w:p>
    <w:p w:rsidR="0081643C" w:rsidRDefault="0081643C" w:rsidP="0081643C">
      <w:pPr>
        <w:pStyle w:val="NormalWeb"/>
        <w:numPr>
          <w:ilvl w:val="0"/>
          <w:numId w:val="31"/>
        </w:numPr>
      </w:pPr>
      <w:r>
        <w:t xml:space="preserve">Asher, C. B. (2006). </w:t>
      </w:r>
      <w:r>
        <w:rPr>
          <w:rStyle w:val="Emphasis"/>
        </w:rPr>
        <w:t xml:space="preserve">Architecture of </w:t>
      </w:r>
      <w:proofErr w:type="spellStart"/>
      <w:r>
        <w:rPr>
          <w:rStyle w:val="Emphasis"/>
        </w:rPr>
        <w:t>Mughal</w:t>
      </w:r>
      <w:proofErr w:type="spellEnd"/>
      <w:r>
        <w:rPr>
          <w:rStyle w:val="Emphasis"/>
        </w:rPr>
        <w:t xml:space="preserve"> India</w:t>
      </w:r>
      <w:r>
        <w:t>. Cambridge University Press.</w:t>
      </w:r>
    </w:p>
    <w:p w:rsidR="0081643C" w:rsidRDefault="0081643C" w:rsidP="0081643C">
      <w:pPr>
        <w:pStyle w:val="NormalWeb"/>
        <w:numPr>
          <w:ilvl w:val="0"/>
          <w:numId w:val="31"/>
        </w:numPr>
      </w:pPr>
      <w:r>
        <w:t xml:space="preserve">Butler, R. W. (1980). The Concept of a Tourism Area Cycle of Evolution: Implications for Resource Management. </w:t>
      </w:r>
      <w:r>
        <w:rPr>
          <w:rStyle w:val="Emphasis"/>
        </w:rPr>
        <w:t>Canadian Geographer</w:t>
      </w:r>
      <w:r>
        <w:t>, 24(1), 5–12.</w:t>
      </w:r>
    </w:p>
    <w:p w:rsidR="0081643C" w:rsidRDefault="0081643C" w:rsidP="0081643C">
      <w:pPr>
        <w:pStyle w:val="NormalWeb"/>
        <w:numPr>
          <w:ilvl w:val="0"/>
          <w:numId w:val="31"/>
        </w:numPr>
      </w:pPr>
      <w:proofErr w:type="spellStart"/>
      <w:r>
        <w:t>Gretzel</w:t>
      </w:r>
      <w:proofErr w:type="spellEnd"/>
      <w:r>
        <w:t xml:space="preserve">, U., </w:t>
      </w:r>
      <w:proofErr w:type="spellStart"/>
      <w:r>
        <w:t>Sigala</w:t>
      </w:r>
      <w:proofErr w:type="spellEnd"/>
      <w:r>
        <w:t xml:space="preserve">, M., Xiang, Z., &amp; Koo, C. (2015). Smart Tourism: Foundations and Developments. </w:t>
      </w:r>
      <w:r>
        <w:rPr>
          <w:rStyle w:val="Emphasis"/>
        </w:rPr>
        <w:t>Electronic Markets</w:t>
      </w:r>
      <w:r>
        <w:t>, 25(3), 179–188.</w:t>
      </w:r>
    </w:p>
    <w:p w:rsidR="0081643C" w:rsidRDefault="0081643C" w:rsidP="0081643C">
      <w:pPr>
        <w:pStyle w:val="NormalWeb"/>
        <w:numPr>
          <w:ilvl w:val="0"/>
          <w:numId w:val="31"/>
        </w:numPr>
      </w:pPr>
      <w:r>
        <w:t xml:space="preserve">Jain, R., &amp; </w:t>
      </w:r>
      <w:proofErr w:type="spellStart"/>
      <w:r>
        <w:t>Trivedi</w:t>
      </w:r>
      <w:proofErr w:type="spellEnd"/>
      <w:r>
        <w:t xml:space="preserve">, H. (2020). Tourism Development Challenges in Agra: A Heritage City Perspective. </w:t>
      </w:r>
      <w:r>
        <w:rPr>
          <w:rStyle w:val="Emphasis"/>
        </w:rPr>
        <w:t>Indian Journal of Tourism Research</w:t>
      </w:r>
      <w:r>
        <w:t>, 17(1), 45–56.</w:t>
      </w:r>
    </w:p>
    <w:p w:rsidR="0081643C" w:rsidRDefault="0081643C" w:rsidP="0081643C">
      <w:pPr>
        <w:pStyle w:val="NormalWeb"/>
        <w:numPr>
          <w:ilvl w:val="0"/>
          <w:numId w:val="31"/>
        </w:numPr>
      </w:pPr>
      <w:r>
        <w:t xml:space="preserve">Richards, G. (2011). Creativity and Tourism: The State of the Art. </w:t>
      </w:r>
      <w:r>
        <w:rPr>
          <w:rStyle w:val="Emphasis"/>
        </w:rPr>
        <w:t>Annals of Tourism Research</w:t>
      </w:r>
      <w:r>
        <w:t>, 38(4), 1225–1253.</w:t>
      </w:r>
    </w:p>
    <w:p w:rsidR="0081643C" w:rsidRDefault="0081643C" w:rsidP="0081643C">
      <w:pPr>
        <w:pStyle w:val="NormalWeb"/>
        <w:numPr>
          <w:ilvl w:val="0"/>
          <w:numId w:val="31"/>
        </w:numPr>
      </w:pPr>
      <w:proofErr w:type="spellStart"/>
      <w:r>
        <w:t>Scheyvens</w:t>
      </w:r>
      <w:proofErr w:type="spellEnd"/>
      <w:r>
        <w:t xml:space="preserve">, R. (1999). Ecotourism and the Empowerment of Local Communities. </w:t>
      </w:r>
      <w:r>
        <w:rPr>
          <w:rStyle w:val="Emphasis"/>
        </w:rPr>
        <w:t>Tourism Management</w:t>
      </w:r>
      <w:r>
        <w:t>, 20(2), 245–249.</w:t>
      </w:r>
    </w:p>
    <w:p w:rsidR="0081643C" w:rsidRDefault="0081643C" w:rsidP="0081643C">
      <w:pPr>
        <w:pStyle w:val="NormalWeb"/>
        <w:numPr>
          <w:ilvl w:val="0"/>
          <w:numId w:val="31"/>
        </w:numPr>
      </w:pPr>
      <w:r>
        <w:t xml:space="preserve">Sharma, A., &amp; </w:t>
      </w:r>
      <w:proofErr w:type="spellStart"/>
      <w:r>
        <w:t>Verma</w:t>
      </w:r>
      <w:proofErr w:type="spellEnd"/>
      <w:r>
        <w:t xml:space="preserve">, R. (2020). Gastronomic Tourism in Northern India: Potentials and Challenges. </w:t>
      </w:r>
      <w:r>
        <w:rPr>
          <w:rStyle w:val="Emphasis"/>
        </w:rPr>
        <w:t>South Asian Journal of Tourism and Heritage</w:t>
      </w:r>
      <w:r>
        <w:t>, 13(1), 38–53.</w:t>
      </w:r>
    </w:p>
    <w:p w:rsidR="0081643C" w:rsidRDefault="0081643C" w:rsidP="00D26592">
      <w:pPr>
        <w:pStyle w:val="NormalWeb"/>
        <w:numPr>
          <w:ilvl w:val="0"/>
          <w:numId w:val="31"/>
        </w:numPr>
      </w:pPr>
      <w:r>
        <w:t xml:space="preserve">Singh, S. (2016). Tourism in Agra: Beyond the </w:t>
      </w:r>
      <w:proofErr w:type="spellStart"/>
      <w:r>
        <w:t>Taj</w:t>
      </w:r>
      <w:proofErr w:type="spellEnd"/>
      <w:r>
        <w:t xml:space="preserve"> </w:t>
      </w:r>
      <w:proofErr w:type="spellStart"/>
      <w:r>
        <w:t>Mahal</w:t>
      </w:r>
      <w:proofErr w:type="spellEnd"/>
      <w:r>
        <w:t xml:space="preserve">. </w:t>
      </w:r>
      <w:r>
        <w:rPr>
          <w:rStyle w:val="Emphasis"/>
        </w:rPr>
        <w:t>Journal of Cultural Heritage Management and Sustainable Development</w:t>
      </w:r>
      <w:r>
        <w:t>, 6(2), 98–111.</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Asher, C. B. (2006). </w:t>
      </w:r>
      <w:r w:rsidRPr="00EF1015">
        <w:rPr>
          <w:rFonts w:ascii="Times New Roman" w:eastAsia="Times New Roman" w:hAnsi="Times New Roman" w:cs="Times New Roman"/>
          <w:i/>
          <w:iCs/>
          <w:sz w:val="24"/>
          <w:szCs w:val="24"/>
        </w:rPr>
        <w:t xml:space="preserve">Architecture of </w:t>
      </w:r>
      <w:proofErr w:type="spellStart"/>
      <w:r w:rsidRPr="00EF1015">
        <w:rPr>
          <w:rFonts w:ascii="Times New Roman" w:eastAsia="Times New Roman" w:hAnsi="Times New Roman" w:cs="Times New Roman"/>
          <w:i/>
          <w:iCs/>
          <w:sz w:val="24"/>
          <w:szCs w:val="24"/>
        </w:rPr>
        <w:t>Mughal</w:t>
      </w:r>
      <w:proofErr w:type="spellEnd"/>
      <w:r w:rsidRPr="00EF1015">
        <w:rPr>
          <w:rFonts w:ascii="Times New Roman" w:eastAsia="Times New Roman" w:hAnsi="Times New Roman" w:cs="Times New Roman"/>
          <w:i/>
          <w:iCs/>
          <w:sz w:val="24"/>
          <w:szCs w:val="24"/>
        </w:rPr>
        <w:t xml:space="preserve"> India</w:t>
      </w:r>
      <w:r w:rsidRPr="00EF1015">
        <w:rPr>
          <w:rFonts w:ascii="Times New Roman" w:eastAsia="Times New Roman" w:hAnsi="Times New Roman" w:cs="Times New Roman"/>
          <w:sz w:val="24"/>
          <w:szCs w:val="24"/>
        </w:rPr>
        <w:t>. Cambridge University Press.</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Bhatia, A. K. (2011). </w:t>
      </w:r>
      <w:r w:rsidRPr="00EF1015">
        <w:rPr>
          <w:rFonts w:ascii="Times New Roman" w:eastAsia="Times New Roman" w:hAnsi="Times New Roman" w:cs="Times New Roman"/>
          <w:i/>
          <w:iCs/>
          <w:sz w:val="24"/>
          <w:szCs w:val="24"/>
        </w:rPr>
        <w:t>Tourism Development: Principles and Practices</w:t>
      </w:r>
      <w:r w:rsidRPr="00EF1015">
        <w:rPr>
          <w:rFonts w:ascii="Times New Roman" w:eastAsia="Times New Roman" w:hAnsi="Times New Roman" w:cs="Times New Roman"/>
          <w:sz w:val="24"/>
          <w:szCs w:val="24"/>
        </w:rPr>
        <w:t>. Sterling Publishers.</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Briedenhann</w:t>
      </w:r>
      <w:proofErr w:type="spellEnd"/>
      <w:r w:rsidRPr="00EF1015">
        <w:rPr>
          <w:rFonts w:ascii="Times New Roman" w:eastAsia="Times New Roman" w:hAnsi="Times New Roman" w:cs="Times New Roman"/>
          <w:sz w:val="24"/>
          <w:szCs w:val="24"/>
        </w:rPr>
        <w:t xml:space="preserve">, J., &amp; </w:t>
      </w:r>
      <w:proofErr w:type="spellStart"/>
      <w:r w:rsidRPr="00EF1015">
        <w:rPr>
          <w:rFonts w:ascii="Times New Roman" w:eastAsia="Times New Roman" w:hAnsi="Times New Roman" w:cs="Times New Roman"/>
          <w:sz w:val="24"/>
          <w:szCs w:val="24"/>
        </w:rPr>
        <w:t>Wickens</w:t>
      </w:r>
      <w:proofErr w:type="spellEnd"/>
      <w:r w:rsidRPr="00EF1015">
        <w:rPr>
          <w:rFonts w:ascii="Times New Roman" w:eastAsia="Times New Roman" w:hAnsi="Times New Roman" w:cs="Times New Roman"/>
          <w:sz w:val="24"/>
          <w:szCs w:val="24"/>
        </w:rPr>
        <w:t xml:space="preserve">, E. (2004). Tourism routes as a tool for the economic development of rural areas. </w:t>
      </w:r>
      <w:r w:rsidRPr="00EF1015">
        <w:rPr>
          <w:rFonts w:ascii="Times New Roman" w:eastAsia="Times New Roman" w:hAnsi="Times New Roman" w:cs="Times New Roman"/>
          <w:i/>
          <w:iCs/>
          <w:sz w:val="24"/>
          <w:szCs w:val="24"/>
        </w:rPr>
        <w:t>Tourism Management</w:t>
      </w:r>
      <w:r w:rsidRPr="00EF1015">
        <w:rPr>
          <w:rFonts w:ascii="Times New Roman" w:eastAsia="Times New Roman" w:hAnsi="Times New Roman" w:cs="Times New Roman"/>
          <w:sz w:val="24"/>
          <w:szCs w:val="24"/>
        </w:rPr>
        <w:t>, 25(1), 71-79.</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Buhalis</w:t>
      </w:r>
      <w:proofErr w:type="spellEnd"/>
      <w:r w:rsidRPr="00EF1015">
        <w:rPr>
          <w:rFonts w:ascii="Times New Roman" w:eastAsia="Times New Roman" w:hAnsi="Times New Roman" w:cs="Times New Roman"/>
          <w:sz w:val="24"/>
          <w:szCs w:val="24"/>
        </w:rPr>
        <w:t xml:space="preserve">, D., &amp; </w:t>
      </w:r>
      <w:proofErr w:type="spellStart"/>
      <w:r w:rsidRPr="00EF1015">
        <w:rPr>
          <w:rFonts w:ascii="Times New Roman" w:eastAsia="Times New Roman" w:hAnsi="Times New Roman" w:cs="Times New Roman"/>
          <w:sz w:val="24"/>
          <w:szCs w:val="24"/>
        </w:rPr>
        <w:t>Amaranggana</w:t>
      </w:r>
      <w:proofErr w:type="spellEnd"/>
      <w:r w:rsidRPr="00EF1015">
        <w:rPr>
          <w:rFonts w:ascii="Times New Roman" w:eastAsia="Times New Roman" w:hAnsi="Times New Roman" w:cs="Times New Roman"/>
          <w:sz w:val="24"/>
          <w:szCs w:val="24"/>
        </w:rPr>
        <w:t xml:space="preserve">, A. (2015). Smart tourism destinations. In </w:t>
      </w:r>
      <w:r w:rsidRPr="00EF1015">
        <w:rPr>
          <w:rFonts w:ascii="Times New Roman" w:eastAsia="Times New Roman" w:hAnsi="Times New Roman" w:cs="Times New Roman"/>
          <w:i/>
          <w:iCs/>
          <w:sz w:val="24"/>
          <w:szCs w:val="24"/>
        </w:rPr>
        <w:t>Information and Communication Technologies in Tourism 2015</w:t>
      </w:r>
      <w:r w:rsidRPr="00EF1015">
        <w:rPr>
          <w:rFonts w:ascii="Times New Roman" w:eastAsia="Times New Roman" w:hAnsi="Times New Roman" w:cs="Times New Roman"/>
          <w:sz w:val="24"/>
          <w:szCs w:val="24"/>
        </w:rPr>
        <w:t>. Springer.</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lastRenderedPageBreak/>
        <w:t xml:space="preserve">Butler, R. W. (1980). The concept of a tourist area cycle of evolution: Implications for management of resources. </w:t>
      </w:r>
      <w:r w:rsidRPr="00EF1015">
        <w:rPr>
          <w:rFonts w:ascii="Times New Roman" w:eastAsia="Times New Roman" w:hAnsi="Times New Roman" w:cs="Times New Roman"/>
          <w:i/>
          <w:iCs/>
          <w:sz w:val="24"/>
          <w:szCs w:val="24"/>
        </w:rPr>
        <w:t>Canadian Geographer</w:t>
      </w:r>
      <w:r w:rsidRPr="00EF1015">
        <w:rPr>
          <w:rFonts w:ascii="Times New Roman" w:eastAsia="Times New Roman" w:hAnsi="Times New Roman" w:cs="Times New Roman"/>
          <w:sz w:val="24"/>
          <w:szCs w:val="24"/>
        </w:rPr>
        <w:t>, 24(1), 5–12.</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Chhabra</w:t>
      </w:r>
      <w:proofErr w:type="spellEnd"/>
      <w:r w:rsidRPr="00EF1015">
        <w:rPr>
          <w:rFonts w:ascii="Times New Roman" w:eastAsia="Times New Roman" w:hAnsi="Times New Roman" w:cs="Times New Roman"/>
          <w:sz w:val="24"/>
          <w:szCs w:val="24"/>
        </w:rPr>
        <w:t xml:space="preserve">, D. (2012). </w:t>
      </w:r>
      <w:r w:rsidRPr="00EF1015">
        <w:rPr>
          <w:rFonts w:ascii="Times New Roman" w:eastAsia="Times New Roman" w:hAnsi="Times New Roman" w:cs="Times New Roman"/>
          <w:i/>
          <w:iCs/>
          <w:sz w:val="24"/>
          <w:szCs w:val="24"/>
        </w:rPr>
        <w:t>Heritage tourism: Contemporary perspectives</w:t>
      </w:r>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Routledge</w:t>
      </w:r>
      <w:proofErr w:type="spellEnd"/>
      <w:r w:rsidRPr="00EF1015">
        <w:rPr>
          <w:rFonts w:ascii="Times New Roman" w:eastAsia="Times New Roman" w:hAnsi="Times New Roman" w:cs="Times New Roman"/>
          <w:sz w:val="24"/>
          <w:szCs w:val="24"/>
        </w:rPr>
        <w:t>.</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Denzin</w:t>
      </w:r>
      <w:proofErr w:type="spellEnd"/>
      <w:r w:rsidRPr="00EF1015">
        <w:rPr>
          <w:rFonts w:ascii="Times New Roman" w:eastAsia="Times New Roman" w:hAnsi="Times New Roman" w:cs="Times New Roman"/>
          <w:sz w:val="24"/>
          <w:szCs w:val="24"/>
        </w:rPr>
        <w:t xml:space="preserve">, N. K., &amp; Lincoln, Y. S. (2011). </w:t>
      </w:r>
      <w:r w:rsidRPr="00EF1015">
        <w:rPr>
          <w:rFonts w:ascii="Times New Roman" w:eastAsia="Times New Roman" w:hAnsi="Times New Roman" w:cs="Times New Roman"/>
          <w:i/>
          <w:iCs/>
          <w:sz w:val="24"/>
          <w:szCs w:val="24"/>
        </w:rPr>
        <w:t>The Sage Handbook of Qualitative Research</w:t>
      </w:r>
      <w:r w:rsidRPr="00EF1015">
        <w:rPr>
          <w:rFonts w:ascii="Times New Roman" w:eastAsia="Times New Roman" w:hAnsi="Times New Roman" w:cs="Times New Roman"/>
          <w:sz w:val="24"/>
          <w:szCs w:val="24"/>
        </w:rPr>
        <w:t>. SAGE.</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George, B. P., &amp; George, B. P. (2004). Past visits and the intention to revisit a destination. </w:t>
      </w:r>
      <w:r w:rsidRPr="00EF1015">
        <w:rPr>
          <w:rFonts w:ascii="Times New Roman" w:eastAsia="Times New Roman" w:hAnsi="Times New Roman" w:cs="Times New Roman"/>
          <w:i/>
          <w:iCs/>
          <w:sz w:val="24"/>
          <w:szCs w:val="24"/>
        </w:rPr>
        <w:t>Tourism Review</w:t>
      </w:r>
      <w:r w:rsidRPr="00EF1015">
        <w:rPr>
          <w:rFonts w:ascii="Times New Roman" w:eastAsia="Times New Roman" w:hAnsi="Times New Roman" w:cs="Times New Roman"/>
          <w:sz w:val="24"/>
          <w:szCs w:val="24"/>
        </w:rPr>
        <w:t>, 59(4), 28-35.</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Gretzel</w:t>
      </w:r>
      <w:proofErr w:type="spellEnd"/>
      <w:r w:rsidRPr="00EF1015">
        <w:rPr>
          <w:rFonts w:ascii="Times New Roman" w:eastAsia="Times New Roman" w:hAnsi="Times New Roman" w:cs="Times New Roman"/>
          <w:sz w:val="24"/>
          <w:szCs w:val="24"/>
        </w:rPr>
        <w:t xml:space="preserve">, U., </w:t>
      </w:r>
      <w:proofErr w:type="spellStart"/>
      <w:r w:rsidRPr="00EF1015">
        <w:rPr>
          <w:rFonts w:ascii="Times New Roman" w:eastAsia="Times New Roman" w:hAnsi="Times New Roman" w:cs="Times New Roman"/>
          <w:sz w:val="24"/>
          <w:szCs w:val="24"/>
        </w:rPr>
        <w:t>Sigala</w:t>
      </w:r>
      <w:proofErr w:type="spellEnd"/>
      <w:r w:rsidRPr="00EF1015">
        <w:rPr>
          <w:rFonts w:ascii="Times New Roman" w:eastAsia="Times New Roman" w:hAnsi="Times New Roman" w:cs="Times New Roman"/>
          <w:sz w:val="24"/>
          <w:szCs w:val="24"/>
        </w:rPr>
        <w:t xml:space="preserve">, M., Xiang, Z., &amp; Koo, C. (2015). Smart tourism: foundations and developments. </w:t>
      </w:r>
      <w:r w:rsidRPr="00EF1015">
        <w:rPr>
          <w:rFonts w:ascii="Times New Roman" w:eastAsia="Times New Roman" w:hAnsi="Times New Roman" w:cs="Times New Roman"/>
          <w:i/>
          <w:iCs/>
          <w:sz w:val="24"/>
          <w:szCs w:val="24"/>
        </w:rPr>
        <w:t>Electronic Markets</w:t>
      </w:r>
      <w:r w:rsidRPr="00EF1015">
        <w:rPr>
          <w:rFonts w:ascii="Times New Roman" w:eastAsia="Times New Roman" w:hAnsi="Times New Roman" w:cs="Times New Roman"/>
          <w:sz w:val="24"/>
          <w:szCs w:val="24"/>
        </w:rPr>
        <w:t>, 25(3), 179-188.</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Jain, R., &amp; </w:t>
      </w:r>
      <w:proofErr w:type="spellStart"/>
      <w:r w:rsidRPr="00EF1015">
        <w:rPr>
          <w:rFonts w:ascii="Times New Roman" w:eastAsia="Times New Roman" w:hAnsi="Times New Roman" w:cs="Times New Roman"/>
          <w:sz w:val="24"/>
          <w:szCs w:val="24"/>
        </w:rPr>
        <w:t>Trivedi</w:t>
      </w:r>
      <w:proofErr w:type="spellEnd"/>
      <w:r w:rsidRPr="00EF1015">
        <w:rPr>
          <w:rFonts w:ascii="Times New Roman" w:eastAsia="Times New Roman" w:hAnsi="Times New Roman" w:cs="Times New Roman"/>
          <w:sz w:val="24"/>
          <w:szCs w:val="24"/>
        </w:rPr>
        <w:t xml:space="preserve">, P. (2020). Agra beyond </w:t>
      </w:r>
      <w:proofErr w:type="spellStart"/>
      <w:r w:rsidRPr="00EF1015">
        <w:rPr>
          <w:rFonts w:ascii="Times New Roman" w:eastAsia="Times New Roman" w:hAnsi="Times New Roman" w:cs="Times New Roman"/>
          <w:sz w:val="24"/>
          <w:szCs w:val="24"/>
        </w:rPr>
        <w:t>Taj</w:t>
      </w:r>
      <w:proofErr w:type="spellEnd"/>
      <w:r w:rsidRPr="00EF1015">
        <w:rPr>
          <w:rFonts w:ascii="Times New Roman" w:eastAsia="Times New Roman" w:hAnsi="Times New Roman" w:cs="Times New Roman"/>
          <w:sz w:val="24"/>
          <w:szCs w:val="24"/>
        </w:rPr>
        <w:t xml:space="preserve">: Sustainable tourism development through diversification. </w:t>
      </w:r>
      <w:r w:rsidRPr="00EF1015">
        <w:rPr>
          <w:rFonts w:ascii="Times New Roman" w:eastAsia="Times New Roman" w:hAnsi="Times New Roman" w:cs="Times New Roman"/>
          <w:i/>
          <w:iCs/>
          <w:sz w:val="24"/>
          <w:szCs w:val="24"/>
        </w:rPr>
        <w:t>Journal of Heritage Management</w:t>
      </w:r>
      <w:r w:rsidRPr="00EF1015">
        <w:rPr>
          <w:rFonts w:ascii="Times New Roman" w:eastAsia="Times New Roman" w:hAnsi="Times New Roman" w:cs="Times New Roman"/>
          <w:sz w:val="24"/>
          <w:szCs w:val="24"/>
        </w:rPr>
        <w:t>, 5(1), 21–35.</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Koens</w:t>
      </w:r>
      <w:proofErr w:type="spellEnd"/>
      <w:r w:rsidRPr="00EF1015">
        <w:rPr>
          <w:rFonts w:ascii="Times New Roman" w:eastAsia="Times New Roman" w:hAnsi="Times New Roman" w:cs="Times New Roman"/>
          <w:sz w:val="24"/>
          <w:szCs w:val="24"/>
        </w:rPr>
        <w:t xml:space="preserve">, K., </w:t>
      </w:r>
      <w:proofErr w:type="spellStart"/>
      <w:r w:rsidRPr="00EF1015">
        <w:rPr>
          <w:rFonts w:ascii="Times New Roman" w:eastAsia="Times New Roman" w:hAnsi="Times New Roman" w:cs="Times New Roman"/>
          <w:sz w:val="24"/>
          <w:szCs w:val="24"/>
        </w:rPr>
        <w:t>Postma</w:t>
      </w:r>
      <w:proofErr w:type="spellEnd"/>
      <w:r w:rsidRPr="00EF1015">
        <w:rPr>
          <w:rFonts w:ascii="Times New Roman" w:eastAsia="Times New Roman" w:hAnsi="Times New Roman" w:cs="Times New Roman"/>
          <w:sz w:val="24"/>
          <w:szCs w:val="24"/>
        </w:rPr>
        <w:t xml:space="preserve">, A., &amp; Papp, B. (2018). Is </w:t>
      </w:r>
      <w:proofErr w:type="spellStart"/>
      <w:r w:rsidRPr="00EF1015">
        <w:rPr>
          <w:rFonts w:ascii="Times New Roman" w:eastAsia="Times New Roman" w:hAnsi="Times New Roman" w:cs="Times New Roman"/>
          <w:sz w:val="24"/>
          <w:szCs w:val="24"/>
        </w:rPr>
        <w:t>overtourism</w:t>
      </w:r>
      <w:proofErr w:type="spellEnd"/>
      <w:r w:rsidRPr="00EF1015">
        <w:rPr>
          <w:rFonts w:ascii="Times New Roman" w:eastAsia="Times New Roman" w:hAnsi="Times New Roman" w:cs="Times New Roman"/>
          <w:sz w:val="24"/>
          <w:szCs w:val="24"/>
        </w:rPr>
        <w:t xml:space="preserve"> overused? </w:t>
      </w:r>
      <w:r w:rsidRPr="00EF1015">
        <w:rPr>
          <w:rFonts w:ascii="Times New Roman" w:eastAsia="Times New Roman" w:hAnsi="Times New Roman" w:cs="Times New Roman"/>
          <w:i/>
          <w:iCs/>
          <w:sz w:val="24"/>
          <w:szCs w:val="24"/>
        </w:rPr>
        <w:t>Tourism Review</w:t>
      </w:r>
      <w:r w:rsidRPr="00EF1015">
        <w:rPr>
          <w:rFonts w:ascii="Times New Roman" w:eastAsia="Times New Roman" w:hAnsi="Times New Roman" w:cs="Times New Roman"/>
          <w:sz w:val="24"/>
          <w:szCs w:val="24"/>
        </w:rPr>
        <w:t>, 73(2), 444-447.</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Richards, G. (2011). Creativity and tourism: The state of the art. </w:t>
      </w:r>
      <w:r w:rsidRPr="00EF1015">
        <w:rPr>
          <w:rFonts w:ascii="Times New Roman" w:eastAsia="Times New Roman" w:hAnsi="Times New Roman" w:cs="Times New Roman"/>
          <w:i/>
          <w:iCs/>
          <w:sz w:val="24"/>
          <w:szCs w:val="24"/>
        </w:rPr>
        <w:t>Annals of Tourism Research</w:t>
      </w:r>
      <w:r w:rsidRPr="00EF1015">
        <w:rPr>
          <w:rFonts w:ascii="Times New Roman" w:eastAsia="Times New Roman" w:hAnsi="Times New Roman" w:cs="Times New Roman"/>
          <w:sz w:val="24"/>
          <w:szCs w:val="24"/>
        </w:rPr>
        <w:t>, 38(4), 1225-1253.</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Russo, A. P. (2002). The “vicious circle” of tourism development in heritage cities. </w:t>
      </w:r>
      <w:r w:rsidRPr="00EF1015">
        <w:rPr>
          <w:rFonts w:ascii="Times New Roman" w:eastAsia="Times New Roman" w:hAnsi="Times New Roman" w:cs="Times New Roman"/>
          <w:i/>
          <w:iCs/>
          <w:sz w:val="24"/>
          <w:szCs w:val="24"/>
        </w:rPr>
        <w:t>Annals of Tourism Research</w:t>
      </w:r>
      <w:r w:rsidRPr="00EF1015">
        <w:rPr>
          <w:rFonts w:ascii="Times New Roman" w:eastAsia="Times New Roman" w:hAnsi="Times New Roman" w:cs="Times New Roman"/>
          <w:sz w:val="24"/>
          <w:szCs w:val="24"/>
        </w:rPr>
        <w:t>, 29(1), 165–182.</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proofErr w:type="spellStart"/>
      <w:r w:rsidRPr="00EF1015">
        <w:rPr>
          <w:rFonts w:ascii="Times New Roman" w:eastAsia="Times New Roman" w:hAnsi="Times New Roman" w:cs="Times New Roman"/>
          <w:sz w:val="24"/>
          <w:szCs w:val="24"/>
        </w:rPr>
        <w:t>Scheyvens</w:t>
      </w:r>
      <w:proofErr w:type="spellEnd"/>
      <w:r w:rsidRPr="00EF1015">
        <w:rPr>
          <w:rFonts w:ascii="Times New Roman" w:eastAsia="Times New Roman" w:hAnsi="Times New Roman" w:cs="Times New Roman"/>
          <w:sz w:val="24"/>
          <w:szCs w:val="24"/>
        </w:rPr>
        <w:t xml:space="preserve">, R. (1999). Ecotourism and the empowerment of local communities. </w:t>
      </w:r>
      <w:r w:rsidRPr="00EF1015">
        <w:rPr>
          <w:rFonts w:ascii="Times New Roman" w:eastAsia="Times New Roman" w:hAnsi="Times New Roman" w:cs="Times New Roman"/>
          <w:i/>
          <w:iCs/>
          <w:sz w:val="24"/>
          <w:szCs w:val="24"/>
        </w:rPr>
        <w:t>Tourism Management</w:t>
      </w:r>
      <w:r w:rsidRPr="00EF1015">
        <w:rPr>
          <w:rFonts w:ascii="Times New Roman" w:eastAsia="Times New Roman" w:hAnsi="Times New Roman" w:cs="Times New Roman"/>
          <w:sz w:val="24"/>
          <w:szCs w:val="24"/>
        </w:rPr>
        <w:t>, 20(2), 245-249.</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Sharma, R., &amp; Gupta, S. (2019). Destination stagnation and reinvention strategies: A case study of Agra. </w:t>
      </w:r>
      <w:r w:rsidRPr="00EF1015">
        <w:rPr>
          <w:rFonts w:ascii="Times New Roman" w:eastAsia="Times New Roman" w:hAnsi="Times New Roman" w:cs="Times New Roman"/>
          <w:i/>
          <w:iCs/>
          <w:sz w:val="24"/>
          <w:szCs w:val="24"/>
        </w:rPr>
        <w:t>South Asian Journal of Tourism and Heritage</w:t>
      </w:r>
      <w:r w:rsidRPr="00EF1015">
        <w:rPr>
          <w:rFonts w:ascii="Times New Roman" w:eastAsia="Times New Roman" w:hAnsi="Times New Roman" w:cs="Times New Roman"/>
          <w:sz w:val="24"/>
          <w:szCs w:val="24"/>
        </w:rPr>
        <w:t>, 12(1), 41-55.</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Timothy, D. J., &amp; Boyd, S. W. (2003). </w:t>
      </w:r>
      <w:r w:rsidRPr="00EF1015">
        <w:rPr>
          <w:rFonts w:ascii="Times New Roman" w:eastAsia="Times New Roman" w:hAnsi="Times New Roman" w:cs="Times New Roman"/>
          <w:i/>
          <w:iCs/>
          <w:sz w:val="24"/>
          <w:szCs w:val="24"/>
        </w:rPr>
        <w:t>Heritage tourism</w:t>
      </w:r>
      <w:r w:rsidRPr="00EF1015">
        <w:rPr>
          <w:rFonts w:ascii="Times New Roman" w:eastAsia="Times New Roman" w:hAnsi="Times New Roman" w:cs="Times New Roman"/>
          <w:sz w:val="24"/>
          <w:szCs w:val="24"/>
        </w:rPr>
        <w:t>. Pearson Education.</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Timothy, D. J., &amp; </w:t>
      </w:r>
      <w:proofErr w:type="spellStart"/>
      <w:r w:rsidRPr="00EF1015">
        <w:rPr>
          <w:rFonts w:ascii="Times New Roman" w:eastAsia="Times New Roman" w:hAnsi="Times New Roman" w:cs="Times New Roman"/>
          <w:sz w:val="24"/>
          <w:szCs w:val="24"/>
        </w:rPr>
        <w:t>Nyaupane</w:t>
      </w:r>
      <w:proofErr w:type="spellEnd"/>
      <w:r w:rsidRPr="00EF1015">
        <w:rPr>
          <w:rFonts w:ascii="Times New Roman" w:eastAsia="Times New Roman" w:hAnsi="Times New Roman" w:cs="Times New Roman"/>
          <w:sz w:val="24"/>
          <w:szCs w:val="24"/>
        </w:rPr>
        <w:t xml:space="preserve">, G. P. (2009). </w:t>
      </w:r>
      <w:r w:rsidRPr="00EF1015">
        <w:rPr>
          <w:rFonts w:ascii="Times New Roman" w:eastAsia="Times New Roman" w:hAnsi="Times New Roman" w:cs="Times New Roman"/>
          <w:i/>
          <w:iCs/>
          <w:sz w:val="24"/>
          <w:szCs w:val="24"/>
        </w:rPr>
        <w:t>Cultural heritage and tourism in the developing world: A regional perspective</w:t>
      </w:r>
      <w:r w:rsidRPr="00EF1015">
        <w:rPr>
          <w:rFonts w:ascii="Times New Roman" w:eastAsia="Times New Roman" w:hAnsi="Times New Roman" w:cs="Times New Roman"/>
          <w:sz w:val="24"/>
          <w:szCs w:val="24"/>
        </w:rPr>
        <w:t xml:space="preserve">. </w:t>
      </w:r>
      <w:proofErr w:type="spellStart"/>
      <w:r w:rsidRPr="00EF1015">
        <w:rPr>
          <w:rFonts w:ascii="Times New Roman" w:eastAsia="Times New Roman" w:hAnsi="Times New Roman" w:cs="Times New Roman"/>
          <w:sz w:val="24"/>
          <w:szCs w:val="24"/>
        </w:rPr>
        <w:t>Routledge</w:t>
      </w:r>
      <w:proofErr w:type="spellEnd"/>
      <w:r w:rsidRPr="00EF1015">
        <w:rPr>
          <w:rFonts w:ascii="Times New Roman" w:eastAsia="Times New Roman" w:hAnsi="Times New Roman" w:cs="Times New Roman"/>
          <w:sz w:val="24"/>
          <w:szCs w:val="24"/>
        </w:rPr>
        <w:t>.</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Yin, R. K. (2018). </w:t>
      </w:r>
      <w:r w:rsidRPr="00EF1015">
        <w:rPr>
          <w:rFonts w:ascii="Times New Roman" w:eastAsia="Times New Roman" w:hAnsi="Times New Roman" w:cs="Times New Roman"/>
          <w:i/>
          <w:iCs/>
          <w:sz w:val="24"/>
          <w:szCs w:val="24"/>
        </w:rPr>
        <w:t>Case Study Research and Applications: Design and Methods</w:t>
      </w:r>
      <w:r w:rsidRPr="00EF1015">
        <w:rPr>
          <w:rFonts w:ascii="Times New Roman" w:eastAsia="Times New Roman" w:hAnsi="Times New Roman" w:cs="Times New Roman"/>
          <w:sz w:val="24"/>
          <w:szCs w:val="24"/>
        </w:rPr>
        <w:t>. Sage publications.</w:t>
      </w:r>
    </w:p>
    <w:p w:rsidR="00EF1015" w:rsidRPr="00EF1015" w:rsidRDefault="00EF1015" w:rsidP="00EF1015">
      <w:pPr>
        <w:numPr>
          <w:ilvl w:val="0"/>
          <w:numId w:val="31"/>
        </w:numPr>
        <w:spacing w:before="100" w:beforeAutospacing="1" w:after="100" w:afterAutospacing="1" w:line="240" w:lineRule="auto"/>
        <w:rPr>
          <w:rFonts w:ascii="Times New Roman" w:eastAsia="Times New Roman" w:hAnsi="Times New Roman" w:cs="Times New Roman"/>
          <w:sz w:val="24"/>
          <w:szCs w:val="24"/>
        </w:rPr>
      </w:pPr>
      <w:r w:rsidRPr="00EF1015">
        <w:rPr>
          <w:rFonts w:ascii="Times New Roman" w:eastAsia="Times New Roman" w:hAnsi="Times New Roman" w:cs="Times New Roman"/>
          <w:sz w:val="24"/>
          <w:szCs w:val="24"/>
        </w:rPr>
        <w:t xml:space="preserve">Zhang, L., Li, X., &amp; Liu, C. (2019). Smart tourism city: An example of Hangzhou. </w:t>
      </w:r>
      <w:r w:rsidRPr="00EF1015">
        <w:rPr>
          <w:rFonts w:ascii="Times New Roman" w:eastAsia="Times New Roman" w:hAnsi="Times New Roman" w:cs="Times New Roman"/>
          <w:i/>
          <w:iCs/>
          <w:sz w:val="24"/>
          <w:szCs w:val="24"/>
        </w:rPr>
        <w:t>Journal of China Tourism Research</w:t>
      </w:r>
      <w:r w:rsidRPr="00EF1015">
        <w:rPr>
          <w:rFonts w:ascii="Times New Roman" w:eastAsia="Times New Roman" w:hAnsi="Times New Roman" w:cs="Times New Roman"/>
          <w:sz w:val="24"/>
          <w:szCs w:val="24"/>
        </w:rPr>
        <w:t>, 15(3), 369-388.</w:t>
      </w:r>
    </w:p>
    <w:sectPr w:rsidR="00EF1015" w:rsidRPr="00EF1015" w:rsidSect="00672EA7">
      <w:pgSz w:w="12240" w:h="15840"/>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733AFF"/>
    <w:multiLevelType w:val="multilevel"/>
    <w:tmpl w:val="31920C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023726D2"/>
    <w:multiLevelType w:val="multilevel"/>
    <w:tmpl w:val="FECA50D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066E6113"/>
    <w:multiLevelType w:val="multilevel"/>
    <w:tmpl w:val="B25AD9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5407DB"/>
    <w:multiLevelType w:val="multilevel"/>
    <w:tmpl w:val="FF7A9D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115D4E09"/>
    <w:multiLevelType w:val="multilevel"/>
    <w:tmpl w:val="E814D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nsid w:val="1CFE7C06"/>
    <w:multiLevelType w:val="multilevel"/>
    <w:tmpl w:val="A36E1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D4A5B37"/>
    <w:multiLevelType w:val="multilevel"/>
    <w:tmpl w:val="3CC247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254C08D3"/>
    <w:multiLevelType w:val="multilevel"/>
    <w:tmpl w:val="52DA0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2FC72455"/>
    <w:multiLevelType w:val="multilevel"/>
    <w:tmpl w:val="FCC25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nsid w:val="30AB4817"/>
    <w:multiLevelType w:val="multilevel"/>
    <w:tmpl w:val="DD966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nsid w:val="316E04F7"/>
    <w:multiLevelType w:val="multilevel"/>
    <w:tmpl w:val="43E06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31F24F3F"/>
    <w:multiLevelType w:val="multilevel"/>
    <w:tmpl w:val="BBCAAF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31FB2D2B"/>
    <w:multiLevelType w:val="multilevel"/>
    <w:tmpl w:val="210AFC5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nsid w:val="3AE06110"/>
    <w:multiLevelType w:val="multilevel"/>
    <w:tmpl w:val="E3D04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44094C1E"/>
    <w:multiLevelType w:val="multilevel"/>
    <w:tmpl w:val="DF80B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DB30572"/>
    <w:multiLevelType w:val="multilevel"/>
    <w:tmpl w:val="251E5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nsid w:val="4FA95092"/>
    <w:multiLevelType w:val="multilevel"/>
    <w:tmpl w:val="648234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4FB22375"/>
    <w:multiLevelType w:val="multilevel"/>
    <w:tmpl w:val="0E1A6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51C81A9C"/>
    <w:multiLevelType w:val="multilevel"/>
    <w:tmpl w:val="206084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52670349"/>
    <w:multiLevelType w:val="multilevel"/>
    <w:tmpl w:val="5B5A2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nsid w:val="53175348"/>
    <w:multiLevelType w:val="multilevel"/>
    <w:tmpl w:val="622A7F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57580C92"/>
    <w:multiLevelType w:val="multilevel"/>
    <w:tmpl w:val="BA12D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nsid w:val="5A193A08"/>
    <w:multiLevelType w:val="hybridMultilevel"/>
    <w:tmpl w:val="0B60E26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5E117DCC"/>
    <w:multiLevelType w:val="multilevel"/>
    <w:tmpl w:val="9CC0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nsid w:val="5E55288F"/>
    <w:multiLevelType w:val="multilevel"/>
    <w:tmpl w:val="3F3C53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620108EF"/>
    <w:multiLevelType w:val="multilevel"/>
    <w:tmpl w:val="F2CE90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nsid w:val="6429437C"/>
    <w:multiLevelType w:val="multilevel"/>
    <w:tmpl w:val="50F09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67561A33"/>
    <w:multiLevelType w:val="multilevel"/>
    <w:tmpl w:val="98A0BA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nsid w:val="6E336BC6"/>
    <w:multiLevelType w:val="multilevel"/>
    <w:tmpl w:val="AEAA1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nsid w:val="6E661D18"/>
    <w:multiLevelType w:val="multilevel"/>
    <w:tmpl w:val="B9B85A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nsid w:val="74C32660"/>
    <w:multiLevelType w:val="multilevel"/>
    <w:tmpl w:val="BBC4C4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nsid w:val="7D2B235A"/>
    <w:multiLevelType w:val="multilevel"/>
    <w:tmpl w:val="EAC2C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2"/>
  </w:num>
  <w:num w:numId="2">
    <w:abstractNumId w:val="1"/>
  </w:num>
  <w:num w:numId="3">
    <w:abstractNumId w:val="21"/>
  </w:num>
  <w:num w:numId="4">
    <w:abstractNumId w:val="12"/>
  </w:num>
  <w:num w:numId="5">
    <w:abstractNumId w:val="8"/>
  </w:num>
  <w:num w:numId="6">
    <w:abstractNumId w:val="4"/>
  </w:num>
  <w:num w:numId="7">
    <w:abstractNumId w:val="10"/>
  </w:num>
  <w:num w:numId="8">
    <w:abstractNumId w:val="18"/>
  </w:num>
  <w:num w:numId="9">
    <w:abstractNumId w:val="19"/>
  </w:num>
  <w:num w:numId="10">
    <w:abstractNumId w:val="15"/>
  </w:num>
  <w:num w:numId="11">
    <w:abstractNumId w:val="5"/>
  </w:num>
  <w:num w:numId="12">
    <w:abstractNumId w:val="17"/>
  </w:num>
  <w:num w:numId="13">
    <w:abstractNumId w:val="28"/>
  </w:num>
  <w:num w:numId="14">
    <w:abstractNumId w:val="26"/>
  </w:num>
  <w:num w:numId="15">
    <w:abstractNumId w:val="25"/>
  </w:num>
  <w:num w:numId="16">
    <w:abstractNumId w:val="7"/>
  </w:num>
  <w:num w:numId="17">
    <w:abstractNumId w:val="23"/>
  </w:num>
  <w:num w:numId="18">
    <w:abstractNumId w:val="13"/>
  </w:num>
  <w:num w:numId="19">
    <w:abstractNumId w:val="0"/>
  </w:num>
  <w:num w:numId="20">
    <w:abstractNumId w:val="11"/>
  </w:num>
  <w:num w:numId="21">
    <w:abstractNumId w:val="30"/>
  </w:num>
  <w:num w:numId="22">
    <w:abstractNumId w:val="9"/>
  </w:num>
  <w:num w:numId="23">
    <w:abstractNumId w:val="27"/>
  </w:num>
  <w:num w:numId="24">
    <w:abstractNumId w:val="20"/>
  </w:num>
  <w:num w:numId="25">
    <w:abstractNumId w:val="16"/>
  </w:num>
  <w:num w:numId="26">
    <w:abstractNumId w:val="24"/>
  </w:num>
  <w:num w:numId="27">
    <w:abstractNumId w:val="14"/>
  </w:num>
  <w:num w:numId="28">
    <w:abstractNumId w:val="31"/>
  </w:num>
  <w:num w:numId="29">
    <w:abstractNumId w:val="3"/>
  </w:num>
  <w:num w:numId="30">
    <w:abstractNumId w:val="29"/>
  </w:num>
  <w:num w:numId="31">
    <w:abstractNumId w:val="2"/>
  </w:num>
  <w:num w:numId="32">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4"/>
  <w:proofState w:spelling="clean" w:grammar="clean"/>
  <w:defaultTabStop w:val="720"/>
  <w:characterSpacingControl w:val="doNotCompress"/>
  <w:compat/>
  <w:rsids>
    <w:rsidRoot w:val="009D421F"/>
    <w:rsid w:val="000A1B90"/>
    <w:rsid w:val="00360B0F"/>
    <w:rsid w:val="003A3B46"/>
    <w:rsid w:val="003D62F1"/>
    <w:rsid w:val="00495A03"/>
    <w:rsid w:val="004A5B01"/>
    <w:rsid w:val="004F6E4E"/>
    <w:rsid w:val="00672EA7"/>
    <w:rsid w:val="006A5246"/>
    <w:rsid w:val="00746D17"/>
    <w:rsid w:val="0078039E"/>
    <w:rsid w:val="007C58FC"/>
    <w:rsid w:val="0081643C"/>
    <w:rsid w:val="008B22C7"/>
    <w:rsid w:val="009D421F"/>
    <w:rsid w:val="00A454A9"/>
    <w:rsid w:val="00B16C61"/>
    <w:rsid w:val="00B74537"/>
    <w:rsid w:val="00BB5DD3"/>
    <w:rsid w:val="00C448D7"/>
    <w:rsid w:val="00CF1780"/>
    <w:rsid w:val="00D26592"/>
    <w:rsid w:val="00D34C2C"/>
    <w:rsid w:val="00D574A2"/>
    <w:rsid w:val="00D915F8"/>
    <w:rsid w:val="00DB667C"/>
    <w:rsid w:val="00EC504E"/>
    <w:rsid w:val="00EF1015"/>
    <w:rsid w:val="00F64184"/>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6592"/>
  </w:style>
  <w:style w:type="paragraph" w:styleId="Heading1">
    <w:name w:val="heading 1"/>
    <w:basedOn w:val="Normal"/>
    <w:next w:val="Normal"/>
    <w:link w:val="Heading1Char"/>
    <w:uiPriority w:val="9"/>
    <w:qFormat/>
    <w:rsid w:val="0081643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link w:val="Heading2Char"/>
    <w:uiPriority w:val="9"/>
    <w:qFormat/>
    <w:rsid w:val="00C448D7"/>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448D7"/>
    <w:pPr>
      <w:spacing w:before="100" w:beforeAutospacing="1" w:after="100" w:afterAutospacing="1" w:line="240" w:lineRule="auto"/>
      <w:outlineLvl w:val="2"/>
    </w:pPr>
    <w:rPr>
      <w:rFonts w:ascii="Times New Roman" w:eastAsia="Times New Roman" w:hAnsi="Times New Roman" w:cs="Times New Roman"/>
      <w:b/>
      <w:bCs/>
      <w:sz w:val="27"/>
      <w:szCs w:val="27"/>
    </w:rPr>
  </w:style>
  <w:style w:type="paragraph" w:styleId="Heading4">
    <w:name w:val="heading 4"/>
    <w:basedOn w:val="Normal"/>
    <w:next w:val="Normal"/>
    <w:link w:val="Heading4Char"/>
    <w:uiPriority w:val="9"/>
    <w:semiHidden/>
    <w:unhideWhenUsed/>
    <w:qFormat/>
    <w:rsid w:val="008B22C7"/>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915F8"/>
    <w:pPr>
      <w:ind w:left="720"/>
      <w:contextualSpacing/>
    </w:pPr>
  </w:style>
  <w:style w:type="paragraph" w:styleId="BalloonText">
    <w:name w:val="Balloon Text"/>
    <w:basedOn w:val="Normal"/>
    <w:link w:val="BalloonTextChar"/>
    <w:uiPriority w:val="99"/>
    <w:semiHidden/>
    <w:unhideWhenUsed/>
    <w:rsid w:val="00D2659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26592"/>
    <w:rPr>
      <w:rFonts w:ascii="Tahoma" w:hAnsi="Tahoma" w:cs="Tahoma"/>
      <w:sz w:val="16"/>
      <w:szCs w:val="16"/>
    </w:rPr>
  </w:style>
  <w:style w:type="character" w:customStyle="1" w:styleId="Heading2Char">
    <w:name w:val="Heading 2 Char"/>
    <w:basedOn w:val="DefaultParagraphFont"/>
    <w:link w:val="Heading2"/>
    <w:uiPriority w:val="9"/>
    <w:rsid w:val="00C448D7"/>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448D7"/>
    <w:rPr>
      <w:rFonts w:ascii="Times New Roman" w:eastAsia="Times New Roman" w:hAnsi="Times New Roman" w:cs="Times New Roman"/>
      <w:b/>
      <w:bCs/>
      <w:sz w:val="27"/>
      <w:szCs w:val="27"/>
    </w:rPr>
  </w:style>
  <w:style w:type="paragraph" w:styleId="NormalWeb">
    <w:name w:val="Normal (Web)"/>
    <w:basedOn w:val="Normal"/>
    <w:uiPriority w:val="99"/>
    <w:unhideWhenUsed/>
    <w:rsid w:val="00C448D7"/>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48D7"/>
    <w:rPr>
      <w:i/>
      <w:iCs/>
    </w:rPr>
  </w:style>
  <w:style w:type="character" w:styleId="Strong">
    <w:name w:val="Strong"/>
    <w:basedOn w:val="DefaultParagraphFont"/>
    <w:uiPriority w:val="22"/>
    <w:qFormat/>
    <w:rsid w:val="00C448D7"/>
    <w:rPr>
      <w:b/>
      <w:bCs/>
    </w:rPr>
  </w:style>
  <w:style w:type="character" w:styleId="Hyperlink">
    <w:name w:val="Hyperlink"/>
    <w:basedOn w:val="DefaultParagraphFont"/>
    <w:uiPriority w:val="99"/>
    <w:semiHidden/>
    <w:unhideWhenUsed/>
    <w:rsid w:val="00C448D7"/>
    <w:rPr>
      <w:color w:val="0000FF"/>
      <w:u w:val="single"/>
    </w:rPr>
  </w:style>
  <w:style w:type="character" w:customStyle="1" w:styleId="Heading4Char">
    <w:name w:val="Heading 4 Char"/>
    <w:basedOn w:val="DefaultParagraphFont"/>
    <w:link w:val="Heading4"/>
    <w:uiPriority w:val="9"/>
    <w:semiHidden/>
    <w:rsid w:val="008B22C7"/>
    <w:rPr>
      <w:rFonts w:asciiTheme="majorHAnsi" w:eastAsiaTheme="majorEastAsia" w:hAnsiTheme="majorHAnsi" w:cstheme="majorBidi"/>
      <w:b/>
      <w:bCs/>
      <w:i/>
      <w:iCs/>
      <w:color w:val="4F81BD" w:themeColor="accent1"/>
    </w:rPr>
  </w:style>
  <w:style w:type="character" w:customStyle="1" w:styleId="Heading1Char">
    <w:name w:val="Heading 1 Char"/>
    <w:basedOn w:val="DefaultParagraphFont"/>
    <w:link w:val="Heading1"/>
    <w:uiPriority w:val="9"/>
    <w:rsid w:val="0081643C"/>
    <w:rPr>
      <w:rFonts w:asciiTheme="majorHAnsi" w:eastAsiaTheme="majorEastAsia" w:hAnsiTheme="majorHAnsi" w:cstheme="majorBidi"/>
      <w:b/>
      <w:bCs/>
      <w:color w:val="365F91" w:themeColor="accent1" w:themeShade="BF"/>
      <w:sz w:val="28"/>
      <w:szCs w:val="28"/>
    </w:rPr>
  </w:style>
</w:styles>
</file>

<file path=word/webSettings.xml><?xml version="1.0" encoding="utf-8"?>
<w:webSettings xmlns:r="http://schemas.openxmlformats.org/officeDocument/2006/relationships" xmlns:w="http://schemas.openxmlformats.org/wordprocessingml/2006/main">
  <w:divs>
    <w:div w:id="12658254">
      <w:bodyDiv w:val="1"/>
      <w:marLeft w:val="0"/>
      <w:marRight w:val="0"/>
      <w:marTop w:val="0"/>
      <w:marBottom w:val="0"/>
      <w:divBdr>
        <w:top w:val="none" w:sz="0" w:space="0" w:color="auto"/>
        <w:left w:val="none" w:sz="0" w:space="0" w:color="auto"/>
        <w:bottom w:val="none" w:sz="0" w:space="0" w:color="auto"/>
        <w:right w:val="none" w:sz="0" w:space="0" w:color="auto"/>
      </w:divBdr>
    </w:div>
    <w:div w:id="58481612">
      <w:bodyDiv w:val="1"/>
      <w:marLeft w:val="0"/>
      <w:marRight w:val="0"/>
      <w:marTop w:val="0"/>
      <w:marBottom w:val="0"/>
      <w:divBdr>
        <w:top w:val="none" w:sz="0" w:space="0" w:color="auto"/>
        <w:left w:val="none" w:sz="0" w:space="0" w:color="auto"/>
        <w:bottom w:val="none" w:sz="0" w:space="0" w:color="auto"/>
        <w:right w:val="none" w:sz="0" w:space="0" w:color="auto"/>
      </w:divBdr>
    </w:div>
    <w:div w:id="80413000">
      <w:bodyDiv w:val="1"/>
      <w:marLeft w:val="0"/>
      <w:marRight w:val="0"/>
      <w:marTop w:val="0"/>
      <w:marBottom w:val="0"/>
      <w:divBdr>
        <w:top w:val="none" w:sz="0" w:space="0" w:color="auto"/>
        <w:left w:val="none" w:sz="0" w:space="0" w:color="auto"/>
        <w:bottom w:val="none" w:sz="0" w:space="0" w:color="auto"/>
        <w:right w:val="none" w:sz="0" w:space="0" w:color="auto"/>
      </w:divBdr>
    </w:div>
    <w:div w:id="97484774">
      <w:bodyDiv w:val="1"/>
      <w:marLeft w:val="0"/>
      <w:marRight w:val="0"/>
      <w:marTop w:val="0"/>
      <w:marBottom w:val="0"/>
      <w:divBdr>
        <w:top w:val="none" w:sz="0" w:space="0" w:color="auto"/>
        <w:left w:val="none" w:sz="0" w:space="0" w:color="auto"/>
        <w:bottom w:val="none" w:sz="0" w:space="0" w:color="auto"/>
        <w:right w:val="none" w:sz="0" w:space="0" w:color="auto"/>
      </w:divBdr>
    </w:div>
    <w:div w:id="120853888">
      <w:bodyDiv w:val="1"/>
      <w:marLeft w:val="0"/>
      <w:marRight w:val="0"/>
      <w:marTop w:val="0"/>
      <w:marBottom w:val="0"/>
      <w:divBdr>
        <w:top w:val="none" w:sz="0" w:space="0" w:color="auto"/>
        <w:left w:val="none" w:sz="0" w:space="0" w:color="auto"/>
        <w:bottom w:val="none" w:sz="0" w:space="0" w:color="auto"/>
        <w:right w:val="none" w:sz="0" w:space="0" w:color="auto"/>
      </w:divBdr>
    </w:div>
    <w:div w:id="327098994">
      <w:bodyDiv w:val="1"/>
      <w:marLeft w:val="0"/>
      <w:marRight w:val="0"/>
      <w:marTop w:val="0"/>
      <w:marBottom w:val="0"/>
      <w:divBdr>
        <w:top w:val="none" w:sz="0" w:space="0" w:color="auto"/>
        <w:left w:val="none" w:sz="0" w:space="0" w:color="auto"/>
        <w:bottom w:val="none" w:sz="0" w:space="0" w:color="auto"/>
        <w:right w:val="none" w:sz="0" w:space="0" w:color="auto"/>
      </w:divBdr>
    </w:div>
    <w:div w:id="458452816">
      <w:bodyDiv w:val="1"/>
      <w:marLeft w:val="0"/>
      <w:marRight w:val="0"/>
      <w:marTop w:val="0"/>
      <w:marBottom w:val="0"/>
      <w:divBdr>
        <w:top w:val="none" w:sz="0" w:space="0" w:color="auto"/>
        <w:left w:val="none" w:sz="0" w:space="0" w:color="auto"/>
        <w:bottom w:val="none" w:sz="0" w:space="0" w:color="auto"/>
        <w:right w:val="none" w:sz="0" w:space="0" w:color="auto"/>
      </w:divBdr>
    </w:div>
    <w:div w:id="568268601">
      <w:bodyDiv w:val="1"/>
      <w:marLeft w:val="0"/>
      <w:marRight w:val="0"/>
      <w:marTop w:val="0"/>
      <w:marBottom w:val="0"/>
      <w:divBdr>
        <w:top w:val="none" w:sz="0" w:space="0" w:color="auto"/>
        <w:left w:val="none" w:sz="0" w:space="0" w:color="auto"/>
        <w:bottom w:val="none" w:sz="0" w:space="0" w:color="auto"/>
        <w:right w:val="none" w:sz="0" w:space="0" w:color="auto"/>
      </w:divBdr>
    </w:div>
    <w:div w:id="1063990705">
      <w:bodyDiv w:val="1"/>
      <w:marLeft w:val="0"/>
      <w:marRight w:val="0"/>
      <w:marTop w:val="0"/>
      <w:marBottom w:val="0"/>
      <w:divBdr>
        <w:top w:val="none" w:sz="0" w:space="0" w:color="auto"/>
        <w:left w:val="none" w:sz="0" w:space="0" w:color="auto"/>
        <w:bottom w:val="none" w:sz="0" w:space="0" w:color="auto"/>
        <w:right w:val="none" w:sz="0" w:space="0" w:color="auto"/>
      </w:divBdr>
    </w:div>
    <w:div w:id="1320113450">
      <w:bodyDiv w:val="1"/>
      <w:marLeft w:val="0"/>
      <w:marRight w:val="0"/>
      <w:marTop w:val="0"/>
      <w:marBottom w:val="0"/>
      <w:divBdr>
        <w:top w:val="none" w:sz="0" w:space="0" w:color="auto"/>
        <w:left w:val="none" w:sz="0" w:space="0" w:color="auto"/>
        <w:bottom w:val="none" w:sz="0" w:space="0" w:color="auto"/>
        <w:right w:val="none" w:sz="0" w:space="0" w:color="auto"/>
      </w:divBdr>
    </w:div>
    <w:div w:id="1626302707">
      <w:bodyDiv w:val="1"/>
      <w:marLeft w:val="0"/>
      <w:marRight w:val="0"/>
      <w:marTop w:val="0"/>
      <w:marBottom w:val="0"/>
      <w:divBdr>
        <w:top w:val="none" w:sz="0" w:space="0" w:color="auto"/>
        <w:left w:val="none" w:sz="0" w:space="0" w:color="auto"/>
        <w:bottom w:val="none" w:sz="0" w:space="0" w:color="auto"/>
        <w:right w:val="none" w:sz="0" w:space="0" w:color="auto"/>
      </w:divBdr>
    </w:div>
    <w:div w:id="1631934959">
      <w:bodyDiv w:val="1"/>
      <w:marLeft w:val="0"/>
      <w:marRight w:val="0"/>
      <w:marTop w:val="0"/>
      <w:marBottom w:val="0"/>
      <w:divBdr>
        <w:top w:val="none" w:sz="0" w:space="0" w:color="auto"/>
        <w:left w:val="none" w:sz="0" w:space="0" w:color="auto"/>
        <w:bottom w:val="none" w:sz="0" w:space="0" w:color="auto"/>
        <w:right w:val="none" w:sz="0" w:space="0" w:color="auto"/>
      </w:divBdr>
    </w:div>
    <w:div w:id="1640842870">
      <w:bodyDiv w:val="1"/>
      <w:marLeft w:val="0"/>
      <w:marRight w:val="0"/>
      <w:marTop w:val="0"/>
      <w:marBottom w:val="0"/>
      <w:divBdr>
        <w:top w:val="none" w:sz="0" w:space="0" w:color="auto"/>
        <w:left w:val="none" w:sz="0" w:space="0" w:color="auto"/>
        <w:bottom w:val="none" w:sz="0" w:space="0" w:color="auto"/>
        <w:right w:val="none" w:sz="0" w:space="0" w:color="auto"/>
      </w:divBdr>
    </w:div>
    <w:div w:id="1688798628">
      <w:bodyDiv w:val="1"/>
      <w:marLeft w:val="0"/>
      <w:marRight w:val="0"/>
      <w:marTop w:val="0"/>
      <w:marBottom w:val="0"/>
      <w:divBdr>
        <w:top w:val="none" w:sz="0" w:space="0" w:color="auto"/>
        <w:left w:val="none" w:sz="0" w:space="0" w:color="auto"/>
        <w:bottom w:val="none" w:sz="0" w:space="0" w:color="auto"/>
        <w:right w:val="none" w:sz="0" w:space="0" w:color="auto"/>
      </w:divBdr>
    </w:div>
    <w:div w:id="1767460776">
      <w:bodyDiv w:val="1"/>
      <w:marLeft w:val="0"/>
      <w:marRight w:val="0"/>
      <w:marTop w:val="0"/>
      <w:marBottom w:val="0"/>
      <w:divBdr>
        <w:top w:val="none" w:sz="0" w:space="0" w:color="auto"/>
        <w:left w:val="none" w:sz="0" w:space="0" w:color="auto"/>
        <w:bottom w:val="none" w:sz="0" w:space="0" w:color="auto"/>
        <w:right w:val="none" w:sz="0" w:space="0" w:color="auto"/>
      </w:divBdr>
    </w:div>
    <w:div w:id="1787893713">
      <w:bodyDiv w:val="1"/>
      <w:marLeft w:val="0"/>
      <w:marRight w:val="0"/>
      <w:marTop w:val="0"/>
      <w:marBottom w:val="0"/>
      <w:divBdr>
        <w:top w:val="none" w:sz="0" w:space="0" w:color="auto"/>
        <w:left w:val="none" w:sz="0" w:space="0" w:color="auto"/>
        <w:bottom w:val="none" w:sz="0" w:space="0" w:color="auto"/>
        <w:right w:val="none" w:sz="0" w:space="0" w:color="auto"/>
      </w:divBdr>
    </w:div>
    <w:div w:id="1794397411">
      <w:bodyDiv w:val="1"/>
      <w:marLeft w:val="0"/>
      <w:marRight w:val="0"/>
      <w:marTop w:val="0"/>
      <w:marBottom w:val="0"/>
      <w:divBdr>
        <w:top w:val="none" w:sz="0" w:space="0" w:color="auto"/>
        <w:left w:val="none" w:sz="0" w:space="0" w:color="auto"/>
        <w:bottom w:val="none" w:sz="0" w:space="0" w:color="auto"/>
        <w:right w:val="none" w:sz="0" w:space="0" w:color="auto"/>
      </w:divBdr>
    </w:div>
    <w:div w:id="1878663980">
      <w:bodyDiv w:val="1"/>
      <w:marLeft w:val="0"/>
      <w:marRight w:val="0"/>
      <w:marTop w:val="0"/>
      <w:marBottom w:val="0"/>
      <w:divBdr>
        <w:top w:val="none" w:sz="0" w:space="0" w:color="auto"/>
        <w:left w:val="none" w:sz="0" w:space="0" w:color="auto"/>
        <w:bottom w:val="none" w:sz="0" w:space="0" w:color="auto"/>
        <w:right w:val="none" w:sz="0" w:space="0" w:color="auto"/>
      </w:divBdr>
    </w:div>
    <w:div w:id="1893227582">
      <w:bodyDiv w:val="1"/>
      <w:marLeft w:val="0"/>
      <w:marRight w:val="0"/>
      <w:marTop w:val="0"/>
      <w:marBottom w:val="0"/>
      <w:divBdr>
        <w:top w:val="none" w:sz="0" w:space="0" w:color="auto"/>
        <w:left w:val="none" w:sz="0" w:space="0" w:color="auto"/>
        <w:bottom w:val="none" w:sz="0" w:space="0" w:color="auto"/>
        <w:right w:val="none" w:sz="0" w:space="0" w:color="auto"/>
      </w:divBdr>
      <w:divsChild>
        <w:div w:id="1634679751">
          <w:blockQuote w:val="1"/>
          <w:marLeft w:val="720"/>
          <w:marRight w:val="720"/>
          <w:marTop w:val="100"/>
          <w:marBottom w:val="100"/>
          <w:divBdr>
            <w:top w:val="none" w:sz="0" w:space="0" w:color="auto"/>
            <w:left w:val="none" w:sz="0" w:space="0" w:color="auto"/>
            <w:bottom w:val="none" w:sz="0" w:space="0" w:color="auto"/>
            <w:right w:val="none" w:sz="0" w:space="0" w:color="auto"/>
          </w:divBdr>
        </w:div>
        <w:div w:id="803430492">
          <w:blockQuote w:val="1"/>
          <w:marLeft w:val="720"/>
          <w:marRight w:val="720"/>
          <w:marTop w:val="100"/>
          <w:marBottom w:val="100"/>
          <w:divBdr>
            <w:top w:val="none" w:sz="0" w:space="0" w:color="auto"/>
            <w:left w:val="none" w:sz="0" w:space="0" w:color="auto"/>
            <w:bottom w:val="none" w:sz="0" w:space="0" w:color="auto"/>
            <w:right w:val="none" w:sz="0" w:space="0" w:color="auto"/>
          </w:divBdr>
        </w:div>
        <w:div w:id="1288584597">
          <w:blockQuote w:val="1"/>
          <w:marLeft w:val="720"/>
          <w:marRight w:val="720"/>
          <w:marTop w:val="100"/>
          <w:marBottom w:val="100"/>
          <w:divBdr>
            <w:top w:val="none" w:sz="0" w:space="0" w:color="auto"/>
            <w:left w:val="none" w:sz="0" w:space="0" w:color="auto"/>
            <w:bottom w:val="none" w:sz="0" w:space="0" w:color="auto"/>
            <w:right w:val="none" w:sz="0" w:space="0" w:color="auto"/>
          </w:divBdr>
        </w:div>
        <w:div w:id="1907717505">
          <w:marLeft w:val="0"/>
          <w:marRight w:val="0"/>
          <w:marTop w:val="0"/>
          <w:marBottom w:val="0"/>
          <w:divBdr>
            <w:top w:val="none" w:sz="0" w:space="0" w:color="auto"/>
            <w:left w:val="none" w:sz="0" w:space="0" w:color="auto"/>
            <w:bottom w:val="none" w:sz="0" w:space="0" w:color="auto"/>
            <w:right w:val="none" w:sz="0" w:space="0" w:color="auto"/>
          </w:divBdr>
          <w:divsChild>
            <w:div w:id="1404374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5431017">
      <w:bodyDiv w:val="1"/>
      <w:marLeft w:val="0"/>
      <w:marRight w:val="0"/>
      <w:marTop w:val="0"/>
      <w:marBottom w:val="0"/>
      <w:divBdr>
        <w:top w:val="none" w:sz="0" w:space="0" w:color="auto"/>
        <w:left w:val="none" w:sz="0" w:space="0" w:color="auto"/>
        <w:bottom w:val="none" w:sz="0" w:space="0" w:color="auto"/>
        <w:right w:val="none" w:sz="0" w:space="0" w:color="auto"/>
      </w:divBdr>
    </w:div>
    <w:div w:id="2026590655">
      <w:bodyDiv w:val="1"/>
      <w:marLeft w:val="0"/>
      <w:marRight w:val="0"/>
      <w:marTop w:val="0"/>
      <w:marBottom w:val="0"/>
      <w:divBdr>
        <w:top w:val="none" w:sz="0" w:space="0" w:color="auto"/>
        <w:left w:val="none" w:sz="0" w:space="0" w:color="auto"/>
        <w:bottom w:val="none" w:sz="0" w:space="0" w:color="auto"/>
        <w:right w:val="none" w:sz="0" w:space="0" w:color="auto"/>
      </w:divBdr>
    </w:div>
    <w:div w:id="20553053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1334</TotalTime>
  <Pages>12</Pages>
  <Words>4526</Words>
  <Characters>25802</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30268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ANCHALIKA</dc:creator>
  <cp:lastModifiedBy>ANCHALIKA</cp:lastModifiedBy>
  <cp:revision>14</cp:revision>
  <dcterms:created xsi:type="dcterms:W3CDTF">2025-06-15T05:53:00Z</dcterms:created>
  <dcterms:modified xsi:type="dcterms:W3CDTF">2025-09-09T04:01:00Z</dcterms:modified>
</cp:coreProperties>
</file>