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AAA02" w14:textId="77777777" w:rsidR="00EA01D9" w:rsidRPr="003A6718" w:rsidRDefault="00EA01D9">
      <w:pPr>
        <w:spacing w:before="2400"/>
        <w:rPr>
          <w:rFonts w:cs="Times New Roman"/>
          <w:color w:val="000000" w:themeColor="text1"/>
        </w:rPr>
      </w:pPr>
    </w:p>
    <w:p w14:paraId="2958D443" w14:textId="77777777" w:rsidR="00EA01D9" w:rsidRPr="003A6718" w:rsidRDefault="00150FE0">
      <w:pPr>
        <w:jc w:val="center"/>
        <w:rPr>
          <w:rFonts w:cs="Times New Roman"/>
          <w:color w:val="000000" w:themeColor="text1"/>
        </w:rPr>
      </w:pPr>
      <w:r w:rsidRPr="003A6718">
        <w:rPr>
          <w:rFonts w:cs="Times New Roman"/>
          <w:b/>
          <w:color w:val="000000" w:themeColor="text1"/>
          <w:sz w:val="36"/>
        </w:rPr>
        <w:t>A CRITICAL EVALUATION OF CAPITAL STRUCTURE, INVESTMENT DECISIONS, AND CORPORATE VALUE MAXIMIZATION</w:t>
      </w:r>
    </w:p>
    <w:p w14:paraId="4FD3D765" w14:textId="77777777" w:rsidR="00EA01D9" w:rsidRPr="003A6718" w:rsidRDefault="00150FE0">
      <w:pPr>
        <w:spacing w:before="240"/>
        <w:jc w:val="center"/>
        <w:rPr>
          <w:rFonts w:cs="Times New Roman"/>
          <w:color w:val="000000" w:themeColor="text1"/>
        </w:rPr>
      </w:pPr>
      <w:r w:rsidRPr="003A6718">
        <w:rPr>
          <w:rFonts w:cs="Times New Roman"/>
          <w:i/>
          <w:color w:val="000000" w:themeColor="text1"/>
          <w:sz w:val="26"/>
        </w:rPr>
        <w:t>An Empirical Application of Multi-Criteria Capital Budgeting Frameworks and Quantitative Optimization Simulations</w:t>
      </w:r>
    </w:p>
    <w:p w14:paraId="0CFB1B5B" w14:textId="77777777" w:rsidR="00EA01D9" w:rsidRPr="003A6718" w:rsidRDefault="00EA01D9">
      <w:pPr>
        <w:spacing w:before="3600"/>
        <w:rPr>
          <w:rFonts w:cs="Times New Roman"/>
          <w:color w:val="000000" w:themeColor="text1"/>
        </w:rPr>
      </w:pPr>
    </w:p>
    <w:p w14:paraId="1855277C" w14:textId="77777777" w:rsidR="00EA01D9" w:rsidRPr="003A6718" w:rsidRDefault="00150FE0">
      <w:pPr>
        <w:jc w:val="center"/>
        <w:rPr>
          <w:rFonts w:cs="Times New Roman"/>
          <w:color w:val="000000" w:themeColor="text1"/>
        </w:rPr>
      </w:pPr>
      <w:r w:rsidRPr="003A6718">
        <w:rPr>
          <w:rFonts w:cs="Times New Roman"/>
          <w:color w:val="000000" w:themeColor="text1"/>
          <w:sz w:val="22"/>
        </w:rPr>
        <w:t>Module: M07 – Financial Management</w:t>
      </w:r>
      <w:r w:rsidRPr="003A6718">
        <w:rPr>
          <w:rFonts w:cs="Times New Roman"/>
          <w:color w:val="000000" w:themeColor="text1"/>
          <w:sz w:val="22"/>
        </w:rPr>
        <w:br/>
        <w:t>Assignment Option 2: Capital Structure, Investment Decisions, and Business Value</w:t>
      </w:r>
      <w:r w:rsidRPr="003A6718">
        <w:rPr>
          <w:rFonts w:cs="Times New Roman"/>
          <w:color w:val="000000" w:themeColor="text1"/>
          <w:sz w:val="22"/>
        </w:rPr>
        <w:br/>
        <w:t>Submission Date: 24th May 2026</w:t>
      </w:r>
      <w:r w:rsidRPr="003A6718">
        <w:rPr>
          <w:rFonts w:cs="Times New Roman"/>
          <w:color w:val="000000" w:themeColor="text1"/>
          <w:sz w:val="22"/>
        </w:rPr>
        <w:br/>
        <w:t>Status: Final Rigorous Draft</w:t>
      </w:r>
    </w:p>
    <w:p w14:paraId="15D88715" w14:textId="77777777" w:rsidR="00EA01D9" w:rsidRPr="003A6718" w:rsidRDefault="00150FE0">
      <w:pPr>
        <w:rPr>
          <w:rFonts w:cs="Times New Roman"/>
          <w:color w:val="000000" w:themeColor="text1"/>
        </w:rPr>
      </w:pPr>
      <w:r w:rsidRPr="003A6718">
        <w:rPr>
          <w:rFonts w:cs="Times New Roman"/>
          <w:color w:val="000000" w:themeColor="text1"/>
        </w:rPr>
        <w:br w:type="page"/>
      </w:r>
    </w:p>
    <w:sdt>
      <w:sdtPr>
        <w:rPr>
          <w:rFonts w:ascii="Times New Roman" w:eastAsiaTheme="minorEastAsia" w:hAnsi="Times New Roman" w:cs="Times New Roman"/>
          <w:b w:val="0"/>
          <w:bCs w:val="0"/>
          <w:color w:val="000000" w:themeColor="text1"/>
          <w:sz w:val="24"/>
          <w:szCs w:val="22"/>
        </w:rPr>
        <w:id w:val="1393390595"/>
        <w:docPartObj>
          <w:docPartGallery w:val="Table of Contents"/>
          <w:docPartUnique/>
        </w:docPartObj>
      </w:sdtPr>
      <w:sdtEndPr>
        <w:rPr>
          <w:noProof/>
        </w:rPr>
      </w:sdtEndPr>
      <w:sdtContent>
        <w:p w14:paraId="0EAE6EA4" w14:textId="1D6E3F81" w:rsidR="00B07BCB" w:rsidRPr="003A6718" w:rsidRDefault="00B07BCB">
          <w:pPr>
            <w:pStyle w:val="TOCHeading"/>
            <w:rPr>
              <w:rFonts w:ascii="Times New Roman" w:hAnsi="Times New Roman" w:cs="Times New Roman"/>
              <w:color w:val="000000" w:themeColor="text1"/>
              <w:sz w:val="32"/>
              <w:szCs w:val="32"/>
            </w:rPr>
          </w:pPr>
          <w:r w:rsidRPr="003A6718">
            <w:rPr>
              <w:rFonts w:ascii="Times New Roman" w:hAnsi="Times New Roman" w:cs="Times New Roman"/>
              <w:color w:val="000000" w:themeColor="text1"/>
              <w:sz w:val="32"/>
              <w:szCs w:val="32"/>
            </w:rPr>
            <w:t>Table of Contents</w:t>
          </w:r>
        </w:p>
        <w:p w14:paraId="03447D0F" w14:textId="2AF59B4E" w:rsidR="00B07BCB" w:rsidRPr="003A6718" w:rsidRDefault="00B07BCB">
          <w:pPr>
            <w:pStyle w:val="TOC1"/>
            <w:tabs>
              <w:tab w:val="right" w:leader="dot" w:pos="9019"/>
            </w:tabs>
            <w:rPr>
              <w:rFonts w:cs="Times New Roman"/>
              <w:noProof/>
              <w:color w:val="000000" w:themeColor="text1"/>
            </w:rPr>
          </w:pPr>
          <w:r w:rsidRPr="003A6718">
            <w:rPr>
              <w:rFonts w:cs="Times New Roman"/>
              <w:color w:val="000000" w:themeColor="text1"/>
            </w:rPr>
            <w:fldChar w:fldCharType="begin"/>
          </w:r>
          <w:r w:rsidRPr="003A6718">
            <w:rPr>
              <w:rFonts w:cs="Times New Roman"/>
              <w:color w:val="000000" w:themeColor="text1"/>
            </w:rPr>
            <w:instrText xml:space="preserve"> TOC \o "1-3" \h \z \u </w:instrText>
          </w:r>
          <w:r w:rsidRPr="003A6718">
            <w:rPr>
              <w:rFonts w:cs="Times New Roman"/>
              <w:color w:val="000000" w:themeColor="text1"/>
            </w:rPr>
            <w:fldChar w:fldCharType="separate"/>
          </w:r>
          <w:hyperlink w:anchor="_Toc230110113" w:history="1">
            <w:r w:rsidRPr="003A6718">
              <w:rPr>
                <w:rStyle w:val="Hyperlink"/>
                <w:rFonts w:cs="Times New Roman"/>
                <w:noProof/>
                <w:color w:val="000000" w:themeColor="text1"/>
              </w:rPr>
              <w:t>1. Abstract</w:t>
            </w:r>
            <w:r w:rsidRPr="003A6718">
              <w:rPr>
                <w:rFonts w:cs="Times New Roman"/>
                <w:noProof/>
                <w:webHidden/>
                <w:color w:val="000000" w:themeColor="text1"/>
              </w:rPr>
              <w:tab/>
            </w:r>
            <w:r w:rsidRPr="003A6718">
              <w:rPr>
                <w:rFonts w:cs="Times New Roman"/>
                <w:noProof/>
                <w:webHidden/>
                <w:color w:val="000000" w:themeColor="text1"/>
              </w:rPr>
              <w:fldChar w:fldCharType="begin"/>
            </w:r>
            <w:r w:rsidRPr="003A6718">
              <w:rPr>
                <w:rFonts w:cs="Times New Roman"/>
                <w:noProof/>
                <w:webHidden/>
                <w:color w:val="000000" w:themeColor="text1"/>
              </w:rPr>
              <w:instrText xml:space="preserve"> PAGEREF _Toc230110113 \h </w:instrText>
            </w:r>
            <w:r w:rsidRPr="003A6718">
              <w:rPr>
                <w:rFonts w:cs="Times New Roman"/>
                <w:noProof/>
                <w:webHidden/>
                <w:color w:val="000000" w:themeColor="text1"/>
              </w:rPr>
            </w:r>
            <w:r w:rsidRPr="003A6718">
              <w:rPr>
                <w:rFonts w:cs="Times New Roman"/>
                <w:noProof/>
                <w:webHidden/>
                <w:color w:val="000000" w:themeColor="text1"/>
              </w:rPr>
              <w:fldChar w:fldCharType="separate"/>
            </w:r>
            <w:r w:rsidR="003A6718">
              <w:rPr>
                <w:rFonts w:cs="Times New Roman"/>
                <w:noProof/>
                <w:webHidden/>
                <w:color w:val="000000" w:themeColor="text1"/>
              </w:rPr>
              <w:t>3</w:t>
            </w:r>
            <w:r w:rsidRPr="003A6718">
              <w:rPr>
                <w:rFonts w:cs="Times New Roman"/>
                <w:noProof/>
                <w:webHidden/>
                <w:color w:val="000000" w:themeColor="text1"/>
              </w:rPr>
              <w:fldChar w:fldCharType="end"/>
            </w:r>
          </w:hyperlink>
        </w:p>
        <w:p w14:paraId="757E4DD6" w14:textId="06585709" w:rsidR="00B07BCB" w:rsidRPr="003A6718" w:rsidRDefault="008D34B3">
          <w:pPr>
            <w:pStyle w:val="TOC1"/>
            <w:tabs>
              <w:tab w:val="right" w:leader="dot" w:pos="9019"/>
            </w:tabs>
            <w:rPr>
              <w:rFonts w:cs="Times New Roman"/>
              <w:noProof/>
              <w:color w:val="000000" w:themeColor="text1"/>
            </w:rPr>
          </w:pPr>
          <w:hyperlink w:anchor="_Toc230110114" w:history="1">
            <w:r w:rsidR="00B07BCB" w:rsidRPr="003A6718">
              <w:rPr>
                <w:rStyle w:val="Hyperlink"/>
                <w:rFonts w:cs="Times New Roman"/>
                <w:noProof/>
                <w:color w:val="000000" w:themeColor="text1"/>
              </w:rPr>
              <w:t>2. Introduction</w:t>
            </w:r>
            <w:r w:rsidR="00B07BCB" w:rsidRPr="003A6718">
              <w:rPr>
                <w:rFonts w:cs="Times New Roman"/>
                <w:noProof/>
                <w:webHidden/>
                <w:color w:val="000000" w:themeColor="text1"/>
              </w:rPr>
              <w:tab/>
            </w:r>
            <w:r w:rsidR="00B07BCB" w:rsidRPr="003A6718">
              <w:rPr>
                <w:rFonts w:cs="Times New Roman"/>
                <w:noProof/>
                <w:webHidden/>
                <w:color w:val="000000" w:themeColor="text1"/>
              </w:rPr>
              <w:fldChar w:fldCharType="begin"/>
            </w:r>
            <w:r w:rsidR="00B07BCB" w:rsidRPr="003A6718">
              <w:rPr>
                <w:rFonts w:cs="Times New Roman"/>
                <w:noProof/>
                <w:webHidden/>
                <w:color w:val="000000" w:themeColor="text1"/>
              </w:rPr>
              <w:instrText xml:space="preserve"> PAGEREF _Toc230110114 \h </w:instrText>
            </w:r>
            <w:r w:rsidR="00B07BCB" w:rsidRPr="003A6718">
              <w:rPr>
                <w:rFonts w:cs="Times New Roman"/>
                <w:noProof/>
                <w:webHidden/>
                <w:color w:val="000000" w:themeColor="text1"/>
              </w:rPr>
            </w:r>
            <w:r w:rsidR="00B07BCB" w:rsidRPr="003A6718">
              <w:rPr>
                <w:rFonts w:cs="Times New Roman"/>
                <w:noProof/>
                <w:webHidden/>
                <w:color w:val="000000" w:themeColor="text1"/>
              </w:rPr>
              <w:fldChar w:fldCharType="separate"/>
            </w:r>
            <w:r w:rsidR="003A6718">
              <w:rPr>
                <w:rFonts w:cs="Times New Roman"/>
                <w:noProof/>
                <w:webHidden/>
                <w:color w:val="000000" w:themeColor="text1"/>
              </w:rPr>
              <w:t>4</w:t>
            </w:r>
            <w:r w:rsidR="00B07BCB" w:rsidRPr="003A6718">
              <w:rPr>
                <w:rFonts w:cs="Times New Roman"/>
                <w:noProof/>
                <w:webHidden/>
                <w:color w:val="000000" w:themeColor="text1"/>
              </w:rPr>
              <w:fldChar w:fldCharType="end"/>
            </w:r>
          </w:hyperlink>
        </w:p>
        <w:p w14:paraId="097CFD17" w14:textId="17832FEE" w:rsidR="00B07BCB" w:rsidRPr="003A6718" w:rsidRDefault="008D34B3">
          <w:pPr>
            <w:pStyle w:val="TOC1"/>
            <w:tabs>
              <w:tab w:val="right" w:leader="dot" w:pos="9019"/>
            </w:tabs>
            <w:rPr>
              <w:rFonts w:cs="Times New Roman"/>
              <w:noProof/>
              <w:color w:val="000000" w:themeColor="text1"/>
            </w:rPr>
          </w:pPr>
          <w:hyperlink w:anchor="_Toc230110115" w:history="1">
            <w:r w:rsidR="00B07BCB" w:rsidRPr="003A6718">
              <w:rPr>
                <w:rStyle w:val="Hyperlink"/>
                <w:rFonts w:cs="Times New Roman"/>
                <w:noProof/>
                <w:color w:val="000000" w:themeColor="text1"/>
              </w:rPr>
              <w:t>3. Literature Review</w:t>
            </w:r>
            <w:r w:rsidR="00B07BCB" w:rsidRPr="003A6718">
              <w:rPr>
                <w:rFonts w:cs="Times New Roman"/>
                <w:noProof/>
                <w:webHidden/>
                <w:color w:val="000000" w:themeColor="text1"/>
              </w:rPr>
              <w:tab/>
            </w:r>
            <w:r w:rsidR="00B07BCB" w:rsidRPr="003A6718">
              <w:rPr>
                <w:rFonts w:cs="Times New Roman"/>
                <w:noProof/>
                <w:webHidden/>
                <w:color w:val="000000" w:themeColor="text1"/>
              </w:rPr>
              <w:fldChar w:fldCharType="begin"/>
            </w:r>
            <w:r w:rsidR="00B07BCB" w:rsidRPr="003A6718">
              <w:rPr>
                <w:rFonts w:cs="Times New Roman"/>
                <w:noProof/>
                <w:webHidden/>
                <w:color w:val="000000" w:themeColor="text1"/>
              </w:rPr>
              <w:instrText xml:space="preserve"> PAGEREF _Toc230110115 \h </w:instrText>
            </w:r>
            <w:r w:rsidR="00B07BCB" w:rsidRPr="003A6718">
              <w:rPr>
                <w:rFonts w:cs="Times New Roman"/>
                <w:noProof/>
                <w:webHidden/>
                <w:color w:val="000000" w:themeColor="text1"/>
              </w:rPr>
            </w:r>
            <w:r w:rsidR="00B07BCB" w:rsidRPr="003A6718">
              <w:rPr>
                <w:rFonts w:cs="Times New Roman"/>
                <w:noProof/>
                <w:webHidden/>
                <w:color w:val="000000" w:themeColor="text1"/>
              </w:rPr>
              <w:fldChar w:fldCharType="separate"/>
            </w:r>
            <w:r w:rsidR="003A6718">
              <w:rPr>
                <w:rFonts w:cs="Times New Roman"/>
                <w:noProof/>
                <w:webHidden/>
                <w:color w:val="000000" w:themeColor="text1"/>
              </w:rPr>
              <w:t>6</w:t>
            </w:r>
            <w:r w:rsidR="00B07BCB" w:rsidRPr="003A6718">
              <w:rPr>
                <w:rFonts w:cs="Times New Roman"/>
                <w:noProof/>
                <w:webHidden/>
                <w:color w:val="000000" w:themeColor="text1"/>
              </w:rPr>
              <w:fldChar w:fldCharType="end"/>
            </w:r>
          </w:hyperlink>
        </w:p>
        <w:p w14:paraId="1B060697" w14:textId="74BC73BD" w:rsidR="00B07BCB" w:rsidRPr="003A6718" w:rsidRDefault="008D34B3">
          <w:pPr>
            <w:pStyle w:val="TOC2"/>
            <w:tabs>
              <w:tab w:val="right" w:leader="dot" w:pos="9019"/>
            </w:tabs>
            <w:rPr>
              <w:rFonts w:cs="Times New Roman"/>
              <w:noProof/>
              <w:color w:val="000000" w:themeColor="text1"/>
            </w:rPr>
          </w:pPr>
          <w:hyperlink w:anchor="_Toc230110116" w:history="1">
            <w:r w:rsidR="00B07BCB" w:rsidRPr="003A6718">
              <w:rPr>
                <w:rStyle w:val="Hyperlink"/>
                <w:rFonts w:cs="Times New Roman"/>
                <w:noProof/>
                <w:color w:val="000000" w:themeColor="text1"/>
              </w:rPr>
              <w:t>3.1 Capital Structure Theories</w:t>
            </w:r>
            <w:r w:rsidR="00B07BCB" w:rsidRPr="003A6718">
              <w:rPr>
                <w:rFonts w:cs="Times New Roman"/>
                <w:noProof/>
                <w:webHidden/>
                <w:color w:val="000000" w:themeColor="text1"/>
              </w:rPr>
              <w:tab/>
            </w:r>
            <w:r w:rsidR="00B07BCB" w:rsidRPr="003A6718">
              <w:rPr>
                <w:rFonts w:cs="Times New Roman"/>
                <w:noProof/>
                <w:webHidden/>
                <w:color w:val="000000" w:themeColor="text1"/>
              </w:rPr>
              <w:fldChar w:fldCharType="begin"/>
            </w:r>
            <w:r w:rsidR="00B07BCB" w:rsidRPr="003A6718">
              <w:rPr>
                <w:rFonts w:cs="Times New Roman"/>
                <w:noProof/>
                <w:webHidden/>
                <w:color w:val="000000" w:themeColor="text1"/>
              </w:rPr>
              <w:instrText xml:space="preserve"> PAGEREF _Toc230110116 \h </w:instrText>
            </w:r>
            <w:r w:rsidR="00B07BCB" w:rsidRPr="003A6718">
              <w:rPr>
                <w:rFonts w:cs="Times New Roman"/>
                <w:noProof/>
                <w:webHidden/>
                <w:color w:val="000000" w:themeColor="text1"/>
              </w:rPr>
            </w:r>
            <w:r w:rsidR="00B07BCB" w:rsidRPr="003A6718">
              <w:rPr>
                <w:rFonts w:cs="Times New Roman"/>
                <w:noProof/>
                <w:webHidden/>
                <w:color w:val="000000" w:themeColor="text1"/>
              </w:rPr>
              <w:fldChar w:fldCharType="separate"/>
            </w:r>
            <w:r w:rsidR="003A6718">
              <w:rPr>
                <w:rFonts w:cs="Times New Roman"/>
                <w:noProof/>
                <w:webHidden/>
                <w:color w:val="000000" w:themeColor="text1"/>
              </w:rPr>
              <w:t>6</w:t>
            </w:r>
            <w:r w:rsidR="00B07BCB" w:rsidRPr="003A6718">
              <w:rPr>
                <w:rFonts w:cs="Times New Roman"/>
                <w:noProof/>
                <w:webHidden/>
                <w:color w:val="000000" w:themeColor="text1"/>
              </w:rPr>
              <w:fldChar w:fldCharType="end"/>
            </w:r>
          </w:hyperlink>
        </w:p>
        <w:p w14:paraId="5137A147" w14:textId="43C26B64" w:rsidR="00B07BCB" w:rsidRPr="003A6718" w:rsidRDefault="008D34B3">
          <w:pPr>
            <w:pStyle w:val="TOC2"/>
            <w:tabs>
              <w:tab w:val="right" w:leader="dot" w:pos="9019"/>
            </w:tabs>
            <w:rPr>
              <w:rFonts w:cs="Times New Roman"/>
              <w:noProof/>
              <w:color w:val="000000" w:themeColor="text1"/>
            </w:rPr>
          </w:pPr>
          <w:hyperlink w:anchor="_Toc230110117" w:history="1">
            <w:r w:rsidR="00B07BCB" w:rsidRPr="003A6718">
              <w:rPr>
                <w:rStyle w:val="Hyperlink"/>
                <w:rFonts w:cs="Times New Roman"/>
                <w:noProof/>
                <w:color w:val="000000" w:themeColor="text1"/>
              </w:rPr>
              <w:t>3.2 The Dynamics of Risk, Return, Debt, and Equity</w:t>
            </w:r>
            <w:r w:rsidR="00B07BCB" w:rsidRPr="003A6718">
              <w:rPr>
                <w:rFonts w:cs="Times New Roman"/>
                <w:noProof/>
                <w:webHidden/>
                <w:color w:val="000000" w:themeColor="text1"/>
              </w:rPr>
              <w:tab/>
            </w:r>
            <w:r w:rsidR="00B07BCB" w:rsidRPr="003A6718">
              <w:rPr>
                <w:rFonts w:cs="Times New Roman"/>
                <w:noProof/>
                <w:webHidden/>
                <w:color w:val="000000" w:themeColor="text1"/>
              </w:rPr>
              <w:fldChar w:fldCharType="begin"/>
            </w:r>
            <w:r w:rsidR="00B07BCB" w:rsidRPr="003A6718">
              <w:rPr>
                <w:rFonts w:cs="Times New Roman"/>
                <w:noProof/>
                <w:webHidden/>
                <w:color w:val="000000" w:themeColor="text1"/>
              </w:rPr>
              <w:instrText xml:space="preserve"> PAGEREF _Toc230110117 \h </w:instrText>
            </w:r>
            <w:r w:rsidR="00B07BCB" w:rsidRPr="003A6718">
              <w:rPr>
                <w:rFonts w:cs="Times New Roman"/>
                <w:noProof/>
                <w:webHidden/>
                <w:color w:val="000000" w:themeColor="text1"/>
              </w:rPr>
            </w:r>
            <w:r w:rsidR="00B07BCB" w:rsidRPr="003A6718">
              <w:rPr>
                <w:rFonts w:cs="Times New Roman"/>
                <w:noProof/>
                <w:webHidden/>
                <w:color w:val="000000" w:themeColor="text1"/>
              </w:rPr>
              <w:fldChar w:fldCharType="separate"/>
            </w:r>
            <w:r w:rsidR="003A6718">
              <w:rPr>
                <w:rFonts w:cs="Times New Roman"/>
                <w:noProof/>
                <w:webHidden/>
                <w:color w:val="000000" w:themeColor="text1"/>
              </w:rPr>
              <w:t>7</w:t>
            </w:r>
            <w:r w:rsidR="00B07BCB" w:rsidRPr="003A6718">
              <w:rPr>
                <w:rFonts w:cs="Times New Roman"/>
                <w:noProof/>
                <w:webHidden/>
                <w:color w:val="000000" w:themeColor="text1"/>
              </w:rPr>
              <w:fldChar w:fldCharType="end"/>
            </w:r>
          </w:hyperlink>
        </w:p>
        <w:p w14:paraId="5E32F323" w14:textId="460020BF" w:rsidR="00B07BCB" w:rsidRPr="003A6718" w:rsidRDefault="008D34B3">
          <w:pPr>
            <w:pStyle w:val="TOC2"/>
            <w:tabs>
              <w:tab w:val="right" w:leader="dot" w:pos="9019"/>
            </w:tabs>
            <w:rPr>
              <w:rFonts w:cs="Times New Roman"/>
              <w:noProof/>
              <w:color w:val="000000" w:themeColor="text1"/>
            </w:rPr>
          </w:pPr>
          <w:hyperlink w:anchor="_Toc230110118" w:history="1">
            <w:r w:rsidR="00B07BCB" w:rsidRPr="003A6718">
              <w:rPr>
                <w:rStyle w:val="Hyperlink"/>
                <w:rFonts w:cs="Times New Roman"/>
                <w:noProof/>
                <w:color w:val="000000" w:themeColor="text1"/>
              </w:rPr>
              <w:t>3.3 Capital Budgeting and Investment Appraisal Frameworks</w:t>
            </w:r>
            <w:r w:rsidR="00B07BCB" w:rsidRPr="003A6718">
              <w:rPr>
                <w:rFonts w:cs="Times New Roman"/>
                <w:noProof/>
                <w:webHidden/>
                <w:color w:val="000000" w:themeColor="text1"/>
              </w:rPr>
              <w:tab/>
            </w:r>
            <w:r w:rsidR="00B07BCB" w:rsidRPr="003A6718">
              <w:rPr>
                <w:rFonts w:cs="Times New Roman"/>
                <w:noProof/>
                <w:webHidden/>
                <w:color w:val="000000" w:themeColor="text1"/>
              </w:rPr>
              <w:fldChar w:fldCharType="begin"/>
            </w:r>
            <w:r w:rsidR="00B07BCB" w:rsidRPr="003A6718">
              <w:rPr>
                <w:rFonts w:cs="Times New Roman"/>
                <w:noProof/>
                <w:webHidden/>
                <w:color w:val="000000" w:themeColor="text1"/>
              </w:rPr>
              <w:instrText xml:space="preserve"> PAGEREF _Toc230110118 \h </w:instrText>
            </w:r>
            <w:r w:rsidR="00B07BCB" w:rsidRPr="003A6718">
              <w:rPr>
                <w:rFonts w:cs="Times New Roman"/>
                <w:noProof/>
                <w:webHidden/>
                <w:color w:val="000000" w:themeColor="text1"/>
              </w:rPr>
            </w:r>
            <w:r w:rsidR="00B07BCB" w:rsidRPr="003A6718">
              <w:rPr>
                <w:rFonts w:cs="Times New Roman"/>
                <w:noProof/>
                <w:webHidden/>
                <w:color w:val="000000" w:themeColor="text1"/>
              </w:rPr>
              <w:fldChar w:fldCharType="separate"/>
            </w:r>
            <w:r w:rsidR="003A6718">
              <w:rPr>
                <w:rFonts w:cs="Times New Roman"/>
                <w:noProof/>
                <w:webHidden/>
                <w:color w:val="000000" w:themeColor="text1"/>
              </w:rPr>
              <w:t>7</w:t>
            </w:r>
            <w:r w:rsidR="00B07BCB" w:rsidRPr="003A6718">
              <w:rPr>
                <w:rFonts w:cs="Times New Roman"/>
                <w:noProof/>
                <w:webHidden/>
                <w:color w:val="000000" w:themeColor="text1"/>
              </w:rPr>
              <w:fldChar w:fldCharType="end"/>
            </w:r>
          </w:hyperlink>
        </w:p>
        <w:p w14:paraId="63A67774" w14:textId="4728FEE8" w:rsidR="00B07BCB" w:rsidRPr="003A6718" w:rsidRDefault="008D34B3">
          <w:pPr>
            <w:pStyle w:val="TOC2"/>
            <w:tabs>
              <w:tab w:val="right" w:leader="dot" w:pos="9019"/>
            </w:tabs>
            <w:rPr>
              <w:rFonts w:cs="Times New Roman"/>
              <w:noProof/>
              <w:color w:val="000000" w:themeColor="text1"/>
            </w:rPr>
          </w:pPr>
          <w:hyperlink w:anchor="_Toc230110119" w:history="1">
            <w:r w:rsidR="00B07BCB" w:rsidRPr="003A6718">
              <w:rPr>
                <w:rStyle w:val="Hyperlink"/>
                <w:rFonts w:cs="Times New Roman"/>
                <w:noProof/>
                <w:color w:val="000000" w:themeColor="text1"/>
              </w:rPr>
              <w:t>3.4 Cost of Capital and Long-Term Value Creation</w:t>
            </w:r>
            <w:r w:rsidR="00B07BCB" w:rsidRPr="003A6718">
              <w:rPr>
                <w:rFonts w:cs="Times New Roman"/>
                <w:noProof/>
                <w:webHidden/>
                <w:color w:val="000000" w:themeColor="text1"/>
              </w:rPr>
              <w:tab/>
            </w:r>
            <w:r w:rsidR="00B07BCB" w:rsidRPr="003A6718">
              <w:rPr>
                <w:rFonts w:cs="Times New Roman"/>
                <w:noProof/>
                <w:webHidden/>
                <w:color w:val="000000" w:themeColor="text1"/>
              </w:rPr>
              <w:fldChar w:fldCharType="begin"/>
            </w:r>
            <w:r w:rsidR="00B07BCB" w:rsidRPr="003A6718">
              <w:rPr>
                <w:rFonts w:cs="Times New Roman"/>
                <w:noProof/>
                <w:webHidden/>
                <w:color w:val="000000" w:themeColor="text1"/>
              </w:rPr>
              <w:instrText xml:space="preserve"> PAGEREF _Toc230110119 \h </w:instrText>
            </w:r>
            <w:r w:rsidR="00B07BCB" w:rsidRPr="003A6718">
              <w:rPr>
                <w:rFonts w:cs="Times New Roman"/>
                <w:noProof/>
                <w:webHidden/>
                <w:color w:val="000000" w:themeColor="text1"/>
              </w:rPr>
            </w:r>
            <w:r w:rsidR="00B07BCB" w:rsidRPr="003A6718">
              <w:rPr>
                <w:rFonts w:cs="Times New Roman"/>
                <w:noProof/>
                <w:webHidden/>
                <w:color w:val="000000" w:themeColor="text1"/>
              </w:rPr>
              <w:fldChar w:fldCharType="separate"/>
            </w:r>
            <w:r w:rsidR="003A6718">
              <w:rPr>
                <w:rFonts w:cs="Times New Roman"/>
                <w:noProof/>
                <w:webHidden/>
                <w:color w:val="000000" w:themeColor="text1"/>
              </w:rPr>
              <w:t>8</w:t>
            </w:r>
            <w:r w:rsidR="00B07BCB" w:rsidRPr="003A6718">
              <w:rPr>
                <w:rFonts w:cs="Times New Roman"/>
                <w:noProof/>
                <w:webHidden/>
                <w:color w:val="000000" w:themeColor="text1"/>
              </w:rPr>
              <w:fldChar w:fldCharType="end"/>
            </w:r>
          </w:hyperlink>
        </w:p>
        <w:p w14:paraId="04419302" w14:textId="674D16AB" w:rsidR="00B07BCB" w:rsidRPr="003A6718" w:rsidRDefault="008D34B3">
          <w:pPr>
            <w:pStyle w:val="TOC1"/>
            <w:tabs>
              <w:tab w:val="right" w:leader="dot" w:pos="9019"/>
            </w:tabs>
            <w:rPr>
              <w:rFonts w:cs="Times New Roman"/>
              <w:noProof/>
              <w:color w:val="000000" w:themeColor="text1"/>
            </w:rPr>
          </w:pPr>
          <w:hyperlink w:anchor="_Toc230110120" w:history="1">
            <w:r w:rsidR="00B07BCB" w:rsidRPr="003A6718">
              <w:rPr>
                <w:rStyle w:val="Hyperlink"/>
                <w:rFonts w:cs="Times New Roman"/>
                <w:noProof/>
                <w:color w:val="000000" w:themeColor="text1"/>
              </w:rPr>
              <w:t>4. Methodology</w:t>
            </w:r>
            <w:r w:rsidR="00B07BCB" w:rsidRPr="003A6718">
              <w:rPr>
                <w:rFonts w:cs="Times New Roman"/>
                <w:noProof/>
                <w:webHidden/>
                <w:color w:val="000000" w:themeColor="text1"/>
              </w:rPr>
              <w:tab/>
            </w:r>
            <w:r w:rsidR="00B07BCB" w:rsidRPr="003A6718">
              <w:rPr>
                <w:rFonts w:cs="Times New Roman"/>
                <w:noProof/>
                <w:webHidden/>
                <w:color w:val="000000" w:themeColor="text1"/>
              </w:rPr>
              <w:fldChar w:fldCharType="begin"/>
            </w:r>
            <w:r w:rsidR="00B07BCB" w:rsidRPr="003A6718">
              <w:rPr>
                <w:rFonts w:cs="Times New Roman"/>
                <w:noProof/>
                <w:webHidden/>
                <w:color w:val="000000" w:themeColor="text1"/>
              </w:rPr>
              <w:instrText xml:space="preserve"> PAGEREF _Toc230110120 \h </w:instrText>
            </w:r>
            <w:r w:rsidR="00B07BCB" w:rsidRPr="003A6718">
              <w:rPr>
                <w:rFonts w:cs="Times New Roman"/>
                <w:noProof/>
                <w:webHidden/>
                <w:color w:val="000000" w:themeColor="text1"/>
              </w:rPr>
            </w:r>
            <w:r w:rsidR="00B07BCB" w:rsidRPr="003A6718">
              <w:rPr>
                <w:rFonts w:cs="Times New Roman"/>
                <w:noProof/>
                <w:webHidden/>
                <w:color w:val="000000" w:themeColor="text1"/>
              </w:rPr>
              <w:fldChar w:fldCharType="separate"/>
            </w:r>
            <w:r w:rsidR="003A6718">
              <w:rPr>
                <w:rFonts w:cs="Times New Roman"/>
                <w:noProof/>
                <w:webHidden/>
                <w:color w:val="000000" w:themeColor="text1"/>
              </w:rPr>
              <w:t>10</w:t>
            </w:r>
            <w:r w:rsidR="00B07BCB" w:rsidRPr="003A6718">
              <w:rPr>
                <w:rFonts w:cs="Times New Roman"/>
                <w:noProof/>
                <w:webHidden/>
                <w:color w:val="000000" w:themeColor="text1"/>
              </w:rPr>
              <w:fldChar w:fldCharType="end"/>
            </w:r>
          </w:hyperlink>
        </w:p>
        <w:p w14:paraId="62B15C7C" w14:textId="1392F240" w:rsidR="00B07BCB" w:rsidRPr="003A6718" w:rsidRDefault="008D34B3">
          <w:pPr>
            <w:pStyle w:val="TOC1"/>
            <w:tabs>
              <w:tab w:val="right" w:leader="dot" w:pos="9019"/>
            </w:tabs>
            <w:rPr>
              <w:rFonts w:cs="Times New Roman"/>
              <w:noProof/>
              <w:color w:val="000000" w:themeColor="text1"/>
            </w:rPr>
          </w:pPr>
          <w:hyperlink w:anchor="_Toc230110121" w:history="1">
            <w:r w:rsidR="00B07BCB" w:rsidRPr="003A6718">
              <w:rPr>
                <w:rStyle w:val="Hyperlink"/>
                <w:rFonts w:cs="Times New Roman"/>
                <w:noProof/>
                <w:color w:val="000000" w:themeColor="text1"/>
              </w:rPr>
              <w:t>5. Findings</w:t>
            </w:r>
            <w:r w:rsidR="00B07BCB" w:rsidRPr="003A6718">
              <w:rPr>
                <w:rFonts w:cs="Times New Roman"/>
                <w:noProof/>
                <w:webHidden/>
                <w:color w:val="000000" w:themeColor="text1"/>
              </w:rPr>
              <w:tab/>
            </w:r>
            <w:r w:rsidR="00B07BCB" w:rsidRPr="003A6718">
              <w:rPr>
                <w:rFonts w:cs="Times New Roman"/>
                <w:noProof/>
                <w:webHidden/>
                <w:color w:val="000000" w:themeColor="text1"/>
              </w:rPr>
              <w:fldChar w:fldCharType="begin"/>
            </w:r>
            <w:r w:rsidR="00B07BCB" w:rsidRPr="003A6718">
              <w:rPr>
                <w:rFonts w:cs="Times New Roman"/>
                <w:noProof/>
                <w:webHidden/>
                <w:color w:val="000000" w:themeColor="text1"/>
              </w:rPr>
              <w:instrText xml:space="preserve"> PAGEREF _Toc230110121 \h </w:instrText>
            </w:r>
            <w:r w:rsidR="00B07BCB" w:rsidRPr="003A6718">
              <w:rPr>
                <w:rFonts w:cs="Times New Roman"/>
                <w:noProof/>
                <w:webHidden/>
                <w:color w:val="000000" w:themeColor="text1"/>
              </w:rPr>
            </w:r>
            <w:r w:rsidR="00B07BCB" w:rsidRPr="003A6718">
              <w:rPr>
                <w:rFonts w:cs="Times New Roman"/>
                <w:noProof/>
                <w:webHidden/>
                <w:color w:val="000000" w:themeColor="text1"/>
              </w:rPr>
              <w:fldChar w:fldCharType="separate"/>
            </w:r>
            <w:r w:rsidR="003A6718">
              <w:rPr>
                <w:rFonts w:cs="Times New Roman"/>
                <w:noProof/>
                <w:webHidden/>
                <w:color w:val="000000" w:themeColor="text1"/>
              </w:rPr>
              <w:t>12</w:t>
            </w:r>
            <w:r w:rsidR="00B07BCB" w:rsidRPr="003A6718">
              <w:rPr>
                <w:rFonts w:cs="Times New Roman"/>
                <w:noProof/>
                <w:webHidden/>
                <w:color w:val="000000" w:themeColor="text1"/>
              </w:rPr>
              <w:fldChar w:fldCharType="end"/>
            </w:r>
          </w:hyperlink>
        </w:p>
        <w:p w14:paraId="4935FA0E" w14:textId="7F0C53F8" w:rsidR="00B07BCB" w:rsidRPr="003A6718" w:rsidRDefault="008D34B3">
          <w:pPr>
            <w:pStyle w:val="TOC2"/>
            <w:tabs>
              <w:tab w:val="right" w:leader="dot" w:pos="9019"/>
            </w:tabs>
            <w:rPr>
              <w:rFonts w:cs="Times New Roman"/>
              <w:noProof/>
              <w:color w:val="000000" w:themeColor="text1"/>
            </w:rPr>
          </w:pPr>
          <w:hyperlink w:anchor="_Toc230110122" w:history="1">
            <w:r w:rsidR="00B07BCB" w:rsidRPr="003A6718">
              <w:rPr>
                <w:rStyle w:val="Hyperlink"/>
                <w:rFonts w:cs="Times New Roman"/>
                <w:noProof/>
                <w:color w:val="000000" w:themeColor="text1"/>
              </w:rPr>
              <w:t>5.1 Project Appraisals and Financial Metrics</w:t>
            </w:r>
            <w:r w:rsidR="00B07BCB" w:rsidRPr="003A6718">
              <w:rPr>
                <w:rFonts w:cs="Times New Roman"/>
                <w:noProof/>
                <w:webHidden/>
                <w:color w:val="000000" w:themeColor="text1"/>
              </w:rPr>
              <w:tab/>
            </w:r>
            <w:r w:rsidR="00B07BCB" w:rsidRPr="003A6718">
              <w:rPr>
                <w:rFonts w:cs="Times New Roman"/>
                <w:noProof/>
                <w:webHidden/>
                <w:color w:val="000000" w:themeColor="text1"/>
              </w:rPr>
              <w:fldChar w:fldCharType="begin"/>
            </w:r>
            <w:r w:rsidR="00B07BCB" w:rsidRPr="003A6718">
              <w:rPr>
                <w:rFonts w:cs="Times New Roman"/>
                <w:noProof/>
                <w:webHidden/>
                <w:color w:val="000000" w:themeColor="text1"/>
              </w:rPr>
              <w:instrText xml:space="preserve"> PAGEREF _Toc230110122 \h </w:instrText>
            </w:r>
            <w:r w:rsidR="00B07BCB" w:rsidRPr="003A6718">
              <w:rPr>
                <w:rFonts w:cs="Times New Roman"/>
                <w:noProof/>
                <w:webHidden/>
                <w:color w:val="000000" w:themeColor="text1"/>
              </w:rPr>
            </w:r>
            <w:r w:rsidR="00B07BCB" w:rsidRPr="003A6718">
              <w:rPr>
                <w:rFonts w:cs="Times New Roman"/>
                <w:noProof/>
                <w:webHidden/>
                <w:color w:val="000000" w:themeColor="text1"/>
              </w:rPr>
              <w:fldChar w:fldCharType="separate"/>
            </w:r>
            <w:r w:rsidR="003A6718">
              <w:rPr>
                <w:rFonts w:cs="Times New Roman"/>
                <w:noProof/>
                <w:webHidden/>
                <w:color w:val="000000" w:themeColor="text1"/>
              </w:rPr>
              <w:t>12</w:t>
            </w:r>
            <w:r w:rsidR="00B07BCB" w:rsidRPr="003A6718">
              <w:rPr>
                <w:rFonts w:cs="Times New Roman"/>
                <w:noProof/>
                <w:webHidden/>
                <w:color w:val="000000" w:themeColor="text1"/>
              </w:rPr>
              <w:fldChar w:fldCharType="end"/>
            </w:r>
          </w:hyperlink>
        </w:p>
        <w:p w14:paraId="36C6D257" w14:textId="65543397" w:rsidR="00B07BCB" w:rsidRPr="003A6718" w:rsidRDefault="008D34B3">
          <w:pPr>
            <w:pStyle w:val="TOC2"/>
            <w:tabs>
              <w:tab w:val="right" w:leader="dot" w:pos="9019"/>
            </w:tabs>
            <w:rPr>
              <w:rFonts w:cs="Times New Roman"/>
              <w:noProof/>
              <w:color w:val="000000" w:themeColor="text1"/>
            </w:rPr>
          </w:pPr>
          <w:hyperlink w:anchor="_Toc230110123" w:history="1">
            <w:r w:rsidR="00B07BCB" w:rsidRPr="003A6718">
              <w:rPr>
                <w:rStyle w:val="Hyperlink"/>
                <w:rFonts w:cs="Times New Roman"/>
                <w:noProof/>
                <w:color w:val="000000" w:themeColor="text1"/>
              </w:rPr>
              <w:t>5.2 Capital Structure Scenario Modeling</w:t>
            </w:r>
            <w:r w:rsidR="00B07BCB" w:rsidRPr="003A6718">
              <w:rPr>
                <w:rFonts w:cs="Times New Roman"/>
                <w:noProof/>
                <w:webHidden/>
                <w:color w:val="000000" w:themeColor="text1"/>
              </w:rPr>
              <w:tab/>
            </w:r>
            <w:r w:rsidR="00B07BCB" w:rsidRPr="003A6718">
              <w:rPr>
                <w:rFonts w:cs="Times New Roman"/>
                <w:noProof/>
                <w:webHidden/>
                <w:color w:val="000000" w:themeColor="text1"/>
              </w:rPr>
              <w:fldChar w:fldCharType="begin"/>
            </w:r>
            <w:r w:rsidR="00B07BCB" w:rsidRPr="003A6718">
              <w:rPr>
                <w:rFonts w:cs="Times New Roman"/>
                <w:noProof/>
                <w:webHidden/>
                <w:color w:val="000000" w:themeColor="text1"/>
              </w:rPr>
              <w:instrText xml:space="preserve"> PAGEREF _Toc230110123 \h </w:instrText>
            </w:r>
            <w:r w:rsidR="00B07BCB" w:rsidRPr="003A6718">
              <w:rPr>
                <w:rFonts w:cs="Times New Roman"/>
                <w:noProof/>
                <w:webHidden/>
                <w:color w:val="000000" w:themeColor="text1"/>
              </w:rPr>
            </w:r>
            <w:r w:rsidR="00B07BCB" w:rsidRPr="003A6718">
              <w:rPr>
                <w:rFonts w:cs="Times New Roman"/>
                <w:noProof/>
                <w:webHidden/>
                <w:color w:val="000000" w:themeColor="text1"/>
              </w:rPr>
              <w:fldChar w:fldCharType="separate"/>
            </w:r>
            <w:r w:rsidR="003A6718">
              <w:rPr>
                <w:rFonts w:cs="Times New Roman"/>
                <w:noProof/>
                <w:webHidden/>
                <w:color w:val="000000" w:themeColor="text1"/>
              </w:rPr>
              <w:t>14</w:t>
            </w:r>
            <w:r w:rsidR="00B07BCB" w:rsidRPr="003A6718">
              <w:rPr>
                <w:rFonts w:cs="Times New Roman"/>
                <w:noProof/>
                <w:webHidden/>
                <w:color w:val="000000" w:themeColor="text1"/>
              </w:rPr>
              <w:fldChar w:fldCharType="end"/>
            </w:r>
          </w:hyperlink>
        </w:p>
        <w:p w14:paraId="048012A0" w14:textId="7089BD8D" w:rsidR="00B07BCB" w:rsidRPr="003A6718" w:rsidRDefault="008D34B3">
          <w:pPr>
            <w:pStyle w:val="TOC1"/>
            <w:tabs>
              <w:tab w:val="right" w:leader="dot" w:pos="9019"/>
            </w:tabs>
            <w:rPr>
              <w:rFonts w:cs="Times New Roman"/>
              <w:noProof/>
              <w:color w:val="000000" w:themeColor="text1"/>
            </w:rPr>
          </w:pPr>
          <w:hyperlink w:anchor="_Toc230110124" w:history="1">
            <w:r w:rsidR="00B07BCB" w:rsidRPr="003A6718">
              <w:rPr>
                <w:rStyle w:val="Hyperlink"/>
                <w:rFonts w:cs="Times New Roman"/>
                <w:noProof/>
                <w:color w:val="000000" w:themeColor="text1"/>
              </w:rPr>
              <w:t>6. Discussion</w:t>
            </w:r>
            <w:r w:rsidR="00B07BCB" w:rsidRPr="003A6718">
              <w:rPr>
                <w:rFonts w:cs="Times New Roman"/>
                <w:noProof/>
                <w:webHidden/>
                <w:color w:val="000000" w:themeColor="text1"/>
              </w:rPr>
              <w:tab/>
            </w:r>
            <w:r w:rsidR="00B07BCB" w:rsidRPr="003A6718">
              <w:rPr>
                <w:rFonts w:cs="Times New Roman"/>
                <w:noProof/>
                <w:webHidden/>
                <w:color w:val="000000" w:themeColor="text1"/>
              </w:rPr>
              <w:fldChar w:fldCharType="begin"/>
            </w:r>
            <w:r w:rsidR="00B07BCB" w:rsidRPr="003A6718">
              <w:rPr>
                <w:rFonts w:cs="Times New Roman"/>
                <w:noProof/>
                <w:webHidden/>
                <w:color w:val="000000" w:themeColor="text1"/>
              </w:rPr>
              <w:instrText xml:space="preserve"> PAGEREF _Toc230110124 \h </w:instrText>
            </w:r>
            <w:r w:rsidR="00B07BCB" w:rsidRPr="003A6718">
              <w:rPr>
                <w:rFonts w:cs="Times New Roman"/>
                <w:noProof/>
                <w:webHidden/>
                <w:color w:val="000000" w:themeColor="text1"/>
              </w:rPr>
            </w:r>
            <w:r w:rsidR="00B07BCB" w:rsidRPr="003A6718">
              <w:rPr>
                <w:rFonts w:cs="Times New Roman"/>
                <w:noProof/>
                <w:webHidden/>
                <w:color w:val="000000" w:themeColor="text1"/>
              </w:rPr>
              <w:fldChar w:fldCharType="separate"/>
            </w:r>
            <w:r w:rsidR="003A6718">
              <w:rPr>
                <w:rFonts w:cs="Times New Roman"/>
                <w:noProof/>
                <w:webHidden/>
                <w:color w:val="000000" w:themeColor="text1"/>
              </w:rPr>
              <w:t>17</w:t>
            </w:r>
            <w:r w:rsidR="00B07BCB" w:rsidRPr="003A6718">
              <w:rPr>
                <w:rFonts w:cs="Times New Roman"/>
                <w:noProof/>
                <w:webHidden/>
                <w:color w:val="000000" w:themeColor="text1"/>
              </w:rPr>
              <w:fldChar w:fldCharType="end"/>
            </w:r>
          </w:hyperlink>
        </w:p>
        <w:p w14:paraId="40572E63" w14:textId="76EDB1C2" w:rsidR="00B07BCB" w:rsidRPr="003A6718" w:rsidRDefault="008D34B3">
          <w:pPr>
            <w:pStyle w:val="TOC1"/>
            <w:tabs>
              <w:tab w:val="right" w:leader="dot" w:pos="9019"/>
            </w:tabs>
            <w:rPr>
              <w:rFonts w:cs="Times New Roman"/>
              <w:noProof/>
              <w:color w:val="000000" w:themeColor="text1"/>
            </w:rPr>
          </w:pPr>
          <w:hyperlink w:anchor="_Toc230110125" w:history="1">
            <w:r w:rsidR="00B07BCB" w:rsidRPr="003A6718">
              <w:rPr>
                <w:rStyle w:val="Hyperlink"/>
                <w:rFonts w:cs="Times New Roman"/>
                <w:noProof/>
                <w:color w:val="000000" w:themeColor="text1"/>
              </w:rPr>
              <w:t>7. Conclusion and Strategic Recommendations</w:t>
            </w:r>
            <w:r w:rsidR="00B07BCB" w:rsidRPr="003A6718">
              <w:rPr>
                <w:rFonts w:cs="Times New Roman"/>
                <w:noProof/>
                <w:webHidden/>
                <w:color w:val="000000" w:themeColor="text1"/>
              </w:rPr>
              <w:tab/>
            </w:r>
            <w:r w:rsidR="00B07BCB" w:rsidRPr="003A6718">
              <w:rPr>
                <w:rFonts w:cs="Times New Roman"/>
                <w:noProof/>
                <w:webHidden/>
                <w:color w:val="000000" w:themeColor="text1"/>
              </w:rPr>
              <w:fldChar w:fldCharType="begin"/>
            </w:r>
            <w:r w:rsidR="00B07BCB" w:rsidRPr="003A6718">
              <w:rPr>
                <w:rFonts w:cs="Times New Roman"/>
                <w:noProof/>
                <w:webHidden/>
                <w:color w:val="000000" w:themeColor="text1"/>
              </w:rPr>
              <w:instrText xml:space="preserve"> PAGEREF _Toc230110125 \h </w:instrText>
            </w:r>
            <w:r w:rsidR="00B07BCB" w:rsidRPr="003A6718">
              <w:rPr>
                <w:rFonts w:cs="Times New Roman"/>
                <w:noProof/>
                <w:webHidden/>
                <w:color w:val="000000" w:themeColor="text1"/>
              </w:rPr>
            </w:r>
            <w:r w:rsidR="00B07BCB" w:rsidRPr="003A6718">
              <w:rPr>
                <w:rFonts w:cs="Times New Roman"/>
                <w:noProof/>
                <w:webHidden/>
                <w:color w:val="000000" w:themeColor="text1"/>
              </w:rPr>
              <w:fldChar w:fldCharType="separate"/>
            </w:r>
            <w:r w:rsidR="003A6718">
              <w:rPr>
                <w:rFonts w:cs="Times New Roman"/>
                <w:noProof/>
                <w:webHidden/>
                <w:color w:val="000000" w:themeColor="text1"/>
              </w:rPr>
              <w:t>19</w:t>
            </w:r>
            <w:r w:rsidR="00B07BCB" w:rsidRPr="003A6718">
              <w:rPr>
                <w:rFonts w:cs="Times New Roman"/>
                <w:noProof/>
                <w:webHidden/>
                <w:color w:val="000000" w:themeColor="text1"/>
              </w:rPr>
              <w:fldChar w:fldCharType="end"/>
            </w:r>
          </w:hyperlink>
        </w:p>
        <w:p w14:paraId="6B9B5086" w14:textId="34EEE375" w:rsidR="00B07BCB" w:rsidRPr="003A6718" w:rsidRDefault="008D34B3">
          <w:pPr>
            <w:pStyle w:val="TOC1"/>
            <w:tabs>
              <w:tab w:val="right" w:leader="dot" w:pos="9019"/>
            </w:tabs>
            <w:rPr>
              <w:rFonts w:cs="Times New Roman"/>
              <w:noProof/>
              <w:color w:val="000000" w:themeColor="text1"/>
            </w:rPr>
          </w:pPr>
          <w:hyperlink w:anchor="_Toc230110126" w:history="1">
            <w:r w:rsidR="00B07BCB" w:rsidRPr="003A6718">
              <w:rPr>
                <w:rStyle w:val="Hyperlink"/>
                <w:rFonts w:cs="Times New Roman"/>
                <w:noProof/>
                <w:color w:val="000000" w:themeColor="text1"/>
              </w:rPr>
              <w:t>8. References</w:t>
            </w:r>
            <w:r w:rsidR="00B07BCB" w:rsidRPr="003A6718">
              <w:rPr>
                <w:rFonts w:cs="Times New Roman"/>
                <w:noProof/>
                <w:webHidden/>
                <w:color w:val="000000" w:themeColor="text1"/>
              </w:rPr>
              <w:tab/>
            </w:r>
            <w:r w:rsidR="00B07BCB" w:rsidRPr="003A6718">
              <w:rPr>
                <w:rFonts w:cs="Times New Roman"/>
                <w:noProof/>
                <w:webHidden/>
                <w:color w:val="000000" w:themeColor="text1"/>
              </w:rPr>
              <w:fldChar w:fldCharType="begin"/>
            </w:r>
            <w:r w:rsidR="00B07BCB" w:rsidRPr="003A6718">
              <w:rPr>
                <w:rFonts w:cs="Times New Roman"/>
                <w:noProof/>
                <w:webHidden/>
                <w:color w:val="000000" w:themeColor="text1"/>
              </w:rPr>
              <w:instrText xml:space="preserve"> PAGEREF _Toc230110126 \h </w:instrText>
            </w:r>
            <w:r w:rsidR="00B07BCB" w:rsidRPr="003A6718">
              <w:rPr>
                <w:rFonts w:cs="Times New Roman"/>
                <w:noProof/>
                <w:webHidden/>
                <w:color w:val="000000" w:themeColor="text1"/>
              </w:rPr>
            </w:r>
            <w:r w:rsidR="00B07BCB" w:rsidRPr="003A6718">
              <w:rPr>
                <w:rFonts w:cs="Times New Roman"/>
                <w:noProof/>
                <w:webHidden/>
                <w:color w:val="000000" w:themeColor="text1"/>
              </w:rPr>
              <w:fldChar w:fldCharType="separate"/>
            </w:r>
            <w:r w:rsidR="003A6718">
              <w:rPr>
                <w:rFonts w:cs="Times New Roman"/>
                <w:noProof/>
                <w:webHidden/>
                <w:color w:val="000000" w:themeColor="text1"/>
              </w:rPr>
              <w:t>21</w:t>
            </w:r>
            <w:r w:rsidR="00B07BCB" w:rsidRPr="003A6718">
              <w:rPr>
                <w:rFonts w:cs="Times New Roman"/>
                <w:noProof/>
                <w:webHidden/>
                <w:color w:val="000000" w:themeColor="text1"/>
              </w:rPr>
              <w:fldChar w:fldCharType="end"/>
            </w:r>
          </w:hyperlink>
        </w:p>
        <w:p w14:paraId="406D063D" w14:textId="1D1BEC21" w:rsidR="00B07BCB" w:rsidRPr="003A6718" w:rsidRDefault="008D34B3">
          <w:pPr>
            <w:pStyle w:val="TOC1"/>
            <w:tabs>
              <w:tab w:val="right" w:leader="dot" w:pos="9019"/>
            </w:tabs>
            <w:rPr>
              <w:rFonts w:cs="Times New Roman"/>
              <w:noProof/>
              <w:color w:val="000000" w:themeColor="text1"/>
            </w:rPr>
          </w:pPr>
          <w:hyperlink w:anchor="_Toc230110127" w:history="1">
            <w:r w:rsidR="00B07BCB" w:rsidRPr="003A6718">
              <w:rPr>
                <w:rStyle w:val="Hyperlink"/>
                <w:rFonts w:cs="Times New Roman"/>
                <w:noProof/>
                <w:color w:val="000000" w:themeColor="text1"/>
              </w:rPr>
              <w:t>9. Appendices</w:t>
            </w:r>
            <w:r w:rsidR="00B07BCB" w:rsidRPr="003A6718">
              <w:rPr>
                <w:rFonts w:cs="Times New Roman"/>
                <w:noProof/>
                <w:webHidden/>
                <w:color w:val="000000" w:themeColor="text1"/>
              </w:rPr>
              <w:tab/>
            </w:r>
            <w:r w:rsidR="00B07BCB" w:rsidRPr="003A6718">
              <w:rPr>
                <w:rFonts w:cs="Times New Roman"/>
                <w:noProof/>
                <w:webHidden/>
                <w:color w:val="000000" w:themeColor="text1"/>
              </w:rPr>
              <w:fldChar w:fldCharType="begin"/>
            </w:r>
            <w:r w:rsidR="00B07BCB" w:rsidRPr="003A6718">
              <w:rPr>
                <w:rFonts w:cs="Times New Roman"/>
                <w:noProof/>
                <w:webHidden/>
                <w:color w:val="000000" w:themeColor="text1"/>
              </w:rPr>
              <w:instrText xml:space="preserve"> PAGEREF _Toc230110127 \h </w:instrText>
            </w:r>
            <w:r w:rsidR="00B07BCB" w:rsidRPr="003A6718">
              <w:rPr>
                <w:rFonts w:cs="Times New Roman"/>
                <w:noProof/>
                <w:webHidden/>
                <w:color w:val="000000" w:themeColor="text1"/>
              </w:rPr>
            </w:r>
            <w:r w:rsidR="00B07BCB" w:rsidRPr="003A6718">
              <w:rPr>
                <w:rFonts w:cs="Times New Roman"/>
                <w:noProof/>
                <w:webHidden/>
                <w:color w:val="000000" w:themeColor="text1"/>
              </w:rPr>
              <w:fldChar w:fldCharType="separate"/>
            </w:r>
            <w:r w:rsidR="003A6718">
              <w:rPr>
                <w:rFonts w:cs="Times New Roman"/>
                <w:noProof/>
                <w:webHidden/>
                <w:color w:val="000000" w:themeColor="text1"/>
              </w:rPr>
              <w:t>23</w:t>
            </w:r>
            <w:r w:rsidR="00B07BCB" w:rsidRPr="003A6718">
              <w:rPr>
                <w:rFonts w:cs="Times New Roman"/>
                <w:noProof/>
                <w:webHidden/>
                <w:color w:val="000000" w:themeColor="text1"/>
              </w:rPr>
              <w:fldChar w:fldCharType="end"/>
            </w:r>
          </w:hyperlink>
        </w:p>
        <w:p w14:paraId="319518D2" w14:textId="05AC970B" w:rsidR="00B07BCB" w:rsidRPr="003A6718" w:rsidRDefault="008D34B3">
          <w:pPr>
            <w:pStyle w:val="TOC2"/>
            <w:tabs>
              <w:tab w:val="right" w:leader="dot" w:pos="9019"/>
            </w:tabs>
            <w:rPr>
              <w:rFonts w:cs="Times New Roman"/>
              <w:noProof/>
              <w:color w:val="000000" w:themeColor="text1"/>
            </w:rPr>
          </w:pPr>
          <w:hyperlink w:anchor="_Toc230110128" w:history="1">
            <w:r w:rsidR="00B07BCB" w:rsidRPr="003A6718">
              <w:rPr>
                <w:rStyle w:val="Hyperlink"/>
                <w:rFonts w:cs="Times New Roman"/>
                <w:noProof/>
                <w:color w:val="000000" w:themeColor="text1"/>
              </w:rPr>
              <w:t>Appendix A: Capital Project Cash Flow Breakdown</w:t>
            </w:r>
            <w:r w:rsidR="00B07BCB" w:rsidRPr="003A6718">
              <w:rPr>
                <w:rFonts w:cs="Times New Roman"/>
                <w:noProof/>
                <w:webHidden/>
                <w:color w:val="000000" w:themeColor="text1"/>
              </w:rPr>
              <w:tab/>
            </w:r>
            <w:r w:rsidR="00B07BCB" w:rsidRPr="003A6718">
              <w:rPr>
                <w:rFonts w:cs="Times New Roman"/>
                <w:noProof/>
                <w:webHidden/>
                <w:color w:val="000000" w:themeColor="text1"/>
              </w:rPr>
              <w:fldChar w:fldCharType="begin"/>
            </w:r>
            <w:r w:rsidR="00B07BCB" w:rsidRPr="003A6718">
              <w:rPr>
                <w:rFonts w:cs="Times New Roman"/>
                <w:noProof/>
                <w:webHidden/>
                <w:color w:val="000000" w:themeColor="text1"/>
              </w:rPr>
              <w:instrText xml:space="preserve"> PAGEREF _Toc230110128 \h </w:instrText>
            </w:r>
            <w:r w:rsidR="00B07BCB" w:rsidRPr="003A6718">
              <w:rPr>
                <w:rFonts w:cs="Times New Roman"/>
                <w:noProof/>
                <w:webHidden/>
                <w:color w:val="000000" w:themeColor="text1"/>
              </w:rPr>
            </w:r>
            <w:r w:rsidR="00B07BCB" w:rsidRPr="003A6718">
              <w:rPr>
                <w:rFonts w:cs="Times New Roman"/>
                <w:noProof/>
                <w:webHidden/>
                <w:color w:val="000000" w:themeColor="text1"/>
              </w:rPr>
              <w:fldChar w:fldCharType="separate"/>
            </w:r>
            <w:r w:rsidR="003A6718">
              <w:rPr>
                <w:rFonts w:cs="Times New Roman"/>
                <w:noProof/>
                <w:webHidden/>
                <w:color w:val="000000" w:themeColor="text1"/>
              </w:rPr>
              <w:t>23</w:t>
            </w:r>
            <w:r w:rsidR="00B07BCB" w:rsidRPr="003A6718">
              <w:rPr>
                <w:rFonts w:cs="Times New Roman"/>
                <w:noProof/>
                <w:webHidden/>
                <w:color w:val="000000" w:themeColor="text1"/>
              </w:rPr>
              <w:fldChar w:fldCharType="end"/>
            </w:r>
          </w:hyperlink>
        </w:p>
        <w:p w14:paraId="3FE5EEC8" w14:textId="21950B84" w:rsidR="00B07BCB" w:rsidRPr="003A6718" w:rsidRDefault="008D34B3">
          <w:pPr>
            <w:pStyle w:val="TOC2"/>
            <w:tabs>
              <w:tab w:val="right" w:leader="dot" w:pos="9019"/>
            </w:tabs>
            <w:rPr>
              <w:rFonts w:cs="Times New Roman"/>
              <w:noProof/>
              <w:color w:val="000000" w:themeColor="text1"/>
            </w:rPr>
          </w:pPr>
          <w:hyperlink w:anchor="_Toc230110129" w:history="1">
            <w:r w:rsidR="00B07BCB" w:rsidRPr="003A6718">
              <w:rPr>
                <w:rStyle w:val="Hyperlink"/>
                <w:rFonts w:cs="Times New Roman"/>
                <w:noProof/>
                <w:color w:val="000000" w:themeColor="text1"/>
              </w:rPr>
              <w:t>Appendix B: Representative Mathematical Verifications</w:t>
            </w:r>
            <w:r w:rsidR="00B07BCB" w:rsidRPr="003A6718">
              <w:rPr>
                <w:rFonts w:cs="Times New Roman"/>
                <w:noProof/>
                <w:webHidden/>
                <w:color w:val="000000" w:themeColor="text1"/>
              </w:rPr>
              <w:tab/>
            </w:r>
            <w:r w:rsidR="00B07BCB" w:rsidRPr="003A6718">
              <w:rPr>
                <w:rFonts w:cs="Times New Roman"/>
                <w:noProof/>
                <w:webHidden/>
                <w:color w:val="000000" w:themeColor="text1"/>
              </w:rPr>
              <w:fldChar w:fldCharType="begin"/>
            </w:r>
            <w:r w:rsidR="00B07BCB" w:rsidRPr="003A6718">
              <w:rPr>
                <w:rFonts w:cs="Times New Roman"/>
                <w:noProof/>
                <w:webHidden/>
                <w:color w:val="000000" w:themeColor="text1"/>
              </w:rPr>
              <w:instrText xml:space="preserve"> PAGEREF _Toc230110129 \h </w:instrText>
            </w:r>
            <w:r w:rsidR="00B07BCB" w:rsidRPr="003A6718">
              <w:rPr>
                <w:rFonts w:cs="Times New Roman"/>
                <w:noProof/>
                <w:webHidden/>
                <w:color w:val="000000" w:themeColor="text1"/>
              </w:rPr>
            </w:r>
            <w:r w:rsidR="00B07BCB" w:rsidRPr="003A6718">
              <w:rPr>
                <w:rFonts w:cs="Times New Roman"/>
                <w:noProof/>
                <w:webHidden/>
                <w:color w:val="000000" w:themeColor="text1"/>
              </w:rPr>
              <w:fldChar w:fldCharType="separate"/>
            </w:r>
            <w:r w:rsidR="003A6718">
              <w:rPr>
                <w:rFonts w:cs="Times New Roman"/>
                <w:noProof/>
                <w:webHidden/>
                <w:color w:val="000000" w:themeColor="text1"/>
              </w:rPr>
              <w:t>23</w:t>
            </w:r>
            <w:r w:rsidR="00B07BCB" w:rsidRPr="003A6718">
              <w:rPr>
                <w:rFonts w:cs="Times New Roman"/>
                <w:noProof/>
                <w:webHidden/>
                <w:color w:val="000000" w:themeColor="text1"/>
              </w:rPr>
              <w:fldChar w:fldCharType="end"/>
            </w:r>
          </w:hyperlink>
        </w:p>
        <w:p w14:paraId="54D73676" w14:textId="0FB13C98" w:rsidR="00B07BCB" w:rsidRPr="003A6718" w:rsidRDefault="00B07BCB">
          <w:pPr>
            <w:rPr>
              <w:rFonts w:cs="Times New Roman"/>
              <w:color w:val="000000" w:themeColor="text1"/>
            </w:rPr>
          </w:pPr>
          <w:r w:rsidRPr="003A6718">
            <w:rPr>
              <w:rFonts w:cs="Times New Roman"/>
              <w:b/>
              <w:bCs/>
              <w:noProof/>
              <w:color w:val="000000" w:themeColor="text1"/>
            </w:rPr>
            <w:fldChar w:fldCharType="end"/>
          </w:r>
        </w:p>
      </w:sdtContent>
    </w:sdt>
    <w:p w14:paraId="7EED2F28" w14:textId="77777777" w:rsidR="00EA01D9" w:rsidRPr="003A6718" w:rsidRDefault="00150FE0">
      <w:pPr>
        <w:rPr>
          <w:rFonts w:cs="Times New Roman"/>
          <w:color w:val="000000" w:themeColor="text1"/>
        </w:rPr>
      </w:pPr>
      <w:r w:rsidRPr="003A6718">
        <w:rPr>
          <w:rFonts w:cs="Times New Roman"/>
          <w:color w:val="000000" w:themeColor="text1"/>
        </w:rPr>
        <w:br w:type="page"/>
      </w:r>
    </w:p>
    <w:p w14:paraId="6C371BD9" w14:textId="77777777" w:rsidR="00EA01D9" w:rsidRPr="003A6718" w:rsidRDefault="00150FE0">
      <w:pPr>
        <w:pStyle w:val="Heading1"/>
        <w:spacing w:before="240" w:after="120"/>
        <w:rPr>
          <w:rFonts w:ascii="Times New Roman" w:hAnsi="Times New Roman" w:cs="Times New Roman"/>
          <w:color w:val="000000" w:themeColor="text1"/>
        </w:rPr>
      </w:pPr>
      <w:bookmarkStart w:id="0" w:name="_Toc230110113"/>
      <w:r w:rsidRPr="003A6718">
        <w:rPr>
          <w:rFonts w:ascii="Times New Roman" w:hAnsi="Times New Roman" w:cs="Times New Roman"/>
          <w:color w:val="000000" w:themeColor="text1"/>
          <w:sz w:val="32"/>
        </w:rPr>
        <w:lastRenderedPageBreak/>
        <w:t>1. Abstract</w:t>
      </w:r>
      <w:bookmarkEnd w:id="0"/>
    </w:p>
    <w:p w14:paraId="193439AA" w14:textId="097D8E89" w:rsidR="00EA01D9" w:rsidRPr="003A6718" w:rsidRDefault="00541C2D">
      <w:pPr>
        <w:ind w:firstLine="720"/>
        <w:rPr>
          <w:rFonts w:cs="Times New Roman"/>
          <w:color w:val="000000" w:themeColor="text1"/>
        </w:rPr>
      </w:pPr>
      <w:r w:rsidRPr="003A6718">
        <w:rPr>
          <w:rFonts w:cs="Times New Roman"/>
          <w:color w:val="000000" w:themeColor="text1"/>
        </w:rPr>
        <w:t xml:space="preserve">This report examines in detail, and in a critical and demanding manner, the effect of corporate financial decisions, viz, capital structure optimization and investment appraisal, on long-term value of the business and sustainability of the organization. This paper analyzes the thin margin between debt and equity financing, which must be carefully weighed in the context of the modern corporate finance theory, including considerations of tax shield advantages and financial distress disadvantages. This study is based on secondary financial data taken from a representative </w:t>
      </w:r>
      <w:r w:rsidR="00000FBD" w:rsidRPr="003A6718">
        <w:rPr>
          <w:rFonts w:cs="Times New Roman"/>
          <w:color w:val="000000" w:themeColor="text1"/>
        </w:rPr>
        <w:t>capital-intensive</w:t>
      </w:r>
      <w:r w:rsidRPr="003A6718">
        <w:rPr>
          <w:rFonts w:cs="Times New Roman"/>
          <w:color w:val="000000" w:themeColor="text1"/>
        </w:rPr>
        <w:t xml:space="preserve"> enterprise and a multi-criteria capital budgeting approach based on Net Present Value (NPV), Internal Rate of Return (IRR), Payback Period (PP) and Profitability Index (PI). The results indicate a company's Weighted Average Cost of Capital (WACC) is the threshold at which strategic asset deployment meets the expectations of investors in the capital markets. The empirical simulations show that the reduction in the cost of capital and improvement in equity returns due to leverage's interest tax shields is initially beneficial, but excessive leverage leads to an exponential increase in the cost of equity, thus lowering the overall value of the firm. These lessons have led to a proposal of a strategic blueprint for financial managers. This framework puts the emphasis on dynamic capital structuring, the use of rigorous </w:t>
      </w:r>
      <w:r w:rsidR="00000FBD" w:rsidRPr="003A6718">
        <w:rPr>
          <w:rFonts w:cs="Times New Roman"/>
          <w:color w:val="000000" w:themeColor="text1"/>
        </w:rPr>
        <w:t>risk-adjusted</w:t>
      </w:r>
      <w:r w:rsidRPr="003A6718">
        <w:rPr>
          <w:rFonts w:cs="Times New Roman"/>
          <w:color w:val="000000" w:themeColor="text1"/>
        </w:rPr>
        <w:t xml:space="preserve"> appraisal methods, and on making explicit the connection between the </w:t>
      </w:r>
      <w:proofErr w:type="spellStart"/>
      <w:r w:rsidR="00000FBD" w:rsidRPr="003A6718">
        <w:rPr>
          <w:rFonts w:cs="Times New Roman"/>
          <w:color w:val="000000" w:themeColor="text1"/>
        </w:rPr>
        <w:t>maximisation</w:t>
      </w:r>
      <w:proofErr w:type="spellEnd"/>
      <w:r w:rsidRPr="003A6718">
        <w:rPr>
          <w:rFonts w:cs="Times New Roman"/>
          <w:color w:val="000000" w:themeColor="text1"/>
        </w:rPr>
        <w:t xml:space="preserve"> of shareholder wealth and sustainable corporate governance.</w:t>
      </w:r>
    </w:p>
    <w:p w14:paraId="0394DC8B" w14:textId="77777777" w:rsidR="00EA01D9" w:rsidRPr="003A6718" w:rsidRDefault="00150FE0">
      <w:pPr>
        <w:rPr>
          <w:rFonts w:cs="Times New Roman"/>
          <w:color w:val="000000" w:themeColor="text1"/>
        </w:rPr>
      </w:pPr>
      <w:r w:rsidRPr="003A6718">
        <w:rPr>
          <w:rFonts w:cs="Times New Roman"/>
          <w:color w:val="000000" w:themeColor="text1"/>
        </w:rPr>
        <w:br w:type="page"/>
      </w:r>
    </w:p>
    <w:p w14:paraId="00DD734D" w14:textId="77777777" w:rsidR="00EA01D9" w:rsidRPr="003A6718" w:rsidRDefault="00150FE0">
      <w:pPr>
        <w:pStyle w:val="Heading1"/>
        <w:spacing w:before="240" w:after="120"/>
        <w:rPr>
          <w:rFonts w:ascii="Times New Roman" w:hAnsi="Times New Roman" w:cs="Times New Roman"/>
          <w:color w:val="000000" w:themeColor="text1"/>
        </w:rPr>
      </w:pPr>
      <w:bookmarkStart w:id="1" w:name="_Toc230110114"/>
      <w:r w:rsidRPr="003A6718">
        <w:rPr>
          <w:rFonts w:ascii="Times New Roman" w:hAnsi="Times New Roman" w:cs="Times New Roman"/>
          <w:color w:val="000000" w:themeColor="text1"/>
          <w:sz w:val="32"/>
        </w:rPr>
        <w:lastRenderedPageBreak/>
        <w:t>2. Introduction</w:t>
      </w:r>
      <w:bookmarkEnd w:id="1"/>
    </w:p>
    <w:p w14:paraId="3218D4D5" w14:textId="6FEF312A" w:rsidR="00922836" w:rsidRPr="003A6718" w:rsidRDefault="00922836" w:rsidP="00922836">
      <w:pPr>
        <w:ind w:firstLine="720"/>
        <w:rPr>
          <w:rFonts w:cs="Times New Roman"/>
          <w:color w:val="000000" w:themeColor="text1"/>
        </w:rPr>
      </w:pPr>
      <w:r w:rsidRPr="003A6718">
        <w:rPr>
          <w:rFonts w:cs="Times New Roman"/>
          <w:color w:val="000000" w:themeColor="text1"/>
        </w:rPr>
        <w:t>The main goal of corporate financial management is to increase the value of the organization over the long term, while keeping financial risk at an acceptable level. But this goal is now more difficult in the current global economy as interest rates vary, inflation rises, government policies shift and markets are volatile. Consequently, financial managers need to take very strategic decisions about financing, investments, and profit sharing. The decisions are tightly interrelated and all have an impact on the financial strength and development of an organisation. Financing decisions, investment decisions and dividend decisions are the three pillars affecting the financial management of corporations. The present report addresses only the link between capital structure and investment appraisal, and their role in value creation for the organization to be sustainable.</w:t>
      </w:r>
    </w:p>
    <w:p w14:paraId="74460A46" w14:textId="0F5FF964" w:rsidR="00922836" w:rsidRPr="003A6718" w:rsidRDefault="00922836" w:rsidP="00922836">
      <w:pPr>
        <w:ind w:firstLine="720"/>
        <w:rPr>
          <w:rFonts w:cs="Times New Roman"/>
          <w:color w:val="000000" w:themeColor="text1"/>
        </w:rPr>
      </w:pPr>
      <w:r w:rsidRPr="003A6718">
        <w:rPr>
          <w:rFonts w:cs="Times New Roman"/>
          <w:color w:val="000000" w:themeColor="text1"/>
        </w:rPr>
        <w:t>Financing decision is the decision of the most suitable proportion of debt and equity needed for the working of the business and its expansion. Capital structure of a business firm has an important influence on its cost of capital, financial risk and valuation. While debt financing can have tax benefits and reduce financing costs, too much can lead to financial distress. In exchange for safety of repayment commitments, equity financing can result in a reduction in ownership stake and a rise in the expected return that shareholders require. Hence, the financial managers must judiciously allocate these sources of financing to effectively achieve an efficient capital structure.</w:t>
      </w:r>
    </w:p>
    <w:p w14:paraId="63ACF1D7" w14:textId="56B8ECC4" w:rsidR="00922836" w:rsidRPr="003A6718" w:rsidRDefault="00922836" w:rsidP="00922836">
      <w:pPr>
        <w:ind w:firstLine="720"/>
        <w:rPr>
          <w:rFonts w:cs="Times New Roman"/>
          <w:color w:val="000000" w:themeColor="text1"/>
        </w:rPr>
      </w:pPr>
      <w:r w:rsidRPr="003A6718">
        <w:rPr>
          <w:rFonts w:cs="Times New Roman"/>
          <w:color w:val="000000" w:themeColor="text1"/>
        </w:rPr>
        <w:t xml:space="preserve">Cost of capital is the link between financing and investment. Investors and lenders always ask for a return commensurate with the risk and when a business needs funding, that is what is expected. This required return is the benchmark (also known as hurdle rate) which is then used to assess investment opportunities. Capital budgeting techniques like Net Present Value (NPV), Internal Rate of Return (IRR) and Payback help the organization to determine projects that can provide returns in excess of the cost of capital. Any investments that fall </w:t>
      </w:r>
      <w:r w:rsidRPr="003A6718">
        <w:rPr>
          <w:rFonts w:cs="Times New Roman"/>
          <w:color w:val="000000" w:themeColor="text1"/>
        </w:rPr>
        <w:lastRenderedPageBreak/>
        <w:t>short of this standard may decrease shareholder value and impact the company's competitive advantage.</w:t>
      </w:r>
    </w:p>
    <w:p w14:paraId="01A7411B" w14:textId="6E83F0C7" w:rsidR="00EA01D9" w:rsidRPr="003A6718" w:rsidRDefault="00922836" w:rsidP="00922836">
      <w:pPr>
        <w:ind w:firstLine="720"/>
        <w:rPr>
          <w:rFonts w:cs="Times New Roman"/>
          <w:color w:val="000000" w:themeColor="text1"/>
        </w:rPr>
      </w:pPr>
      <w:r w:rsidRPr="003A6718">
        <w:rPr>
          <w:rFonts w:cs="Times New Roman"/>
          <w:color w:val="000000" w:themeColor="text1"/>
        </w:rPr>
        <w:t xml:space="preserve">The present paper therefore critically reviews the theory and practice of financial management in current times to aid in effective decision making. It examines the key capital structure theories, discusses quantitative investment appraisal methods and examines how leverage affects the risk and value of the organisation. The report connects financial theory with corporate strategy and identifies strategies that can contribute to sustainable growth and profitability, and to the maximization of </w:t>
      </w:r>
      <w:proofErr w:type="gramStart"/>
      <w:r w:rsidRPr="003A6718">
        <w:rPr>
          <w:rFonts w:cs="Times New Roman"/>
          <w:color w:val="000000" w:themeColor="text1"/>
        </w:rPr>
        <w:t>long term</w:t>
      </w:r>
      <w:proofErr w:type="gramEnd"/>
      <w:r w:rsidRPr="003A6718">
        <w:rPr>
          <w:rFonts w:cs="Times New Roman"/>
          <w:color w:val="000000" w:themeColor="text1"/>
        </w:rPr>
        <w:t xml:space="preserve"> stakeholder value</w:t>
      </w:r>
      <w:r w:rsidR="00150FE0" w:rsidRPr="003A6718">
        <w:rPr>
          <w:rFonts w:cs="Times New Roman"/>
          <w:color w:val="000000" w:themeColor="text1"/>
        </w:rPr>
        <w:t>.</w:t>
      </w:r>
    </w:p>
    <w:p w14:paraId="087965E1" w14:textId="77777777" w:rsidR="00EA01D9" w:rsidRPr="003A6718" w:rsidRDefault="00150FE0">
      <w:pPr>
        <w:rPr>
          <w:rFonts w:cs="Times New Roman"/>
          <w:color w:val="000000" w:themeColor="text1"/>
        </w:rPr>
      </w:pPr>
      <w:r w:rsidRPr="003A6718">
        <w:rPr>
          <w:rFonts w:cs="Times New Roman"/>
          <w:color w:val="000000" w:themeColor="text1"/>
        </w:rPr>
        <w:br w:type="page"/>
      </w:r>
    </w:p>
    <w:p w14:paraId="34461DA4" w14:textId="77777777" w:rsidR="00EA01D9" w:rsidRPr="003A6718" w:rsidRDefault="00150FE0">
      <w:pPr>
        <w:pStyle w:val="Heading1"/>
        <w:spacing w:before="240" w:after="120"/>
        <w:rPr>
          <w:rFonts w:ascii="Times New Roman" w:hAnsi="Times New Roman" w:cs="Times New Roman"/>
          <w:color w:val="000000" w:themeColor="text1"/>
        </w:rPr>
      </w:pPr>
      <w:bookmarkStart w:id="2" w:name="_Toc230110115"/>
      <w:r w:rsidRPr="003A6718">
        <w:rPr>
          <w:rFonts w:ascii="Times New Roman" w:hAnsi="Times New Roman" w:cs="Times New Roman"/>
          <w:color w:val="000000" w:themeColor="text1"/>
          <w:sz w:val="32"/>
        </w:rPr>
        <w:lastRenderedPageBreak/>
        <w:t>3. Literature Review</w:t>
      </w:r>
      <w:bookmarkEnd w:id="2"/>
    </w:p>
    <w:p w14:paraId="00EBE4B3" w14:textId="77777777" w:rsidR="00EA01D9" w:rsidRPr="003A6718" w:rsidRDefault="00150FE0">
      <w:pPr>
        <w:pStyle w:val="Heading2"/>
        <w:spacing w:before="240" w:after="80"/>
        <w:rPr>
          <w:rFonts w:ascii="Times New Roman" w:hAnsi="Times New Roman" w:cs="Times New Roman"/>
          <w:color w:val="000000" w:themeColor="text1"/>
        </w:rPr>
      </w:pPr>
      <w:bookmarkStart w:id="3" w:name="_Toc230110116"/>
      <w:r w:rsidRPr="003A6718">
        <w:rPr>
          <w:rFonts w:ascii="Times New Roman" w:hAnsi="Times New Roman" w:cs="Times New Roman"/>
          <w:color w:val="000000" w:themeColor="text1"/>
          <w:sz w:val="28"/>
        </w:rPr>
        <w:t>3.1 Capital Structure Theories</w:t>
      </w:r>
      <w:bookmarkEnd w:id="3"/>
    </w:p>
    <w:p w14:paraId="74B16720" w14:textId="45C346B7" w:rsidR="00EA01D9" w:rsidRPr="003A6718" w:rsidRDefault="00150FE0">
      <w:pPr>
        <w:ind w:firstLine="720"/>
        <w:rPr>
          <w:rFonts w:cs="Times New Roman"/>
          <w:color w:val="000000" w:themeColor="text1"/>
        </w:rPr>
      </w:pPr>
      <w:r w:rsidRPr="003A6718">
        <w:rPr>
          <w:rFonts w:cs="Times New Roman"/>
          <w:color w:val="000000" w:themeColor="text1"/>
        </w:rPr>
        <w:t xml:space="preserve">The modern discourse on capital structure began with the seminal work. In a frictionless market characterized by zero taxes, no bankruptcy costs, symmetric information, and efficient capital allocation, </w:t>
      </w:r>
      <w:r w:rsidR="00D13E50" w:rsidRPr="003A6718">
        <w:rPr>
          <w:rFonts w:cs="Times New Roman"/>
          <w:color w:val="000000" w:themeColor="text1"/>
        </w:rPr>
        <w:t>As per (</w:t>
      </w:r>
      <w:proofErr w:type="spellStart"/>
      <w:r w:rsidR="00D13E50" w:rsidRPr="003A6718">
        <w:rPr>
          <w:rFonts w:cs="Times New Roman"/>
          <w:color w:val="000000" w:themeColor="text1"/>
        </w:rPr>
        <w:t>Brusov</w:t>
      </w:r>
      <w:proofErr w:type="spellEnd"/>
      <w:r w:rsidR="00D13E50" w:rsidRPr="003A6718">
        <w:rPr>
          <w:rFonts w:cs="Times New Roman"/>
          <w:color w:val="000000" w:themeColor="text1"/>
        </w:rPr>
        <w:t>, &amp; Filatova, 2023</w:t>
      </w:r>
      <w:proofErr w:type="gramStart"/>
      <w:r w:rsidR="00D13E50" w:rsidRPr="003A6718">
        <w:rPr>
          <w:rFonts w:cs="Times New Roman"/>
          <w:color w:val="000000" w:themeColor="text1"/>
        </w:rPr>
        <w:t xml:space="preserve">), </w:t>
      </w:r>
      <w:r w:rsidRPr="003A6718">
        <w:rPr>
          <w:rFonts w:cs="Times New Roman"/>
          <w:color w:val="000000" w:themeColor="text1"/>
        </w:rPr>
        <w:t xml:space="preserve"> demonstrated</w:t>
      </w:r>
      <w:proofErr w:type="gramEnd"/>
      <w:r w:rsidRPr="003A6718">
        <w:rPr>
          <w:rFonts w:cs="Times New Roman"/>
          <w:color w:val="000000" w:themeColor="text1"/>
        </w:rPr>
        <w:t xml:space="preserve"> through their Proposition I that a firm’s choice of capital structure is completely irrelevant to its total market value. They argued that corporate value is determined solely by the earning power and risk profile of its underlying assets, not by how those assets are split between debt and equity slices. While the irrelevance theorem provided an invaluable baseline, its strict assumptions do not hold in real-world markets. Recognizing this, </w:t>
      </w:r>
      <w:r w:rsidR="00434396" w:rsidRPr="003A6718">
        <w:rPr>
          <w:rFonts w:cs="Times New Roman"/>
          <w:color w:val="000000" w:themeColor="text1"/>
        </w:rPr>
        <w:t>(</w:t>
      </w:r>
      <w:proofErr w:type="spellStart"/>
      <w:r w:rsidR="00434396" w:rsidRPr="003A6718">
        <w:rPr>
          <w:rFonts w:cs="Times New Roman"/>
          <w:color w:val="000000" w:themeColor="text1"/>
        </w:rPr>
        <w:t>Brusov</w:t>
      </w:r>
      <w:proofErr w:type="spellEnd"/>
      <w:r w:rsidR="00434396" w:rsidRPr="003A6718">
        <w:rPr>
          <w:rFonts w:cs="Times New Roman"/>
          <w:color w:val="000000" w:themeColor="text1"/>
        </w:rPr>
        <w:t>, &amp; Filatova, 2023),</w:t>
      </w:r>
      <w:r w:rsidRPr="003A6718">
        <w:rPr>
          <w:rFonts w:cs="Times New Roman"/>
          <w:color w:val="000000" w:themeColor="text1"/>
        </w:rPr>
        <w:t xml:space="preserve"> introduced corporate taxes into their model (Proposition II). Because interest payments on debt are tax-deductible while equity dividends are paid from net earnings, debt financing creates a corporate interest tax shield. This implies that firms should theoretically pursue near-100% debt financing to maximize corporate value.</w:t>
      </w:r>
    </w:p>
    <w:p w14:paraId="54CE32BE" w14:textId="7488FFD0" w:rsidR="00EA01D9" w:rsidRPr="003A6718" w:rsidRDefault="00150FE0">
      <w:pPr>
        <w:ind w:firstLine="720"/>
        <w:rPr>
          <w:rFonts w:cs="Times New Roman"/>
          <w:color w:val="000000" w:themeColor="text1"/>
        </w:rPr>
      </w:pPr>
      <w:r w:rsidRPr="003A6718">
        <w:rPr>
          <w:rFonts w:cs="Times New Roman"/>
          <w:color w:val="000000" w:themeColor="text1"/>
        </w:rPr>
        <w:t xml:space="preserve">To counter this extreme implication, </w:t>
      </w:r>
      <w:r w:rsidR="006B1F6B" w:rsidRPr="003A6718">
        <w:rPr>
          <w:rFonts w:cs="Times New Roman"/>
          <w:color w:val="000000" w:themeColor="text1"/>
        </w:rPr>
        <w:t>(Liu, 2017</w:t>
      </w:r>
      <w:r w:rsidRPr="003A6718">
        <w:rPr>
          <w:rFonts w:cs="Times New Roman"/>
          <w:color w:val="000000" w:themeColor="text1"/>
        </w:rPr>
        <w:t>)</w:t>
      </w:r>
      <w:r w:rsidR="006B1F6B" w:rsidRPr="003A6718">
        <w:rPr>
          <w:rFonts w:cs="Times New Roman"/>
          <w:color w:val="000000" w:themeColor="text1"/>
        </w:rPr>
        <w:t>,</w:t>
      </w:r>
      <w:r w:rsidRPr="003A6718">
        <w:rPr>
          <w:rFonts w:cs="Times New Roman"/>
          <w:color w:val="000000" w:themeColor="text1"/>
        </w:rPr>
        <w:t xml:space="preserve"> formalized the Trade-Off Theory of Capital Structure. This framework posits that firms balance the tax advantages of debt financing against the deadweight costs of financial distress and bankruptcy. As leverage increases, the probability of insolvency grows, driving up both direct costs (legal fees, administrative restructuring expenses) and indirect costs (loss of customer trust, supplier restrictions, and employee turnover). The optimal capital structure is achieved at the precise point where the marginal benefit of the interest tax shield equals the marginal cost of financial distress.</w:t>
      </w:r>
    </w:p>
    <w:p w14:paraId="057D973E" w14:textId="52D5D847" w:rsidR="00EA01D9" w:rsidRPr="003A6718" w:rsidRDefault="00150FE0">
      <w:pPr>
        <w:ind w:firstLine="720"/>
        <w:rPr>
          <w:rFonts w:cs="Times New Roman"/>
          <w:color w:val="000000" w:themeColor="text1"/>
        </w:rPr>
      </w:pPr>
      <w:r w:rsidRPr="003A6718">
        <w:rPr>
          <w:rFonts w:cs="Times New Roman"/>
          <w:color w:val="000000" w:themeColor="text1"/>
        </w:rPr>
        <w:t xml:space="preserve">An alternative perspective is provided by (Yıldırım &amp; Çelik, 2021), through the Pecking Order Theory, which rejects the notion of a static optimal debt-to-equity target. </w:t>
      </w:r>
      <w:r w:rsidRPr="003A6718">
        <w:rPr>
          <w:rFonts w:cs="Times New Roman"/>
          <w:color w:val="000000" w:themeColor="text1"/>
        </w:rPr>
        <w:lastRenderedPageBreak/>
        <w:t>Rooted in asymmetric information—where corporate insiders possess deeper operational knowledge than external investors—this theory suggests that firms prioritize their financing sources based on the path of least resistance and minimal adverse signaling. Organizations prefer internal retained earnings first, followed by safe debt issuance, and turn to external equity only as a last resort. This preference occurs because issuing new equity can signal to the market that managers believe the current share price is overvalued, which often triggers a drop in stock price.</w:t>
      </w:r>
    </w:p>
    <w:p w14:paraId="3E1FCE6F" w14:textId="77777777" w:rsidR="00EA01D9" w:rsidRPr="003A6718" w:rsidRDefault="00150FE0">
      <w:pPr>
        <w:pStyle w:val="Heading2"/>
        <w:spacing w:before="240" w:after="80"/>
        <w:rPr>
          <w:rFonts w:ascii="Times New Roman" w:hAnsi="Times New Roman" w:cs="Times New Roman"/>
          <w:color w:val="000000" w:themeColor="text1"/>
        </w:rPr>
      </w:pPr>
      <w:bookmarkStart w:id="4" w:name="_Toc230110117"/>
      <w:r w:rsidRPr="003A6718">
        <w:rPr>
          <w:rFonts w:ascii="Times New Roman" w:hAnsi="Times New Roman" w:cs="Times New Roman"/>
          <w:color w:val="000000" w:themeColor="text1"/>
          <w:sz w:val="28"/>
        </w:rPr>
        <w:t>3.2 The Dynamics of Risk, Return, Debt, and Equity</w:t>
      </w:r>
      <w:bookmarkEnd w:id="4"/>
    </w:p>
    <w:p w14:paraId="653F58E8" w14:textId="3CBB1566" w:rsidR="00EA01D9" w:rsidRPr="003A6718" w:rsidRDefault="00150FE0">
      <w:pPr>
        <w:ind w:firstLine="720"/>
        <w:rPr>
          <w:rFonts w:cs="Times New Roman"/>
          <w:color w:val="000000" w:themeColor="text1"/>
        </w:rPr>
      </w:pPr>
      <w:r w:rsidRPr="003A6718">
        <w:rPr>
          <w:rFonts w:cs="Times New Roman"/>
          <w:color w:val="000000" w:themeColor="text1"/>
        </w:rPr>
        <w:t xml:space="preserve">Introducing debt into a firm's capital structure alters its risk-return profile through financial leverage. Operating leverage is determined by a firm's fixed asset base and production cost structure, whereas financial leverage is an explicit choice made by management to use fixed-income securities to boost returns to equity holders. According to the Capital Asset Pricing Model (CAPM), the total risk of a levered firm's equity (βL) increases as its debt-to-equity ratio rises. This dynamic is modeled through the Hamada Equation: βL = βU [1 + (1 - </w:t>
      </w:r>
      <w:proofErr w:type="gramStart"/>
      <w:r w:rsidRPr="003A6718">
        <w:rPr>
          <w:rFonts w:cs="Times New Roman"/>
          <w:color w:val="000000" w:themeColor="text1"/>
        </w:rPr>
        <w:t>T)(</w:t>
      </w:r>
      <w:proofErr w:type="gramEnd"/>
      <w:r w:rsidRPr="003A6718">
        <w:rPr>
          <w:rFonts w:cs="Times New Roman"/>
          <w:color w:val="000000" w:themeColor="text1"/>
        </w:rPr>
        <w:t>D/E)], where βU represents the unlevered asset beta (systematic business risk), T is the corporate tax rate, and D/E is the market debt-to-equity ratio. As the debt-to-equity ratio grows, the financial risk premium demanded by equity investors escalates, increasing the required cost of equity (</w:t>
      </w:r>
      <w:proofErr w:type="spellStart"/>
      <w:r w:rsidRPr="003A6718">
        <w:rPr>
          <w:rFonts w:cs="Times New Roman"/>
          <w:color w:val="000000" w:themeColor="text1"/>
        </w:rPr>
        <w:t>Ke</w:t>
      </w:r>
      <w:proofErr w:type="spellEnd"/>
      <w:r w:rsidRPr="003A6718">
        <w:rPr>
          <w:rFonts w:cs="Times New Roman"/>
          <w:color w:val="000000" w:themeColor="text1"/>
        </w:rPr>
        <w:t>). Consequently, while debt appears cheaper than equity on the surface due to its seniority in liquidation and tax-deductible status, its integration drives up the risk and cost of equity, illustrating the risk-return trade-off inherent in financial design</w:t>
      </w:r>
      <w:r w:rsidR="00F26673" w:rsidRPr="003A6718">
        <w:rPr>
          <w:rFonts w:cs="Times New Roman"/>
          <w:color w:val="000000" w:themeColor="text1"/>
        </w:rPr>
        <w:t xml:space="preserve"> (</w:t>
      </w:r>
      <w:proofErr w:type="spellStart"/>
      <w:r w:rsidR="00F26673" w:rsidRPr="003A6718">
        <w:rPr>
          <w:rFonts w:cs="Times New Roman"/>
          <w:color w:val="000000" w:themeColor="text1"/>
        </w:rPr>
        <w:t>Feldhütter</w:t>
      </w:r>
      <w:proofErr w:type="spellEnd"/>
      <w:r w:rsidR="00F26673" w:rsidRPr="003A6718">
        <w:rPr>
          <w:rFonts w:cs="Times New Roman"/>
          <w:color w:val="000000" w:themeColor="text1"/>
        </w:rPr>
        <w:t xml:space="preserve"> &amp; Schaefer, 2023).</w:t>
      </w:r>
    </w:p>
    <w:p w14:paraId="4A429B4A" w14:textId="77777777" w:rsidR="00EA01D9" w:rsidRPr="003A6718" w:rsidRDefault="00150FE0">
      <w:pPr>
        <w:pStyle w:val="Heading2"/>
        <w:spacing w:before="240" w:after="80"/>
        <w:rPr>
          <w:rFonts w:ascii="Times New Roman" w:hAnsi="Times New Roman" w:cs="Times New Roman"/>
          <w:color w:val="000000" w:themeColor="text1"/>
        </w:rPr>
      </w:pPr>
      <w:bookmarkStart w:id="5" w:name="_Toc230110118"/>
      <w:r w:rsidRPr="003A6718">
        <w:rPr>
          <w:rFonts w:ascii="Times New Roman" w:hAnsi="Times New Roman" w:cs="Times New Roman"/>
          <w:color w:val="000000" w:themeColor="text1"/>
          <w:sz w:val="28"/>
        </w:rPr>
        <w:t>3.3 Capital Budgeting and Investment Appraisal Frameworks</w:t>
      </w:r>
      <w:bookmarkEnd w:id="5"/>
    </w:p>
    <w:p w14:paraId="784C4C02" w14:textId="32FE46EA" w:rsidR="00EA01D9" w:rsidRPr="003A6718" w:rsidRDefault="00150FE0">
      <w:pPr>
        <w:ind w:firstLine="720"/>
        <w:rPr>
          <w:rFonts w:cs="Times New Roman"/>
          <w:color w:val="000000" w:themeColor="text1"/>
        </w:rPr>
      </w:pPr>
      <w:r w:rsidRPr="003A6718">
        <w:rPr>
          <w:rFonts w:cs="Times New Roman"/>
          <w:color w:val="000000" w:themeColor="text1"/>
        </w:rPr>
        <w:t xml:space="preserve">While capital structure determines the source and cost of funds, capital budgeting governs their long-term allocation. Organizations use several distinct metric frameworks to </w:t>
      </w:r>
      <w:r w:rsidRPr="003A6718">
        <w:rPr>
          <w:rFonts w:cs="Times New Roman"/>
          <w:color w:val="000000" w:themeColor="text1"/>
        </w:rPr>
        <w:lastRenderedPageBreak/>
        <w:t>appraise capital allocations, each presenting unique theoretical and operational trade-offs:</w:t>
      </w:r>
      <w:r w:rsidRPr="003A6718">
        <w:rPr>
          <w:rFonts w:cs="Times New Roman"/>
          <w:color w:val="000000" w:themeColor="text1"/>
        </w:rPr>
        <w:br/>
        <w:t>• Net Present Value (NPV): Widely considered the gold standard of investment appraisal, NPV measures the absolute net wealth generated by a project by discounting all expected future cash flows back to the present using the firm’s cost of capital. A positive NPV signifies shareholder wealth creation</w:t>
      </w:r>
      <w:r w:rsidR="00675B12" w:rsidRPr="003A6718">
        <w:rPr>
          <w:rFonts w:cs="Times New Roman"/>
          <w:color w:val="000000" w:themeColor="text1"/>
        </w:rPr>
        <w:t xml:space="preserve"> (</w:t>
      </w:r>
      <w:proofErr w:type="spellStart"/>
      <w:r w:rsidR="00675B12" w:rsidRPr="003A6718">
        <w:rPr>
          <w:rFonts w:cs="Times New Roman"/>
          <w:color w:val="000000" w:themeColor="text1"/>
        </w:rPr>
        <w:t>Darmansyah</w:t>
      </w:r>
      <w:proofErr w:type="spellEnd"/>
      <w:r w:rsidR="00675B12" w:rsidRPr="003A6718">
        <w:rPr>
          <w:rFonts w:cs="Times New Roman"/>
          <w:color w:val="000000" w:themeColor="text1"/>
        </w:rPr>
        <w:t>,</w:t>
      </w:r>
      <w:r w:rsidR="00675B12" w:rsidRPr="003A6718">
        <w:rPr>
          <w:rFonts w:cs="Times New Roman"/>
          <w:color w:val="000000" w:themeColor="text1"/>
        </w:rPr>
        <w:t xml:space="preserve"> Ali, &amp; Parveen, 2025).</w:t>
      </w:r>
      <w:r w:rsidRPr="003A6718">
        <w:rPr>
          <w:rFonts w:cs="Times New Roman"/>
          <w:color w:val="000000" w:themeColor="text1"/>
        </w:rPr>
        <w:br/>
        <w:t>• Internal Rate of Return (IRR): The IRR represents the discount rate at which a project's NPV equals zero. While intuitively appealing to management because it expresses returns as a percentage, IRR assumes that intermediate cash inflows are reinvested at the IRR itself—an assumption that can be unrealistic for high-yielding projects. Furthermore, non-conventional cash flows can yield multiple or conflicting IRR values.</w:t>
      </w:r>
      <w:r w:rsidRPr="003A6718">
        <w:rPr>
          <w:rFonts w:cs="Times New Roman"/>
          <w:color w:val="000000" w:themeColor="text1"/>
        </w:rPr>
        <w:br/>
        <w:t>• Payback Period (PP): This metric measures the time required for a project to recover its initial investment from its cash inflows. Although useful for assessing short-term liquidity and risk exposure, PP fails to account for the time value of money (unless discounted) and completely ignores cash flows generated after the payback cutoff date.</w:t>
      </w:r>
      <w:r w:rsidRPr="003A6718">
        <w:rPr>
          <w:rFonts w:cs="Times New Roman"/>
          <w:color w:val="000000" w:themeColor="text1"/>
        </w:rPr>
        <w:br/>
        <w:t>• Profitability Index (PI): Calculated as the ratio of the present value of future cash flows to the initial investment, PI measures relative efficiency. This tool is valuable for capital rationing scenarios where a firm must rank multiple positive-NPV projects under a fixed capital budget</w:t>
      </w:r>
      <w:r w:rsidR="00CD04A6" w:rsidRPr="003A6718">
        <w:rPr>
          <w:rFonts w:cs="Times New Roman"/>
          <w:color w:val="000000" w:themeColor="text1"/>
        </w:rPr>
        <w:t xml:space="preserve"> </w:t>
      </w:r>
      <w:r w:rsidR="00CD04A6" w:rsidRPr="003A6718">
        <w:rPr>
          <w:rFonts w:cs="Times New Roman"/>
          <w:color w:val="000000" w:themeColor="text1"/>
        </w:rPr>
        <w:t>(</w:t>
      </w:r>
      <w:proofErr w:type="spellStart"/>
      <w:r w:rsidR="00CD04A6" w:rsidRPr="003A6718">
        <w:rPr>
          <w:rFonts w:cs="Times New Roman"/>
          <w:color w:val="000000" w:themeColor="text1"/>
        </w:rPr>
        <w:t>Darmansyah</w:t>
      </w:r>
      <w:proofErr w:type="spellEnd"/>
      <w:r w:rsidR="00CD04A6" w:rsidRPr="003A6718">
        <w:rPr>
          <w:rFonts w:cs="Times New Roman"/>
          <w:color w:val="000000" w:themeColor="text1"/>
        </w:rPr>
        <w:t>, Ali, &amp; Parveen, 2025).</w:t>
      </w:r>
    </w:p>
    <w:p w14:paraId="220CD8AC" w14:textId="77777777" w:rsidR="00EA01D9" w:rsidRPr="003A6718" w:rsidRDefault="00150FE0">
      <w:pPr>
        <w:pStyle w:val="Heading2"/>
        <w:spacing w:before="240" w:after="80"/>
        <w:rPr>
          <w:rFonts w:ascii="Times New Roman" w:hAnsi="Times New Roman" w:cs="Times New Roman"/>
          <w:color w:val="000000" w:themeColor="text1"/>
        </w:rPr>
      </w:pPr>
      <w:bookmarkStart w:id="6" w:name="_Toc230110119"/>
      <w:r w:rsidRPr="003A6718">
        <w:rPr>
          <w:rFonts w:ascii="Times New Roman" w:hAnsi="Times New Roman" w:cs="Times New Roman"/>
          <w:color w:val="000000" w:themeColor="text1"/>
          <w:sz w:val="28"/>
        </w:rPr>
        <w:t>3.4 Cost of Capital and Long-Term Value Creation</w:t>
      </w:r>
      <w:bookmarkEnd w:id="6"/>
    </w:p>
    <w:p w14:paraId="61E10058" w14:textId="6041F24B" w:rsidR="00EA01D9" w:rsidRPr="003A6718" w:rsidRDefault="00150FE0">
      <w:pPr>
        <w:ind w:firstLine="720"/>
        <w:rPr>
          <w:rFonts w:cs="Times New Roman"/>
          <w:color w:val="000000" w:themeColor="text1"/>
        </w:rPr>
      </w:pPr>
      <w:r w:rsidRPr="003A6718">
        <w:rPr>
          <w:rFonts w:cs="Times New Roman"/>
          <w:color w:val="000000" w:themeColor="text1"/>
        </w:rPr>
        <w:t xml:space="preserve">The Weighted Average Cost of Capital (WACC) serves as the fundamental link connecting liability structures to capital investment returns. It represents the combined return demanded by all capital providers and combines the relative costs of equity and debt based on their proportions in the capital structure. Long-term corporate value creation occurs when the return on invested capital (ROIC) consistently exceeds the WACC. This delta generates Economic Value Added (EVA), which measures true economic profit over accounting profit. </w:t>
      </w:r>
      <w:r w:rsidRPr="003A6718">
        <w:rPr>
          <w:rFonts w:cs="Times New Roman"/>
          <w:color w:val="000000" w:themeColor="text1"/>
        </w:rPr>
        <w:lastRenderedPageBreak/>
        <w:t>Managing the WACC through deliberate capital structure adjustments directly influences the discount rate applied to strategic cash flows, shaping organizational value and market competitiveness</w:t>
      </w:r>
      <w:r w:rsidR="001A2523" w:rsidRPr="003A6718">
        <w:rPr>
          <w:rFonts w:cs="Times New Roman"/>
          <w:color w:val="000000" w:themeColor="text1"/>
        </w:rPr>
        <w:t xml:space="preserve"> (</w:t>
      </w:r>
      <w:r w:rsidR="001A2523" w:rsidRPr="003A6718">
        <w:rPr>
          <w:rFonts w:cs="Times New Roman"/>
          <w:color w:val="000000" w:themeColor="text1"/>
        </w:rPr>
        <w:t>Huaman-Roque</w:t>
      </w:r>
      <w:r w:rsidR="001A2523" w:rsidRPr="003A6718">
        <w:rPr>
          <w:rFonts w:cs="Times New Roman"/>
          <w:color w:val="000000" w:themeColor="text1"/>
        </w:rPr>
        <w:t xml:space="preserve"> et al., 2025).</w:t>
      </w:r>
    </w:p>
    <w:p w14:paraId="0FD72336" w14:textId="77777777" w:rsidR="00EA01D9" w:rsidRPr="003A6718" w:rsidRDefault="00150FE0">
      <w:pPr>
        <w:rPr>
          <w:rFonts w:cs="Times New Roman"/>
          <w:color w:val="000000" w:themeColor="text1"/>
        </w:rPr>
      </w:pPr>
      <w:r w:rsidRPr="003A6718">
        <w:rPr>
          <w:rFonts w:cs="Times New Roman"/>
          <w:color w:val="000000" w:themeColor="text1"/>
        </w:rPr>
        <w:br w:type="page"/>
      </w:r>
    </w:p>
    <w:p w14:paraId="7B0BC1C0" w14:textId="3B4572F6" w:rsidR="000527E3" w:rsidRPr="003A6718" w:rsidRDefault="00150FE0" w:rsidP="00125F11">
      <w:pPr>
        <w:pStyle w:val="Heading1"/>
        <w:spacing w:before="240" w:after="120"/>
        <w:rPr>
          <w:rFonts w:ascii="Times New Roman" w:hAnsi="Times New Roman" w:cs="Times New Roman"/>
          <w:color w:val="000000" w:themeColor="text1"/>
        </w:rPr>
      </w:pPr>
      <w:bookmarkStart w:id="7" w:name="_Toc230110120"/>
      <w:r w:rsidRPr="003A6718">
        <w:rPr>
          <w:rFonts w:ascii="Times New Roman" w:hAnsi="Times New Roman" w:cs="Times New Roman"/>
          <w:color w:val="000000" w:themeColor="text1"/>
          <w:sz w:val="32"/>
        </w:rPr>
        <w:lastRenderedPageBreak/>
        <w:t>4. Methodology</w:t>
      </w:r>
      <w:bookmarkEnd w:id="7"/>
    </w:p>
    <w:p w14:paraId="76BDAC17" w14:textId="19A71E63" w:rsidR="000527E3" w:rsidRPr="003A6718" w:rsidRDefault="000527E3" w:rsidP="00125F11">
      <w:pPr>
        <w:ind w:firstLine="720"/>
        <w:rPr>
          <w:rFonts w:cs="Times New Roman"/>
          <w:color w:val="000000" w:themeColor="text1"/>
        </w:rPr>
      </w:pPr>
      <w:r w:rsidRPr="003A6718">
        <w:rPr>
          <w:rFonts w:cs="Times New Roman"/>
          <w:color w:val="000000" w:themeColor="text1"/>
        </w:rPr>
        <w:t>This study adopts a quantitative and deductive research methodology to examine the relationship between capital structure decisions, investment appraisal, and organizational value creation. The research design is based on scenario modeling and financial simulation techniques, which allow the analysis of financial outcomes under different financing and investment conditions. A quantitative approach is appropriate because the study relies heavily on numerical financial data, mathematical formulas, and measurable performance indicators such as the Weighted Average Cost of Capital (WACC), Net Present Value (NPV), and leverage ratios. The deductive approach is used to test established financial theories, including capital structure theory and investment appraisal principles, within a simulated corporate environment.</w:t>
      </w:r>
    </w:p>
    <w:p w14:paraId="75D62DCD" w14:textId="138969A8" w:rsidR="000527E3" w:rsidRPr="003A6718" w:rsidRDefault="000527E3" w:rsidP="00125F11">
      <w:pPr>
        <w:ind w:firstLine="720"/>
        <w:rPr>
          <w:rFonts w:cs="Times New Roman"/>
          <w:color w:val="000000" w:themeColor="text1"/>
        </w:rPr>
      </w:pPr>
      <w:r w:rsidRPr="003A6718">
        <w:rPr>
          <w:rFonts w:cs="Times New Roman"/>
          <w:color w:val="000000" w:themeColor="text1"/>
        </w:rPr>
        <w:t>To ensure practical relevance, the study focuses on a hypothetical capital-intensive enterprise operating within a competitive market environment. The simulation framework is designed to replicate realistic financial decision-making processes that are commonly faced by modern corporations. The baseline financial structure of the firm assumes an unlevered capital structure consisting entirely of equity financing. The market value of the firm’s assets is set at $100,000,000. Additional macro-financial assumptions include a risk-free rate of 4.5%, a market risk premium of 6.0%, an unlevered asset beta (βU) of 1.10, and a corporate tax rate of 25%. These variables are selected to reflect standard market conditions and provide consistency in the financial modeling process.</w:t>
      </w:r>
    </w:p>
    <w:p w14:paraId="2F2B06A1" w14:textId="406C3DBE" w:rsidR="000527E3" w:rsidRPr="003A6718" w:rsidRDefault="000527E3" w:rsidP="00125F11">
      <w:pPr>
        <w:ind w:firstLine="720"/>
        <w:rPr>
          <w:rFonts w:cs="Times New Roman"/>
          <w:color w:val="000000" w:themeColor="text1"/>
        </w:rPr>
      </w:pPr>
      <w:r w:rsidRPr="003A6718">
        <w:rPr>
          <w:rFonts w:cs="Times New Roman"/>
          <w:color w:val="000000" w:themeColor="text1"/>
        </w:rPr>
        <w:t xml:space="preserve">The simulated organization evaluates a large-scale strategic infrastructure investment requiring an initial capital outlay of $25,000,000. The project has an estimated operational life of five years and is expected to generate annual net operating cash inflows over this period. A terminal residual value of $2,000,000 is also included in the final year to account </w:t>
      </w:r>
      <w:r w:rsidRPr="003A6718">
        <w:rPr>
          <w:rFonts w:cs="Times New Roman"/>
          <w:color w:val="000000" w:themeColor="text1"/>
        </w:rPr>
        <w:lastRenderedPageBreak/>
        <w:t>for the remaining economic value of the investment assets. These projected cash flows form the basis for the investment appraisal analysis.</w:t>
      </w:r>
    </w:p>
    <w:p w14:paraId="3608C7AB" w14:textId="689BE9FB" w:rsidR="000527E3" w:rsidRPr="003A6718" w:rsidRDefault="000527E3" w:rsidP="00125F11">
      <w:pPr>
        <w:ind w:firstLine="720"/>
        <w:rPr>
          <w:rFonts w:cs="Times New Roman"/>
          <w:color w:val="000000" w:themeColor="text1"/>
        </w:rPr>
      </w:pPr>
      <w:r w:rsidRPr="003A6718">
        <w:rPr>
          <w:rFonts w:cs="Times New Roman"/>
          <w:color w:val="000000" w:themeColor="text1"/>
        </w:rPr>
        <w:t>The empirical analysis is divided into two major phases. Phase I focuses on investment appraisal and evaluates the financial viability of the project under different discounting conditions. The project cash flows are assessed using three WACC hurdle rates of 8%, 10%, and 12% to measure the sensitivity of project value to changes in the cost of capital. Key capital budgeting techniques, including Net Present Value (NPV), Internal Rate of Return (IRR), and Payback Period, are applied to determine whether the project generates sufficient returns above the required rate of return.</w:t>
      </w:r>
    </w:p>
    <w:p w14:paraId="6432CBDB" w14:textId="0F5B3E42" w:rsidR="00EA01D9" w:rsidRPr="003A6718" w:rsidRDefault="000527E3" w:rsidP="000527E3">
      <w:pPr>
        <w:ind w:firstLine="720"/>
        <w:rPr>
          <w:rFonts w:cs="Times New Roman"/>
          <w:color w:val="000000" w:themeColor="text1"/>
        </w:rPr>
      </w:pPr>
      <w:r w:rsidRPr="003A6718">
        <w:rPr>
          <w:rFonts w:cs="Times New Roman"/>
          <w:color w:val="000000" w:themeColor="text1"/>
        </w:rPr>
        <w:t>Phase II concentrates on capital structure optimization. In this stage, the firm’s financing structure is gradually altered from an unlevered position to increasing levels of debt financing represented by debt-to-total-value ratios of 20%, 40%, 60%, and 80%. The Hamada Equation is applied to calculate the leveraged beta (βL), which measures the increase in equity risk resulting from higher financial leverage. Changes in beta are then used to estimate the adjusted cost of equity through the Capital Asset Pricing Model (CAPM). Simultaneously, the cost of debt is adjusted across leverage levels to reflect increasing financial risk. This simulation enables the identification of the optimal capital structure where the firm minimizes its overall cost of capital while maximizing organizational value and shareholder wealth</w:t>
      </w:r>
      <w:r w:rsidR="00150FE0" w:rsidRPr="003A6718">
        <w:rPr>
          <w:rFonts w:cs="Times New Roman"/>
          <w:color w:val="000000" w:themeColor="text1"/>
        </w:rPr>
        <w:t>.</w:t>
      </w:r>
    </w:p>
    <w:p w14:paraId="0BC386CD" w14:textId="77777777" w:rsidR="00EA01D9" w:rsidRPr="003A6718" w:rsidRDefault="00150FE0">
      <w:pPr>
        <w:rPr>
          <w:rFonts w:cs="Times New Roman"/>
          <w:color w:val="000000" w:themeColor="text1"/>
        </w:rPr>
      </w:pPr>
      <w:r w:rsidRPr="003A6718">
        <w:rPr>
          <w:rFonts w:cs="Times New Roman"/>
          <w:color w:val="000000" w:themeColor="text1"/>
        </w:rPr>
        <w:br w:type="page"/>
      </w:r>
    </w:p>
    <w:p w14:paraId="67170BB6" w14:textId="77777777" w:rsidR="00EA01D9" w:rsidRPr="003A6718" w:rsidRDefault="00150FE0">
      <w:pPr>
        <w:pStyle w:val="Heading1"/>
        <w:spacing w:before="240" w:after="120"/>
        <w:rPr>
          <w:rFonts w:ascii="Times New Roman" w:hAnsi="Times New Roman" w:cs="Times New Roman"/>
          <w:color w:val="000000" w:themeColor="text1"/>
        </w:rPr>
      </w:pPr>
      <w:bookmarkStart w:id="8" w:name="_Toc230110121"/>
      <w:r w:rsidRPr="003A6718">
        <w:rPr>
          <w:rFonts w:ascii="Times New Roman" w:hAnsi="Times New Roman" w:cs="Times New Roman"/>
          <w:color w:val="000000" w:themeColor="text1"/>
          <w:sz w:val="32"/>
        </w:rPr>
        <w:lastRenderedPageBreak/>
        <w:t>5. Findings</w:t>
      </w:r>
      <w:bookmarkEnd w:id="8"/>
    </w:p>
    <w:p w14:paraId="7A292985" w14:textId="77777777" w:rsidR="00EA01D9" w:rsidRPr="003A6718" w:rsidRDefault="00150FE0">
      <w:pPr>
        <w:pStyle w:val="Heading2"/>
        <w:spacing w:before="240" w:after="80"/>
        <w:rPr>
          <w:rFonts w:ascii="Times New Roman" w:hAnsi="Times New Roman" w:cs="Times New Roman"/>
          <w:color w:val="000000" w:themeColor="text1"/>
        </w:rPr>
      </w:pPr>
      <w:bookmarkStart w:id="9" w:name="_Toc230110122"/>
      <w:r w:rsidRPr="003A6718">
        <w:rPr>
          <w:rFonts w:ascii="Times New Roman" w:hAnsi="Times New Roman" w:cs="Times New Roman"/>
          <w:color w:val="000000" w:themeColor="text1"/>
          <w:sz w:val="28"/>
        </w:rPr>
        <w:t>5.1 Project Appraisals and Financial Metrics</w:t>
      </w:r>
      <w:bookmarkEnd w:id="9"/>
    </w:p>
    <w:p w14:paraId="6D96BAE5" w14:textId="4F908548" w:rsidR="00665635" w:rsidRPr="003A6718" w:rsidRDefault="00665635" w:rsidP="00665635">
      <w:pPr>
        <w:ind w:firstLine="720"/>
        <w:rPr>
          <w:rFonts w:cs="Times New Roman"/>
          <w:color w:val="000000" w:themeColor="text1"/>
        </w:rPr>
      </w:pPr>
      <w:r w:rsidRPr="003A6718">
        <w:rPr>
          <w:rFonts w:cs="Times New Roman"/>
          <w:color w:val="000000" w:themeColor="text1"/>
        </w:rPr>
        <w:t>The proposed expansion project, requiring an initial investment of $25,000,000, was evaluated using several capital budgeting techniques under three different discount rate scenarios. These discount rates of 8%, 10%, and 12% represent varying levels of financing costs and investment risk. The analysis aimed to determine whether the project would generate sufficient returns to justify the capital commitment while also assessing how sensitive the project’s value is to changes in the cost of capital</w:t>
      </w:r>
      <w:r w:rsidR="003647EB" w:rsidRPr="003A6718">
        <w:rPr>
          <w:rFonts w:cs="Times New Roman"/>
          <w:color w:val="000000" w:themeColor="text1"/>
        </w:rPr>
        <w:t xml:space="preserve"> (</w:t>
      </w:r>
      <w:proofErr w:type="spellStart"/>
      <w:r w:rsidR="003647EB" w:rsidRPr="00C53DE8">
        <w:rPr>
          <w:rFonts w:eastAsia="Times New Roman" w:cs="Times New Roman"/>
          <w:color w:val="000000" w:themeColor="text1"/>
          <w:szCs w:val="24"/>
          <w:lang w:val="en-IN" w:eastAsia="en-IN"/>
        </w:rPr>
        <w:t>Türegün</w:t>
      </w:r>
      <w:proofErr w:type="spellEnd"/>
      <w:r w:rsidR="003647EB" w:rsidRPr="00C53DE8">
        <w:rPr>
          <w:rFonts w:eastAsia="Times New Roman" w:cs="Times New Roman"/>
          <w:color w:val="000000" w:themeColor="text1"/>
          <w:szCs w:val="24"/>
          <w:lang w:val="en-IN" w:eastAsia="en-IN"/>
        </w:rPr>
        <w:t>, 2022).</w:t>
      </w:r>
    </w:p>
    <w:p w14:paraId="182ABC72" w14:textId="3257F3B5" w:rsidR="00EA01D9" w:rsidRPr="003A6718" w:rsidRDefault="00665635" w:rsidP="00665635">
      <w:pPr>
        <w:ind w:firstLine="720"/>
        <w:rPr>
          <w:rFonts w:cs="Times New Roman"/>
          <w:color w:val="000000" w:themeColor="text1"/>
        </w:rPr>
      </w:pPr>
      <w:r w:rsidRPr="003A6718">
        <w:rPr>
          <w:rFonts w:cs="Times New Roman"/>
          <w:color w:val="000000" w:themeColor="text1"/>
        </w:rPr>
        <w:t>Under Scenario A, where the discount rate is set at 8%, the project generates a present value (PV) of future cash inflows equal to $36,682,154. After deducting the initial outlay, the project produces a Net Present Value (NPV) of $11,682,154. A positive NPV of this magnitude indicates that the project is expected to create substantial shareholder wealth and increase the market value of the firm. The profitability of the project is further supported by a Profitability Index (PI) of 1.47, which means that every dollar invested is expected to return $1.47 in present value terms. The Payback Period (PP) of 2.82 years also demonstrates that the organization would recover its initial investment relatively quickly compared to the project’s five-year life span.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5"/>
        <w:gridCol w:w="2255"/>
        <w:gridCol w:w="2255"/>
      </w:tblGrid>
      <w:tr w:rsidR="003A6718" w:rsidRPr="003A6718" w14:paraId="2555CB52" w14:textId="77777777" w:rsidTr="00BD6A01">
        <w:trPr>
          <w:jc w:val="center"/>
        </w:trPr>
        <w:tc>
          <w:tcPr>
            <w:tcW w:w="2257" w:type="dxa"/>
            <w:shd w:val="clear" w:color="auto" w:fill="1A365D"/>
            <w:tcMar>
              <w:top w:w="80" w:type="dxa"/>
              <w:left w:w="100" w:type="dxa"/>
              <w:bottom w:w="80" w:type="dxa"/>
              <w:right w:w="100" w:type="dxa"/>
            </w:tcMar>
          </w:tcPr>
          <w:p w14:paraId="3A8C0EE5" w14:textId="77777777" w:rsidR="00EA01D9" w:rsidRPr="003A6718" w:rsidRDefault="00150FE0">
            <w:pPr>
              <w:spacing w:line="276" w:lineRule="auto"/>
              <w:jc w:val="center"/>
              <w:rPr>
                <w:rFonts w:cs="Times New Roman"/>
                <w:color w:val="000000" w:themeColor="text1"/>
              </w:rPr>
            </w:pPr>
            <w:r w:rsidRPr="003A6718">
              <w:rPr>
                <w:rFonts w:cs="Times New Roman"/>
                <w:b/>
                <w:color w:val="000000" w:themeColor="text1"/>
                <w:sz w:val="20"/>
              </w:rPr>
              <w:t>Evaluation Metric</w:t>
            </w:r>
          </w:p>
        </w:tc>
        <w:tc>
          <w:tcPr>
            <w:tcW w:w="2257" w:type="dxa"/>
            <w:shd w:val="clear" w:color="auto" w:fill="1A365D"/>
            <w:tcMar>
              <w:top w:w="80" w:type="dxa"/>
              <w:left w:w="100" w:type="dxa"/>
              <w:bottom w:w="80" w:type="dxa"/>
              <w:right w:w="100" w:type="dxa"/>
            </w:tcMar>
          </w:tcPr>
          <w:p w14:paraId="2A244AD9" w14:textId="77777777" w:rsidR="00EA01D9" w:rsidRPr="003A6718" w:rsidRDefault="00150FE0">
            <w:pPr>
              <w:spacing w:line="276" w:lineRule="auto"/>
              <w:jc w:val="center"/>
              <w:rPr>
                <w:rFonts w:cs="Times New Roman"/>
                <w:color w:val="000000" w:themeColor="text1"/>
              </w:rPr>
            </w:pPr>
            <w:r w:rsidRPr="003A6718">
              <w:rPr>
                <w:rFonts w:cs="Times New Roman"/>
                <w:b/>
                <w:color w:val="000000" w:themeColor="text1"/>
                <w:sz w:val="20"/>
              </w:rPr>
              <w:t>Scenario A (r = 8%)</w:t>
            </w:r>
          </w:p>
        </w:tc>
        <w:tc>
          <w:tcPr>
            <w:tcW w:w="2257" w:type="dxa"/>
            <w:shd w:val="clear" w:color="auto" w:fill="1A365D"/>
            <w:tcMar>
              <w:top w:w="80" w:type="dxa"/>
              <w:left w:w="100" w:type="dxa"/>
              <w:bottom w:w="80" w:type="dxa"/>
              <w:right w:w="100" w:type="dxa"/>
            </w:tcMar>
          </w:tcPr>
          <w:p w14:paraId="4D5830A3" w14:textId="77777777" w:rsidR="00EA01D9" w:rsidRPr="003A6718" w:rsidRDefault="00150FE0">
            <w:pPr>
              <w:spacing w:line="276" w:lineRule="auto"/>
              <w:jc w:val="center"/>
              <w:rPr>
                <w:rFonts w:cs="Times New Roman"/>
                <w:color w:val="000000" w:themeColor="text1"/>
              </w:rPr>
            </w:pPr>
            <w:r w:rsidRPr="003A6718">
              <w:rPr>
                <w:rFonts w:cs="Times New Roman"/>
                <w:b/>
                <w:color w:val="000000" w:themeColor="text1"/>
                <w:sz w:val="20"/>
              </w:rPr>
              <w:t>Scenario B (r = 10%)</w:t>
            </w:r>
          </w:p>
        </w:tc>
        <w:tc>
          <w:tcPr>
            <w:tcW w:w="2257" w:type="dxa"/>
            <w:shd w:val="clear" w:color="auto" w:fill="1A365D"/>
            <w:tcMar>
              <w:top w:w="80" w:type="dxa"/>
              <w:left w:w="100" w:type="dxa"/>
              <w:bottom w:w="80" w:type="dxa"/>
              <w:right w:w="100" w:type="dxa"/>
            </w:tcMar>
          </w:tcPr>
          <w:p w14:paraId="4B4EB3D5" w14:textId="77777777" w:rsidR="00EA01D9" w:rsidRPr="003A6718" w:rsidRDefault="00150FE0">
            <w:pPr>
              <w:spacing w:line="276" w:lineRule="auto"/>
              <w:jc w:val="center"/>
              <w:rPr>
                <w:rFonts w:cs="Times New Roman"/>
                <w:color w:val="000000" w:themeColor="text1"/>
              </w:rPr>
            </w:pPr>
            <w:r w:rsidRPr="003A6718">
              <w:rPr>
                <w:rFonts w:cs="Times New Roman"/>
                <w:b/>
                <w:color w:val="000000" w:themeColor="text1"/>
                <w:sz w:val="20"/>
              </w:rPr>
              <w:t>Scenario C (r = 12%)</w:t>
            </w:r>
          </w:p>
        </w:tc>
      </w:tr>
      <w:tr w:rsidR="003A6718" w:rsidRPr="003A6718" w14:paraId="110801F9" w14:textId="77777777" w:rsidTr="00BD6A01">
        <w:trPr>
          <w:jc w:val="center"/>
        </w:trPr>
        <w:tc>
          <w:tcPr>
            <w:tcW w:w="2257" w:type="dxa"/>
            <w:tcMar>
              <w:top w:w="80" w:type="dxa"/>
              <w:left w:w="100" w:type="dxa"/>
              <w:bottom w:w="80" w:type="dxa"/>
              <w:right w:w="100" w:type="dxa"/>
            </w:tcMar>
          </w:tcPr>
          <w:p w14:paraId="6765D391"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Initial Outlay (IO)</w:t>
            </w:r>
          </w:p>
        </w:tc>
        <w:tc>
          <w:tcPr>
            <w:tcW w:w="2257" w:type="dxa"/>
            <w:tcMar>
              <w:top w:w="80" w:type="dxa"/>
              <w:left w:w="100" w:type="dxa"/>
              <w:bottom w:w="80" w:type="dxa"/>
              <w:right w:w="100" w:type="dxa"/>
            </w:tcMar>
          </w:tcPr>
          <w:p w14:paraId="48724628"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$25,000,000</w:t>
            </w:r>
          </w:p>
        </w:tc>
        <w:tc>
          <w:tcPr>
            <w:tcW w:w="2257" w:type="dxa"/>
            <w:tcMar>
              <w:top w:w="80" w:type="dxa"/>
              <w:left w:w="100" w:type="dxa"/>
              <w:bottom w:w="80" w:type="dxa"/>
              <w:right w:w="100" w:type="dxa"/>
            </w:tcMar>
          </w:tcPr>
          <w:p w14:paraId="62FA3642"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$25,000,000</w:t>
            </w:r>
          </w:p>
        </w:tc>
        <w:tc>
          <w:tcPr>
            <w:tcW w:w="2257" w:type="dxa"/>
            <w:tcMar>
              <w:top w:w="80" w:type="dxa"/>
              <w:left w:w="100" w:type="dxa"/>
              <w:bottom w:w="80" w:type="dxa"/>
              <w:right w:w="100" w:type="dxa"/>
            </w:tcMar>
          </w:tcPr>
          <w:p w14:paraId="340077FD"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$25,000,000</w:t>
            </w:r>
          </w:p>
        </w:tc>
      </w:tr>
      <w:tr w:rsidR="003A6718" w:rsidRPr="003A6718" w14:paraId="1087E9AE" w14:textId="77777777" w:rsidTr="00BD6A01">
        <w:trPr>
          <w:jc w:val="center"/>
        </w:trPr>
        <w:tc>
          <w:tcPr>
            <w:tcW w:w="2257" w:type="dxa"/>
            <w:shd w:val="clear" w:color="auto" w:fill="F7FAFC"/>
            <w:tcMar>
              <w:top w:w="80" w:type="dxa"/>
              <w:left w:w="100" w:type="dxa"/>
              <w:bottom w:w="80" w:type="dxa"/>
              <w:right w:w="100" w:type="dxa"/>
            </w:tcMar>
          </w:tcPr>
          <w:p w14:paraId="7B4077DC"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PV of Cash Inflows</w:t>
            </w:r>
          </w:p>
        </w:tc>
        <w:tc>
          <w:tcPr>
            <w:tcW w:w="2257" w:type="dxa"/>
            <w:shd w:val="clear" w:color="auto" w:fill="F7FAFC"/>
            <w:tcMar>
              <w:top w:w="80" w:type="dxa"/>
              <w:left w:w="100" w:type="dxa"/>
              <w:bottom w:w="80" w:type="dxa"/>
              <w:right w:w="100" w:type="dxa"/>
            </w:tcMar>
          </w:tcPr>
          <w:p w14:paraId="73431AEB"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$36,682,154</w:t>
            </w:r>
          </w:p>
        </w:tc>
        <w:tc>
          <w:tcPr>
            <w:tcW w:w="2257" w:type="dxa"/>
            <w:shd w:val="clear" w:color="auto" w:fill="F7FAFC"/>
            <w:tcMar>
              <w:top w:w="80" w:type="dxa"/>
              <w:left w:w="100" w:type="dxa"/>
              <w:bottom w:w="80" w:type="dxa"/>
              <w:right w:w="100" w:type="dxa"/>
            </w:tcMar>
          </w:tcPr>
          <w:p w14:paraId="706CAE11"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$34,710,542</w:t>
            </w:r>
          </w:p>
        </w:tc>
        <w:tc>
          <w:tcPr>
            <w:tcW w:w="2257" w:type="dxa"/>
            <w:shd w:val="clear" w:color="auto" w:fill="F7FAFC"/>
            <w:tcMar>
              <w:top w:w="80" w:type="dxa"/>
              <w:left w:w="100" w:type="dxa"/>
              <w:bottom w:w="80" w:type="dxa"/>
              <w:right w:w="100" w:type="dxa"/>
            </w:tcMar>
          </w:tcPr>
          <w:p w14:paraId="145EB664"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$32,901,847</w:t>
            </w:r>
          </w:p>
        </w:tc>
      </w:tr>
      <w:tr w:rsidR="003A6718" w:rsidRPr="003A6718" w14:paraId="4AD5FDE9" w14:textId="77777777" w:rsidTr="00BD6A01">
        <w:trPr>
          <w:jc w:val="center"/>
        </w:trPr>
        <w:tc>
          <w:tcPr>
            <w:tcW w:w="2257" w:type="dxa"/>
            <w:tcMar>
              <w:top w:w="80" w:type="dxa"/>
              <w:left w:w="100" w:type="dxa"/>
              <w:bottom w:w="80" w:type="dxa"/>
              <w:right w:w="100" w:type="dxa"/>
            </w:tcMar>
          </w:tcPr>
          <w:p w14:paraId="491C7966" w14:textId="77777777" w:rsidR="00EA01D9" w:rsidRPr="003A6718" w:rsidRDefault="00150FE0">
            <w:pPr>
              <w:spacing w:line="276" w:lineRule="auto"/>
              <w:rPr>
                <w:rFonts w:cs="Times New Roman"/>
                <w:color w:val="000000" w:themeColor="text1"/>
              </w:rPr>
            </w:pPr>
            <w:r w:rsidRPr="003A6718">
              <w:rPr>
                <w:rFonts w:cs="Times New Roman"/>
                <w:b/>
                <w:color w:val="000000" w:themeColor="text1"/>
                <w:sz w:val="20"/>
              </w:rPr>
              <w:t>Net Present Value (NPV)</w:t>
            </w:r>
          </w:p>
        </w:tc>
        <w:tc>
          <w:tcPr>
            <w:tcW w:w="2257" w:type="dxa"/>
            <w:tcMar>
              <w:top w:w="80" w:type="dxa"/>
              <w:left w:w="100" w:type="dxa"/>
              <w:bottom w:w="80" w:type="dxa"/>
              <w:right w:w="100" w:type="dxa"/>
            </w:tcMar>
          </w:tcPr>
          <w:p w14:paraId="646A18F1" w14:textId="77777777" w:rsidR="00EA01D9" w:rsidRPr="003A6718" w:rsidRDefault="00150FE0">
            <w:pPr>
              <w:spacing w:line="276" w:lineRule="auto"/>
              <w:rPr>
                <w:rFonts w:cs="Times New Roman"/>
                <w:color w:val="000000" w:themeColor="text1"/>
              </w:rPr>
            </w:pPr>
            <w:r w:rsidRPr="003A6718">
              <w:rPr>
                <w:rFonts w:cs="Times New Roman"/>
                <w:b/>
                <w:color w:val="000000" w:themeColor="text1"/>
                <w:sz w:val="20"/>
              </w:rPr>
              <w:t>$11,682,154</w:t>
            </w:r>
          </w:p>
        </w:tc>
        <w:tc>
          <w:tcPr>
            <w:tcW w:w="2257" w:type="dxa"/>
            <w:tcMar>
              <w:top w:w="80" w:type="dxa"/>
              <w:left w:w="100" w:type="dxa"/>
              <w:bottom w:w="80" w:type="dxa"/>
              <w:right w:w="100" w:type="dxa"/>
            </w:tcMar>
          </w:tcPr>
          <w:p w14:paraId="554BBC0D" w14:textId="77777777" w:rsidR="00EA01D9" w:rsidRPr="003A6718" w:rsidRDefault="00150FE0">
            <w:pPr>
              <w:spacing w:line="276" w:lineRule="auto"/>
              <w:rPr>
                <w:rFonts w:cs="Times New Roman"/>
                <w:color w:val="000000" w:themeColor="text1"/>
              </w:rPr>
            </w:pPr>
            <w:r w:rsidRPr="003A6718">
              <w:rPr>
                <w:rFonts w:cs="Times New Roman"/>
                <w:b/>
                <w:color w:val="000000" w:themeColor="text1"/>
                <w:sz w:val="20"/>
              </w:rPr>
              <w:t>$9,710,542</w:t>
            </w:r>
          </w:p>
        </w:tc>
        <w:tc>
          <w:tcPr>
            <w:tcW w:w="2257" w:type="dxa"/>
            <w:tcMar>
              <w:top w:w="80" w:type="dxa"/>
              <w:left w:w="100" w:type="dxa"/>
              <w:bottom w:w="80" w:type="dxa"/>
              <w:right w:w="100" w:type="dxa"/>
            </w:tcMar>
          </w:tcPr>
          <w:p w14:paraId="557A2B25" w14:textId="77777777" w:rsidR="00EA01D9" w:rsidRPr="003A6718" w:rsidRDefault="00150FE0">
            <w:pPr>
              <w:spacing w:line="276" w:lineRule="auto"/>
              <w:rPr>
                <w:rFonts w:cs="Times New Roman"/>
                <w:color w:val="000000" w:themeColor="text1"/>
              </w:rPr>
            </w:pPr>
            <w:r w:rsidRPr="003A6718">
              <w:rPr>
                <w:rFonts w:cs="Times New Roman"/>
                <w:b/>
                <w:color w:val="000000" w:themeColor="text1"/>
                <w:sz w:val="20"/>
              </w:rPr>
              <w:t>$7,901,847</w:t>
            </w:r>
          </w:p>
        </w:tc>
      </w:tr>
      <w:tr w:rsidR="003A6718" w:rsidRPr="003A6718" w14:paraId="779E949C" w14:textId="77777777" w:rsidTr="00BD6A01">
        <w:trPr>
          <w:jc w:val="center"/>
        </w:trPr>
        <w:tc>
          <w:tcPr>
            <w:tcW w:w="2257" w:type="dxa"/>
            <w:shd w:val="clear" w:color="auto" w:fill="F7FAFC"/>
            <w:tcMar>
              <w:top w:w="80" w:type="dxa"/>
              <w:left w:w="100" w:type="dxa"/>
              <w:bottom w:w="80" w:type="dxa"/>
              <w:right w:w="100" w:type="dxa"/>
            </w:tcMar>
          </w:tcPr>
          <w:p w14:paraId="0E7ABAD3"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Internal Rate of Return (IRR)</w:t>
            </w:r>
          </w:p>
        </w:tc>
        <w:tc>
          <w:tcPr>
            <w:tcW w:w="2257" w:type="dxa"/>
            <w:shd w:val="clear" w:color="auto" w:fill="F7FAFC"/>
            <w:tcMar>
              <w:top w:w="80" w:type="dxa"/>
              <w:left w:w="100" w:type="dxa"/>
              <w:bottom w:w="80" w:type="dxa"/>
              <w:right w:w="100" w:type="dxa"/>
            </w:tcMar>
          </w:tcPr>
          <w:p w14:paraId="155DE8B4"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21.34%</w:t>
            </w:r>
          </w:p>
        </w:tc>
        <w:tc>
          <w:tcPr>
            <w:tcW w:w="2257" w:type="dxa"/>
            <w:shd w:val="clear" w:color="auto" w:fill="F7FAFC"/>
            <w:tcMar>
              <w:top w:w="80" w:type="dxa"/>
              <w:left w:w="100" w:type="dxa"/>
              <w:bottom w:w="80" w:type="dxa"/>
              <w:right w:w="100" w:type="dxa"/>
            </w:tcMar>
          </w:tcPr>
          <w:p w14:paraId="4EB4EFC5"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21.34%</w:t>
            </w:r>
          </w:p>
        </w:tc>
        <w:tc>
          <w:tcPr>
            <w:tcW w:w="2257" w:type="dxa"/>
            <w:shd w:val="clear" w:color="auto" w:fill="F7FAFC"/>
            <w:tcMar>
              <w:top w:w="80" w:type="dxa"/>
              <w:left w:w="100" w:type="dxa"/>
              <w:bottom w:w="80" w:type="dxa"/>
              <w:right w:w="100" w:type="dxa"/>
            </w:tcMar>
          </w:tcPr>
          <w:p w14:paraId="0E5F431E"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21.34%</w:t>
            </w:r>
          </w:p>
        </w:tc>
      </w:tr>
      <w:tr w:rsidR="003A6718" w:rsidRPr="003A6718" w14:paraId="332ED6D9" w14:textId="77777777" w:rsidTr="00BD6A01">
        <w:trPr>
          <w:jc w:val="center"/>
        </w:trPr>
        <w:tc>
          <w:tcPr>
            <w:tcW w:w="2257" w:type="dxa"/>
            <w:tcMar>
              <w:top w:w="80" w:type="dxa"/>
              <w:left w:w="100" w:type="dxa"/>
              <w:bottom w:w="80" w:type="dxa"/>
              <w:right w:w="100" w:type="dxa"/>
            </w:tcMar>
          </w:tcPr>
          <w:p w14:paraId="19B82627"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Profitability Index (PI)</w:t>
            </w:r>
          </w:p>
        </w:tc>
        <w:tc>
          <w:tcPr>
            <w:tcW w:w="2257" w:type="dxa"/>
            <w:tcMar>
              <w:top w:w="80" w:type="dxa"/>
              <w:left w:w="100" w:type="dxa"/>
              <w:bottom w:w="80" w:type="dxa"/>
              <w:right w:w="100" w:type="dxa"/>
            </w:tcMar>
          </w:tcPr>
          <w:p w14:paraId="489C54D9"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1.47</w:t>
            </w:r>
          </w:p>
        </w:tc>
        <w:tc>
          <w:tcPr>
            <w:tcW w:w="2257" w:type="dxa"/>
            <w:tcMar>
              <w:top w:w="80" w:type="dxa"/>
              <w:left w:w="100" w:type="dxa"/>
              <w:bottom w:w="80" w:type="dxa"/>
              <w:right w:w="100" w:type="dxa"/>
            </w:tcMar>
          </w:tcPr>
          <w:p w14:paraId="306FE8E4"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1.39</w:t>
            </w:r>
          </w:p>
        </w:tc>
        <w:tc>
          <w:tcPr>
            <w:tcW w:w="2257" w:type="dxa"/>
            <w:tcMar>
              <w:top w:w="80" w:type="dxa"/>
              <w:left w:w="100" w:type="dxa"/>
              <w:bottom w:w="80" w:type="dxa"/>
              <w:right w:w="100" w:type="dxa"/>
            </w:tcMar>
          </w:tcPr>
          <w:p w14:paraId="5046476C"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1.32</w:t>
            </w:r>
          </w:p>
        </w:tc>
      </w:tr>
      <w:tr w:rsidR="003A6718" w:rsidRPr="003A6718" w14:paraId="1225EA23" w14:textId="77777777" w:rsidTr="00BD6A01">
        <w:trPr>
          <w:jc w:val="center"/>
        </w:trPr>
        <w:tc>
          <w:tcPr>
            <w:tcW w:w="2257" w:type="dxa"/>
            <w:shd w:val="clear" w:color="auto" w:fill="F7FAFC"/>
            <w:tcMar>
              <w:top w:w="80" w:type="dxa"/>
              <w:left w:w="100" w:type="dxa"/>
              <w:bottom w:w="80" w:type="dxa"/>
              <w:right w:w="100" w:type="dxa"/>
            </w:tcMar>
          </w:tcPr>
          <w:p w14:paraId="26F509CA"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Payback Period (PP)</w:t>
            </w:r>
          </w:p>
        </w:tc>
        <w:tc>
          <w:tcPr>
            <w:tcW w:w="2257" w:type="dxa"/>
            <w:shd w:val="clear" w:color="auto" w:fill="F7FAFC"/>
            <w:tcMar>
              <w:top w:w="80" w:type="dxa"/>
              <w:left w:w="100" w:type="dxa"/>
              <w:bottom w:w="80" w:type="dxa"/>
              <w:right w:w="100" w:type="dxa"/>
            </w:tcMar>
          </w:tcPr>
          <w:p w14:paraId="218564C0"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2.82 Years</w:t>
            </w:r>
          </w:p>
        </w:tc>
        <w:tc>
          <w:tcPr>
            <w:tcW w:w="2257" w:type="dxa"/>
            <w:shd w:val="clear" w:color="auto" w:fill="F7FAFC"/>
            <w:tcMar>
              <w:top w:w="80" w:type="dxa"/>
              <w:left w:w="100" w:type="dxa"/>
              <w:bottom w:w="80" w:type="dxa"/>
              <w:right w:w="100" w:type="dxa"/>
            </w:tcMar>
          </w:tcPr>
          <w:p w14:paraId="1576CF7A"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2.82 Years</w:t>
            </w:r>
          </w:p>
        </w:tc>
        <w:tc>
          <w:tcPr>
            <w:tcW w:w="2257" w:type="dxa"/>
            <w:shd w:val="clear" w:color="auto" w:fill="F7FAFC"/>
            <w:tcMar>
              <w:top w:w="80" w:type="dxa"/>
              <w:left w:w="100" w:type="dxa"/>
              <w:bottom w:w="80" w:type="dxa"/>
              <w:right w:w="100" w:type="dxa"/>
            </w:tcMar>
          </w:tcPr>
          <w:p w14:paraId="0A0237DE"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20"/>
              </w:rPr>
              <w:t>2.82 Years</w:t>
            </w:r>
          </w:p>
        </w:tc>
      </w:tr>
    </w:tbl>
    <w:p w14:paraId="70A03E78" w14:textId="77777777" w:rsidR="00665635" w:rsidRPr="003A6718" w:rsidRDefault="00665635" w:rsidP="00665635">
      <w:pPr>
        <w:ind w:firstLine="720"/>
        <w:rPr>
          <w:rFonts w:cs="Times New Roman"/>
          <w:color w:val="000000" w:themeColor="text1"/>
        </w:rPr>
      </w:pPr>
      <w:r w:rsidRPr="003A6718">
        <w:rPr>
          <w:rFonts w:cs="Times New Roman"/>
          <w:color w:val="000000" w:themeColor="text1"/>
        </w:rPr>
        <w:lastRenderedPageBreak/>
        <w:t>In Scenario B, the discount rate increases to 10%, representing a moderate rise in the company’s weighted average cost of capital. As expected, the present value of future cash inflows decreases to $34,710,542 because future cash flows are discounted more heavily. Consequently, the NPV falls to $9,710,542. Although lower than Scenario A, this figure remains strongly positive, indicating that the project still generates value even under higher financing costs. The Profitability Index declines slightly to 1.39, showing a reduction in investment efficiency. However, the ratio still exceeds 1.0, confirming that the project remains financially viable. The Payback Period remains unchanged at 2.82 years because this metric does not directly consider discounting effects in its traditional form.</w:t>
      </w:r>
    </w:p>
    <w:p w14:paraId="4E896A7E" w14:textId="77777777" w:rsidR="00665635" w:rsidRPr="003A6718" w:rsidRDefault="00665635" w:rsidP="00665635">
      <w:pPr>
        <w:ind w:firstLine="720"/>
        <w:rPr>
          <w:rFonts w:cs="Times New Roman"/>
          <w:color w:val="000000" w:themeColor="text1"/>
        </w:rPr>
      </w:pPr>
      <w:r w:rsidRPr="003A6718">
        <w:rPr>
          <w:rFonts w:cs="Times New Roman"/>
          <w:color w:val="000000" w:themeColor="text1"/>
        </w:rPr>
        <w:t>Scenario C evaluates the project under a higher discount rate of 12%, which reflects a more expensive capital environment and increased perceived risk. Under these conditions, the present value of future cash inflows decreases further to $32,901,847, reducing the NPV to $7,901,847. Despite this decline, the project continues to produce a significant positive NPV, demonstrating resilience even in less favorable financial conditions. The Profitability Index also decreases to 1.32, suggesting that although the efficiency of capital utilization has weakened, the project still generates returns above the required investment threshold.</w:t>
      </w:r>
    </w:p>
    <w:p w14:paraId="08C74901" w14:textId="77777777" w:rsidR="00665635" w:rsidRPr="003A6718" w:rsidRDefault="00665635" w:rsidP="00665635">
      <w:pPr>
        <w:ind w:firstLine="720"/>
        <w:rPr>
          <w:rFonts w:cs="Times New Roman"/>
          <w:color w:val="000000" w:themeColor="text1"/>
        </w:rPr>
      </w:pPr>
      <w:r w:rsidRPr="003A6718">
        <w:rPr>
          <w:rFonts w:cs="Times New Roman"/>
          <w:color w:val="000000" w:themeColor="text1"/>
        </w:rPr>
        <w:t>Across all three scenarios, the Internal Rate of Return (IRR) remains constant at 21.34%. The IRR represents the discount rate at which the project’s NPV equals zero and serves as an important indicator of investment attractiveness. Since the IRR is substantially higher than all three evaluated discount rates, the project is financially acceptable under each scenario. This result indicates that the expected return generated by the project significantly exceeds the company’s required rate of return, thereby supporting the decision to proceed with the investment.</w:t>
      </w:r>
    </w:p>
    <w:p w14:paraId="5393F3D1" w14:textId="6BDBBB12" w:rsidR="00EA01D9" w:rsidRPr="003A6718" w:rsidRDefault="00665635" w:rsidP="00665635">
      <w:pPr>
        <w:ind w:firstLine="720"/>
        <w:rPr>
          <w:rFonts w:cs="Times New Roman"/>
          <w:color w:val="000000" w:themeColor="text1"/>
        </w:rPr>
      </w:pPr>
      <w:r w:rsidRPr="003A6718">
        <w:rPr>
          <w:rFonts w:cs="Times New Roman"/>
          <w:color w:val="000000" w:themeColor="text1"/>
        </w:rPr>
        <w:t xml:space="preserve">Overall, the investment appraisal demonstrates that the proposed expansion project is financially sound and capable of generating strong economic value. Although increases in the </w:t>
      </w:r>
      <w:r w:rsidRPr="003A6718">
        <w:rPr>
          <w:rFonts w:cs="Times New Roman"/>
          <w:color w:val="000000" w:themeColor="text1"/>
        </w:rPr>
        <w:lastRenderedPageBreak/>
        <w:t>discount rate reduce the project’s profitability and present value, the investment continues to remain attractive across all tested conditions. These findings highlight the importance of selecting projects with strong cash-generating potential that can withstand fluctuations in financing costs and economic uncertainty</w:t>
      </w:r>
      <w:r w:rsidR="00F26D7D" w:rsidRPr="003A6718">
        <w:rPr>
          <w:rFonts w:cs="Times New Roman"/>
          <w:color w:val="000000" w:themeColor="text1"/>
        </w:rPr>
        <w:t xml:space="preserve"> (</w:t>
      </w:r>
      <w:proofErr w:type="spellStart"/>
      <w:r w:rsidR="00F26D7D" w:rsidRPr="00C53DE8">
        <w:rPr>
          <w:rFonts w:eastAsia="Times New Roman" w:cs="Times New Roman"/>
          <w:color w:val="000000" w:themeColor="text1"/>
          <w:szCs w:val="24"/>
          <w:lang w:val="en-IN" w:eastAsia="en-IN"/>
        </w:rPr>
        <w:t>Türegün</w:t>
      </w:r>
      <w:proofErr w:type="spellEnd"/>
      <w:r w:rsidR="00F26D7D" w:rsidRPr="00C53DE8">
        <w:rPr>
          <w:rFonts w:eastAsia="Times New Roman" w:cs="Times New Roman"/>
          <w:color w:val="000000" w:themeColor="text1"/>
          <w:szCs w:val="24"/>
          <w:lang w:val="en-IN" w:eastAsia="en-IN"/>
        </w:rPr>
        <w:t>, 2022).</w:t>
      </w:r>
    </w:p>
    <w:p w14:paraId="6DFD6E1E" w14:textId="77777777" w:rsidR="00EA01D9" w:rsidRPr="003A6718" w:rsidRDefault="00150FE0">
      <w:pPr>
        <w:pStyle w:val="Heading2"/>
        <w:spacing w:before="240" w:after="80"/>
        <w:rPr>
          <w:rFonts w:ascii="Times New Roman" w:hAnsi="Times New Roman" w:cs="Times New Roman"/>
          <w:color w:val="000000" w:themeColor="text1"/>
        </w:rPr>
      </w:pPr>
      <w:bookmarkStart w:id="10" w:name="_Toc230110123"/>
      <w:r w:rsidRPr="003A6718">
        <w:rPr>
          <w:rFonts w:ascii="Times New Roman" w:hAnsi="Times New Roman" w:cs="Times New Roman"/>
          <w:color w:val="000000" w:themeColor="text1"/>
          <w:sz w:val="28"/>
        </w:rPr>
        <w:t>5.2 Capital Structure Scenario Modeling</w:t>
      </w:r>
      <w:bookmarkEnd w:id="10"/>
    </w:p>
    <w:p w14:paraId="7619D663" w14:textId="37686327" w:rsidR="00115EFC" w:rsidRPr="003A6718" w:rsidRDefault="00115EFC" w:rsidP="00CF3ED4">
      <w:pPr>
        <w:ind w:firstLine="720"/>
        <w:rPr>
          <w:rFonts w:cs="Times New Roman"/>
          <w:color w:val="000000" w:themeColor="text1"/>
        </w:rPr>
      </w:pPr>
      <w:r w:rsidRPr="003A6718">
        <w:rPr>
          <w:rFonts w:cs="Times New Roman"/>
          <w:color w:val="000000" w:themeColor="text1"/>
        </w:rPr>
        <w:t>The second phase of the analysis examines how changes in the firm’s capital structure affect its overall cost of capital, financial risk, and organizational value. The simulation evaluates five leverage scenarios ranging from a completely unlevered structure to highly debt-intensive financing arrangements. The objective is to identify the optimal debt-to-equity ratio that minimizes the Weighted Average Cost of Capital (WACC) while maximizing shareholder value.</w:t>
      </w:r>
    </w:p>
    <w:p w14:paraId="0DBC059D" w14:textId="6F980E45" w:rsidR="00115EFC" w:rsidRPr="003A6718" w:rsidRDefault="00115EFC" w:rsidP="00CF3ED4">
      <w:pPr>
        <w:ind w:firstLine="720"/>
        <w:rPr>
          <w:rFonts w:cs="Times New Roman"/>
          <w:color w:val="000000" w:themeColor="text1"/>
        </w:rPr>
      </w:pPr>
      <w:r w:rsidRPr="003A6718">
        <w:rPr>
          <w:rFonts w:cs="Times New Roman"/>
          <w:color w:val="000000" w:themeColor="text1"/>
        </w:rPr>
        <w:t>At the baseline level of 0% debt and 100% equity financing, the firm operates entirely through shareholder capital. In this situation, the levered beta (βL) is equal to the unlevered beta of 1.100 because no additional financial risk is introduced through borrowing. Using the Capital Asset Pricing Model (CAPM), the cost of equity is calculated at 11.10%, which also becomes the firm’s WACC since no debt financing exists.</w:t>
      </w:r>
    </w:p>
    <w:p w14:paraId="2DDFB39D" w14:textId="15C988F6" w:rsidR="00115EFC" w:rsidRPr="003A6718" w:rsidRDefault="00115EFC" w:rsidP="00CF3ED4">
      <w:pPr>
        <w:ind w:firstLine="720"/>
        <w:rPr>
          <w:rFonts w:cs="Times New Roman"/>
          <w:color w:val="000000" w:themeColor="text1"/>
        </w:rPr>
      </w:pPr>
      <w:r w:rsidRPr="003A6718">
        <w:rPr>
          <w:rFonts w:cs="Times New Roman"/>
          <w:color w:val="000000" w:themeColor="text1"/>
        </w:rPr>
        <w:t>When the company introduces moderate leverage at a 20% debt ratio, the capital structure becomes more efficient. The levered beta rises to 1.306 due to the additional financial risk borne by shareholders. Consequently, the cost of equity increases to 12.34%. However, the firm benefits from relatively low-cost debt financing, with a pre-tax cost of debt of 6.00% and an after-tax cost of 4.50% due to the corporate tax shield. Because debt financing is cheaper than equity, the WACC declines to 10.77%, demonstrating how moderate leverage can reduce financing costs and increase firm value.</w:t>
      </w:r>
    </w:p>
    <w:p w14:paraId="2E7662E5" w14:textId="13BB18B8" w:rsidR="00EA01D9" w:rsidRPr="003A6718" w:rsidRDefault="00115EFC" w:rsidP="00115EFC">
      <w:pPr>
        <w:ind w:firstLine="720"/>
        <w:rPr>
          <w:rFonts w:cs="Times New Roman"/>
          <w:color w:val="000000" w:themeColor="text1"/>
        </w:rPr>
      </w:pPr>
      <w:r w:rsidRPr="003A6718">
        <w:rPr>
          <w:rFonts w:cs="Times New Roman"/>
          <w:color w:val="000000" w:themeColor="text1"/>
        </w:rPr>
        <w:t xml:space="preserve">At a 40% debt ratio, the simulation identifies the optimal capital structure. Here, the WACC falls slightly further to 10.74%, its lowest point across all scenarios. Although the </w:t>
      </w:r>
      <w:r w:rsidRPr="003A6718">
        <w:rPr>
          <w:rFonts w:cs="Times New Roman"/>
          <w:color w:val="000000" w:themeColor="text1"/>
        </w:rPr>
        <w:lastRenderedPageBreak/>
        <w:t>levered beta increases to 1.650 and the cost of equity rises to 14.40%, the benefits of debt financing still outweigh the additional financial risk. The company continues to enjoy tax advantages while maintaining manageable borrowing costs, resulting in the most efficient overall capital mix.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
        <w:gridCol w:w="1288"/>
        <w:gridCol w:w="1288"/>
        <w:gridCol w:w="1288"/>
        <w:gridCol w:w="1288"/>
        <w:gridCol w:w="1289"/>
        <w:gridCol w:w="1289"/>
      </w:tblGrid>
      <w:tr w:rsidR="003A6718" w:rsidRPr="003A6718" w14:paraId="5BD51045" w14:textId="77777777" w:rsidTr="00BD6A01">
        <w:trPr>
          <w:jc w:val="center"/>
        </w:trPr>
        <w:tc>
          <w:tcPr>
            <w:tcW w:w="1290" w:type="dxa"/>
            <w:shd w:val="clear" w:color="auto" w:fill="1A365D"/>
            <w:tcMar>
              <w:top w:w="80" w:type="dxa"/>
              <w:left w:w="80" w:type="dxa"/>
              <w:bottom w:w="80" w:type="dxa"/>
              <w:right w:w="80" w:type="dxa"/>
            </w:tcMar>
          </w:tcPr>
          <w:p w14:paraId="0EBCB78C" w14:textId="77777777" w:rsidR="00EA01D9" w:rsidRPr="003A6718" w:rsidRDefault="00150FE0">
            <w:pPr>
              <w:spacing w:line="276" w:lineRule="auto"/>
              <w:jc w:val="center"/>
              <w:rPr>
                <w:rFonts w:cs="Times New Roman"/>
                <w:color w:val="000000" w:themeColor="text1"/>
              </w:rPr>
            </w:pPr>
            <w:r w:rsidRPr="003A6718">
              <w:rPr>
                <w:rFonts w:cs="Times New Roman"/>
                <w:b/>
                <w:color w:val="000000" w:themeColor="text1"/>
                <w:sz w:val="19"/>
              </w:rPr>
              <w:t>Debt Ratio (D/V)</w:t>
            </w:r>
          </w:p>
        </w:tc>
        <w:tc>
          <w:tcPr>
            <w:tcW w:w="1290" w:type="dxa"/>
            <w:shd w:val="clear" w:color="auto" w:fill="1A365D"/>
            <w:tcMar>
              <w:top w:w="80" w:type="dxa"/>
              <w:left w:w="80" w:type="dxa"/>
              <w:bottom w:w="80" w:type="dxa"/>
              <w:right w:w="80" w:type="dxa"/>
            </w:tcMar>
          </w:tcPr>
          <w:p w14:paraId="78DA2CDB" w14:textId="77777777" w:rsidR="00EA01D9" w:rsidRPr="003A6718" w:rsidRDefault="00150FE0">
            <w:pPr>
              <w:spacing w:line="276" w:lineRule="auto"/>
              <w:jc w:val="center"/>
              <w:rPr>
                <w:rFonts w:cs="Times New Roman"/>
                <w:color w:val="000000" w:themeColor="text1"/>
              </w:rPr>
            </w:pPr>
            <w:r w:rsidRPr="003A6718">
              <w:rPr>
                <w:rFonts w:cs="Times New Roman"/>
                <w:b/>
                <w:color w:val="000000" w:themeColor="text1"/>
                <w:sz w:val="19"/>
              </w:rPr>
              <w:t>Equity Ratio (E/V)</w:t>
            </w:r>
          </w:p>
        </w:tc>
        <w:tc>
          <w:tcPr>
            <w:tcW w:w="1290" w:type="dxa"/>
            <w:shd w:val="clear" w:color="auto" w:fill="1A365D"/>
            <w:tcMar>
              <w:top w:w="80" w:type="dxa"/>
              <w:left w:w="80" w:type="dxa"/>
              <w:bottom w:w="80" w:type="dxa"/>
              <w:right w:w="80" w:type="dxa"/>
            </w:tcMar>
          </w:tcPr>
          <w:p w14:paraId="64F7B3D5" w14:textId="77777777" w:rsidR="00EA01D9" w:rsidRPr="003A6718" w:rsidRDefault="00150FE0">
            <w:pPr>
              <w:spacing w:line="276" w:lineRule="auto"/>
              <w:jc w:val="center"/>
              <w:rPr>
                <w:rFonts w:cs="Times New Roman"/>
                <w:color w:val="000000" w:themeColor="text1"/>
              </w:rPr>
            </w:pPr>
            <w:r w:rsidRPr="003A6718">
              <w:rPr>
                <w:rFonts w:cs="Times New Roman"/>
                <w:b/>
                <w:color w:val="000000" w:themeColor="text1"/>
                <w:sz w:val="19"/>
              </w:rPr>
              <w:t>Levered Beta (βL)</w:t>
            </w:r>
          </w:p>
        </w:tc>
        <w:tc>
          <w:tcPr>
            <w:tcW w:w="1290" w:type="dxa"/>
            <w:shd w:val="clear" w:color="auto" w:fill="1A365D"/>
            <w:tcMar>
              <w:top w:w="80" w:type="dxa"/>
              <w:left w:w="80" w:type="dxa"/>
              <w:bottom w:w="80" w:type="dxa"/>
              <w:right w:w="80" w:type="dxa"/>
            </w:tcMar>
          </w:tcPr>
          <w:p w14:paraId="0DBAF056" w14:textId="77777777" w:rsidR="00EA01D9" w:rsidRPr="003A6718" w:rsidRDefault="00150FE0">
            <w:pPr>
              <w:spacing w:line="276" w:lineRule="auto"/>
              <w:jc w:val="center"/>
              <w:rPr>
                <w:rFonts w:cs="Times New Roman"/>
                <w:color w:val="000000" w:themeColor="text1"/>
              </w:rPr>
            </w:pPr>
            <w:r w:rsidRPr="003A6718">
              <w:rPr>
                <w:rFonts w:cs="Times New Roman"/>
                <w:b/>
                <w:color w:val="000000" w:themeColor="text1"/>
                <w:sz w:val="19"/>
              </w:rPr>
              <w:t>Cost of Equity (</w:t>
            </w:r>
            <w:proofErr w:type="spellStart"/>
            <w:r w:rsidRPr="003A6718">
              <w:rPr>
                <w:rFonts w:cs="Times New Roman"/>
                <w:b/>
                <w:color w:val="000000" w:themeColor="text1"/>
                <w:sz w:val="19"/>
              </w:rPr>
              <w:t>Ke</w:t>
            </w:r>
            <w:proofErr w:type="spellEnd"/>
            <w:r w:rsidRPr="003A6718">
              <w:rPr>
                <w:rFonts w:cs="Times New Roman"/>
                <w:b/>
                <w:color w:val="000000" w:themeColor="text1"/>
                <w:sz w:val="19"/>
              </w:rPr>
              <w:t>)</w:t>
            </w:r>
          </w:p>
        </w:tc>
        <w:tc>
          <w:tcPr>
            <w:tcW w:w="1290" w:type="dxa"/>
            <w:shd w:val="clear" w:color="auto" w:fill="1A365D"/>
            <w:tcMar>
              <w:top w:w="80" w:type="dxa"/>
              <w:left w:w="80" w:type="dxa"/>
              <w:bottom w:w="80" w:type="dxa"/>
              <w:right w:w="80" w:type="dxa"/>
            </w:tcMar>
          </w:tcPr>
          <w:p w14:paraId="57A2D3AE" w14:textId="77777777" w:rsidR="00EA01D9" w:rsidRPr="003A6718" w:rsidRDefault="00150FE0">
            <w:pPr>
              <w:spacing w:line="276" w:lineRule="auto"/>
              <w:jc w:val="center"/>
              <w:rPr>
                <w:rFonts w:cs="Times New Roman"/>
                <w:color w:val="000000" w:themeColor="text1"/>
              </w:rPr>
            </w:pPr>
            <w:r w:rsidRPr="003A6718">
              <w:rPr>
                <w:rFonts w:cs="Times New Roman"/>
                <w:b/>
                <w:color w:val="000000" w:themeColor="text1"/>
                <w:sz w:val="19"/>
              </w:rPr>
              <w:t>Pre-Tax Cost (</w:t>
            </w:r>
            <w:proofErr w:type="spellStart"/>
            <w:r w:rsidRPr="003A6718">
              <w:rPr>
                <w:rFonts w:cs="Times New Roman"/>
                <w:b/>
                <w:color w:val="000000" w:themeColor="text1"/>
                <w:sz w:val="19"/>
              </w:rPr>
              <w:t>Kd</w:t>
            </w:r>
            <w:proofErr w:type="spellEnd"/>
            <w:r w:rsidRPr="003A6718">
              <w:rPr>
                <w:rFonts w:cs="Times New Roman"/>
                <w:b/>
                <w:color w:val="000000" w:themeColor="text1"/>
                <w:sz w:val="19"/>
              </w:rPr>
              <w:t>)</w:t>
            </w:r>
          </w:p>
        </w:tc>
        <w:tc>
          <w:tcPr>
            <w:tcW w:w="1290" w:type="dxa"/>
            <w:shd w:val="clear" w:color="auto" w:fill="1A365D"/>
            <w:tcMar>
              <w:top w:w="80" w:type="dxa"/>
              <w:left w:w="80" w:type="dxa"/>
              <w:bottom w:w="80" w:type="dxa"/>
              <w:right w:w="80" w:type="dxa"/>
            </w:tcMar>
          </w:tcPr>
          <w:p w14:paraId="1C9F9C25" w14:textId="77777777" w:rsidR="00EA01D9" w:rsidRPr="003A6718" w:rsidRDefault="00150FE0">
            <w:pPr>
              <w:spacing w:line="276" w:lineRule="auto"/>
              <w:jc w:val="center"/>
              <w:rPr>
                <w:rFonts w:cs="Times New Roman"/>
                <w:color w:val="000000" w:themeColor="text1"/>
              </w:rPr>
            </w:pPr>
            <w:r w:rsidRPr="003A6718">
              <w:rPr>
                <w:rFonts w:cs="Times New Roman"/>
                <w:b/>
                <w:color w:val="000000" w:themeColor="text1"/>
                <w:sz w:val="19"/>
              </w:rPr>
              <w:t>After-Tax Cost (</w:t>
            </w:r>
            <w:proofErr w:type="spellStart"/>
            <w:r w:rsidRPr="003A6718">
              <w:rPr>
                <w:rFonts w:cs="Times New Roman"/>
                <w:b/>
                <w:color w:val="000000" w:themeColor="text1"/>
                <w:sz w:val="19"/>
              </w:rPr>
              <w:t>Kd</w:t>
            </w:r>
            <w:proofErr w:type="spellEnd"/>
            <w:r w:rsidRPr="003A6718">
              <w:rPr>
                <w:rFonts w:cs="Times New Roman"/>
                <w:b/>
                <w:color w:val="000000" w:themeColor="text1"/>
                <w:sz w:val="19"/>
              </w:rPr>
              <w:t>*0.75)</w:t>
            </w:r>
          </w:p>
        </w:tc>
        <w:tc>
          <w:tcPr>
            <w:tcW w:w="1290" w:type="dxa"/>
            <w:shd w:val="clear" w:color="auto" w:fill="1A365D"/>
            <w:tcMar>
              <w:top w:w="80" w:type="dxa"/>
              <w:left w:w="80" w:type="dxa"/>
              <w:bottom w:w="80" w:type="dxa"/>
              <w:right w:w="80" w:type="dxa"/>
            </w:tcMar>
          </w:tcPr>
          <w:p w14:paraId="3235FA6E" w14:textId="77777777" w:rsidR="00EA01D9" w:rsidRPr="003A6718" w:rsidRDefault="00150FE0">
            <w:pPr>
              <w:spacing w:line="276" w:lineRule="auto"/>
              <w:jc w:val="center"/>
              <w:rPr>
                <w:rFonts w:cs="Times New Roman"/>
                <w:color w:val="000000" w:themeColor="text1"/>
              </w:rPr>
            </w:pPr>
            <w:r w:rsidRPr="003A6718">
              <w:rPr>
                <w:rFonts w:cs="Times New Roman"/>
                <w:b/>
                <w:color w:val="000000" w:themeColor="text1"/>
                <w:sz w:val="19"/>
              </w:rPr>
              <w:t>Combined WACC</w:t>
            </w:r>
          </w:p>
        </w:tc>
      </w:tr>
      <w:tr w:rsidR="003A6718" w:rsidRPr="003A6718" w14:paraId="5000E7D5" w14:textId="77777777" w:rsidTr="00BD6A01">
        <w:trPr>
          <w:jc w:val="center"/>
        </w:trPr>
        <w:tc>
          <w:tcPr>
            <w:tcW w:w="1290" w:type="dxa"/>
            <w:tcMar>
              <w:top w:w="80" w:type="dxa"/>
              <w:left w:w="80" w:type="dxa"/>
              <w:bottom w:w="80" w:type="dxa"/>
              <w:right w:w="80" w:type="dxa"/>
            </w:tcMar>
          </w:tcPr>
          <w:p w14:paraId="17DE1DC1"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0%</w:t>
            </w:r>
          </w:p>
        </w:tc>
        <w:tc>
          <w:tcPr>
            <w:tcW w:w="1290" w:type="dxa"/>
            <w:tcMar>
              <w:top w:w="80" w:type="dxa"/>
              <w:left w:w="80" w:type="dxa"/>
              <w:bottom w:w="80" w:type="dxa"/>
              <w:right w:w="80" w:type="dxa"/>
            </w:tcMar>
          </w:tcPr>
          <w:p w14:paraId="3F28442A"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100%</w:t>
            </w:r>
          </w:p>
        </w:tc>
        <w:tc>
          <w:tcPr>
            <w:tcW w:w="1290" w:type="dxa"/>
            <w:tcMar>
              <w:top w:w="80" w:type="dxa"/>
              <w:left w:w="80" w:type="dxa"/>
              <w:bottom w:w="80" w:type="dxa"/>
              <w:right w:w="80" w:type="dxa"/>
            </w:tcMar>
          </w:tcPr>
          <w:p w14:paraId="06CBCAF0"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1.100</w:t>
            </w:r>
          </w:p>
        </w:tc>
        <w:tc>
          <w:tcPr>
            <w:tcW w:w="1290" w:type="dxa"/>
            <w:tcMar>
              <w:top w:w="80" w:type="dxa"/>
              <w:left w:w="80" w:type="dxa"/>
              <w:bottom w:w="80" w:type="dxa"/>
              <w:right w:w="80" w:type="dxa"/>
            </w:tcMar>
          </w:tcPr>
          <w:p w14:paraId="53351E32"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11.10%</w:t>
            </w:r>
          </w:p>
        </w:tc>
        <w:tc>
          <w:tcPr>
            <w:tcW w:w="1290" w:type="dxa"/>
            <w:tcMar>
              <w:top w:w="80" w:type="dxa"/>
              <w:left w:w="80" w:type="dxa"/>
              <w:bottom w:w="80" w:type="dxa"/>
              <w:right w:w="80" w:type="dxa"/>
            </w:tcMar>
          </w:tcPr>
          <w:p w14:paraId="37D4492B"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w:t>
            </w:r>
          </w:p>
        </w:tc>
        <w:tc>
          <w:tcPr>
            <w:tcW w:w="1290" w:type="dxa"/>
            <w:tcMar>
              <w:top w:w="80" w:type="dxa"/>
              <w:left w:w="80" w:type="dxa"/>
              <w:bottom w:w="80" w:type="dxa"/>
              <w:right w:w="80" w:type="dxa"/>
            </w:tcMar>
          </w:tcPr>
          <w:p w14:paraId="6607CAC3"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w:t>
            </w:r>
          </w:p>
        </w:tc>
        <w:tc>
          <w:tcPr>
            <w:tcW w:w="1290" w:type="dxa"/>
            <w:tcMar>
              <w:top w:w="80" w:type="dxa"/>
              <w:left w:w="80" w:type="dxa"/>
              <w:bottom w:w="80" w:type="dxa"/>
              <w:right w:w="80" w:type="dxa"/>
            </w:tcMar>
          </w:tcPr>
          <w:p w14:paraId="53FA9A5E"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11.10%</w:t>
            </w:r>
          </w:p>
        </w:tc>
      </w:tr>
      <w:tr w:rsidR="003A6718" w:rsidRPr="003A6718" w14:paraId="2ACDEF61" w14:textId="77777777" w:rsidTr="00BD6A01">
        <w:trPr>
          <w:jc w:val="center"/>
        </w:trPr>
        <w:tc>
          <w:tcPr>
            <w:tcW w:w="1290" w:type="dxa"/>
            <w:shd w:val="clear" w:color="auto" w:fill="F7FAFC"/>
            <w:tcMar>
              <w:top w:w="80" w:type="dxa"/>
              <w:left w:w="80" w:type="dxa"/>
              <w:bottom w:w="80" w:type="dxa"/>
              <w:right w:w="80" w:type="dxa"/>
            </w:tcMar>
          </w:tcPr>
          <w:p w14:paraId="4DCAAE7E"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20%</w:t>
            </w:r>
          </w:p>
        </w:tc>
        <w:tc>
          <w:tcPr>
            <w:tcW w:w="1290" w:type="dxa"/>
            <w:shd w:val="clear" w:color="auto" w:fill="F7FAFC"/>
            <w:tcMar>
              <w:top w:w="80" w:type="dxa"/>
              <w:left w:w="80" w:type="dxa"/>
              <w:bottom w:w="80" w:type="dxa"/>
              <w:right w:w="80" w:type="dxa"/>
            </w:tcMar>
          </w:tcPr>
          <w:p w14:paraId="739508FD"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80%</w:t>
            </w:r>
          </w:p>
        </w:tc>
        <w:tc>
          <w:tcPr>
            <w:tcW w:w="1290" w:type="dxa"/>
            <w:shd w:val="clear" w:color="auto" w:fill="F7FAFC"/>
            <w:tcMar>
              <w:top w:w="80" w:type="dxa"/>
              <w:left w:w="80" w:type="dxa"/>
              <w:bottom w:w="80" w:type="dxa"/>
              <w:right w:w="80" w:type="dxa"/>
            </w:tcMar>
          </w:tcPr>
          <w:p w14:paraId="3786BD5C"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1.306</w:t>
            </w:r>
          </w:p>
        </w:tc>
        <w:tc>
          <w:tcPr>
            <w:tcW w:w="1290" w:type="dxa"/>
            <w:shd w:val="clear" w:color="auto" w:fill="F7FAFC"/>
            <w:tcMar>
              <w:top w:w="80" w:type="dxa"/>
              <w:left w:w="80" w:type="dxa"/>
              <w:bottom w:w="80" w:type="dxa"/>
              <w:right w:w="80" w:type="dxa"/>
            </w:tcMar>
          </w:tcPr>
          <w:p w14:paraId="471B382E"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12.34%</w:t>
            </w:r>
          </w:p>
        </w:tc>
        <w:tc>
          <w:tcPr>
            <w:tcW w:w="1290" w:type="dxa"/>
            <w:shd w:val="clear" w:color="auto" w:fill="F7FAFC"/>
            <w:tcMar>
              <w:top w:w="80" w:type="dxa"/>
              <w:left w:w="80" w:type="dxa"/>
              <w:bottom w:w="80" w:type="dxa"/>
              <w:right w:w="80" w:type="dxa"/>
            </w:tcMar>
          </w:tcPr>
          <w:p w14:paraId="7A471AAB"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6.00%</w:t>
            </w:r>
          </w:p>
        </w:tc>
        <w:tc>
          <w:tcPr>
            <w:tcW w:w="1290" w:type="dxa"/>
            <w:shd w:val="clear" w:color="auto" w:fill="F7FAFC"/>
            <w:tcMar>
              <w:top w:w="80" w:type="dxa"/>
              <w:left w:w="80" w:type="dxa"/>
              <w:bottom w:w="80" w:type="dxa"/>
              <w:right w:w="80" w:type="dxa"/>
            </w:tcMar>
          </w:tcPr>
          <w:p w14:paraId="14D709C9"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4.50%</w:t>
            </w:r>
          </w:p>
        </w:tc>
        <w:tc>
          <w:tcPr>
            <w:tcW w:w="1290" w:type="dxa"/>
            <w:shd w:val="clear" w:color="auto" w:fill="F7FAFC"/>
            <w:tcMar>
              <w:top w:w="80" w:type="dxa"/>
              <w:left w:w="80" w:type="dxa"/>
              <w:bottom w:w="80" w:type="dxa"/>
              <w:right w:w="80" w:type="dxa"/>
            </w:tcMar>
          </w:tcPr>
          <w:p w14:paraId="189F1AA5"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10.77%</w:t>
            </w:r>
          </w:p>
        </w:tc>
      </w:tr>
      <w:tr w:rsidR="003A6718" w:rsidRPr="003A6718" w14:paraId="7B2878E4" w14:textId="77777777" w:rsidTr="00BD6A01">
        <w:trPr>
          <w:jc w:val="center"/>
        </w:trPr>
        <w:tc>
          <w:tcPr>
            <w:tcW w:w="1290" w:type="dxa"/>
            <w:shd w:val="clear" w:color="auto" w:fill="EBF8FF"/>
            <w:tcMar>
              <w:top w:w="80" w:type="dxa"/>
              <w:left w:w="80" w:type="dxa"/>
              <w:bottom w:w="80" w:type="dxa"/>
              <w:right w:w="80" w:type="dxa"/>
            </w:tcMar>
          </w:tcPr>
          <w:p w14:paraId="396521FF" w14:textId="77777777" w:rsidR="00EA01D9" w:rsidRPr="003A6718" w:rsidRDefault="00150FE0">
            <w:pPr>
              <w:spacing w:line="276" w:lineRule="auto"/>
              <w:rPr>
                <w:rFonts w:cs="Times New Roman"/>
                <w:color w:val="000000" w:themeColor="text1"/>
              </w:rPr>
            </w:pPr>
            <w:r w:rsidRPr="003A6718">
              <w:rPr>
                <w:rFonts w:cs="Times New Roman"/>
                <w:b/>
                <w:color w:val="000000" w:themeColor="text1"/>
                <w:sz w:val="19"/>
              </w:rPr>
              <w:t>40%</w:t>
            </w:r>
          </w:p>
        </w:tc>
        <w:tc>
          <w:tcPr>
            <w:tcW w:w="1290" w:type="dxa"/>
            <w:shd w:val="clear" w:color="auto" w:fill="EBF8FF"/>
            <w:tcMar>
              <w:top w:w="80" w:type="dxa"/>
              <w:left w:w="80" w:type="dxa"/>
              <w:bottom w:w="80" w:type="dxa"/>
              <w:right w:w="80" w:type="dxa"/>
            </w:tcMar>
          </w:tcPr>
          <w:p w14:paraId="77D61198" w14:textId="77777777" w:rsidR="00EA01D9" w:rsidRPr="003A6718" w:rsidRDefault="00150FE0">
            <w:pPr>
              <w:spacing w:line="276" w:lineRule="auto"/>
              <w:rPr>
                <w:rFonts w:cs="Times New Roman"/>
                <w:color w:val="000000" w:themeColor="text1"/>
              </w:rPr>
            </w:pPr>
            <w:r w:rsidRPr="003A6718">
              <w:rPr>
                <w:rFonts w:cs="Times New Roman"/>
                <w:b/>
                <w:color w:val="000000" w:themeColor="text1"/>
                <w:sz w:val="19"/>
              </w:rPr>
              <w:t>60%</w:t>
            </w:r>
          </w:p>
        </w:tc>
        <w:tc>
          <w:tcPr>
            <w:tcW w:w="1290" w:type="dxa"/>
            <w:shd w:val="clear" w:color="auto" w:fill="EBF8FF"/>
            <w:tcMar>
              <w:top w:w="80" w:type="dxa"/>
              <w:left w:w="80" w:type="dxa"/>
              <w:bottom w:w="80" w:type="dxa"/>
              <w:right w:w="80" w:type="dxa"/>
            </w:tcMar>
          </w:tcPr>
          <w:p w14:paraId="6A6DEBE1" w14:textId="77777777" w:rsidR="00EA01D9" w:rsidRPr="003A6718" w:rsidRDefault="00150FE0">
            <w:pPr>
              <w:spacing w:line="276" w:lineRule="auto"/>
              <w:rPr>
                <w:rFonts w:cs="Times New Roman"/>
                <w:color w:val="000000" w:themeColor="text1"/>
              </w:rPr>
            </w:pPr>
            <w:r w:rsidRPr="003A6718">
              <w:rPr>
                <w:rFonts w:cs="Times New Roman"/>
                <w:b/>
                <w:color w:val="000000" w:themeColor="text1"/>
                <w:sz w:val="19"/>
              </w:rPr>
              <w:t>1.650</w:t>
            </w:r>
          </w:p>
        </w:tc>
        <w:tc>
          <w:tcPr>
            <w:tcW w:w="1290" w:type="dxa"/>
            <w:shd w:val="clear" w:color="auto" w:fill="EBF8FF"/>
            <w:tcMar>
              <w:top w:w="80" w:type="dxa"/>
              <w:left w:w="80" w:type="dxa"/>
              <w:bottom w:w="80" w:type="dxa"/>
              <w:right w:w="80" w:type="dxa"/>
            </w:tcMar>
          </w:tcPr>
          <w:p w14:paraId="15FEF3BA" w14:textId="77777777" w:rsidR="00EA01D9" w:rsidRPr="003A6718" w:rsidRDefault="00150FE0">
            <w:pPr>
              <w:spacing w:line="276" w:lineRule="auto"/>
              <w:rPr>
                <w:rFonts w:cs="Times New Roman"/>
                <w:color w:val="000000" w:themeColor="text1"/>
              </w:rPr>
            </w:pPr>
            <w:r w:rsidRPr="003A6718">
              <w:rPr>
                <w:rFonts w:cs="Times New Roman"/>
                <w:b/>
                <w:color w:val="000000" w:themeColor="text1"/>
                <w:sz w:val="19"/>
              </w:rPr>
              <w:t>14.40%</w:t>
            </w:r>
          </w:p>
        </w:tc>
        <w:tc>
          <w:tcPr>
            <w:tcW w:w="1290" w:type="dxa"/>
            <w:shd w:val="clear" w:color="auto" w:fill="EBF8FF"/>
            <w:tcMar>
              <w:top w:w="80" w:type="dxa"/>
              <w:left w:w="80" w:type="dxa"/>
              <w:bottom w:w="80" w:type="dxa"/>
              <w:right w:w="80" w:type="dxa"/>
            </w:tcMar>
          </w:tcPr>
          <w:p w14:paraId="70D8EA01" w14:textId="77777777" w:rsidR="00EA01D9" w:rsidRPr="003A6718" w:rsidRDefault="00150FE0">
            <w:pPr>
              <w:spacing w:line="276" w:lineRule="auto"/>
              <w:rPr>
                <w:rFonts w:cs="Times New Roman"/>
                <w:color w:val="000000" w:themeColor="text1"/>
              </w:rPr>
            </w:pPr>
            <w:r w:rsidRPr="003A6718">
              <w:rPr>
                <w:rFonts w:cs="Times New Roman"/>
                <w:b/>
                <w:color w:val="000000" w:themeColor="text1"/>
                <w:sz w:val="19"/>
              </w:rPr>
              <w:t>7.00%</w:t>
            </w:r>
          </w:p>
        </w:tc>
        <w:tc>
          <w:tcPr>
            <w:tcW w:w="1290" w:type="dxa"/>
            <w:shd w:val="clear" w:color="auto" w:fill="EBF8FF"/>
            <w:tcMar>
              <w:top w:w="80" w:type="dxa"/>
              <w:left w:w="80" w:type="dxa"/>
              <w:bottom w:w="80" w:type="dxa"/>
              <w:right w:w="80" w:type="dxa"/>
            </w:tcMar>
          </w:tcPr>
          <w:p w14:paraId="4C96147C" w14:textId="77777777" w:rsidR="00EA01D9" w:rsidRPr="003A6718" w:rsidRDefault="00150FE0">
            <w:pPr>
              <w:spacing w:line="276" w:lineRule="auto"/>
              <w:rPr>
                <w:rFonts w:cs="Times New Roman"/>
                <w:color w:val="000000" w:themeColor="text1"/>
              </w:rPr>
            </w:pPr>
            <w:r w:rsidRPr="003A6718">
              <w:rPr>
                <w:rFonts w:cs="Times New Roman"/>
                <w:b/>
                <w:color w:val="000000" w:themeColor="text1"/>
                <w:sz w:val="19"/>
              </w:rPr>
              <w:t>5.25%</w:t>
            </w:r>
          </w:p>
        </w:tc>
        <w:tc>
          <w:tcPr>
            <w:tcW w:w="1290" w:type="dxa"/>
            <w:shd w:val="clear" w:color="auto" w:fill="EBF8FF"/>
            <w:tcMar>
              <w:top w:w="80" w:type="dxa"/>
              <w:left w:w="80" w:type="dxa"/>
              <w:bottom w:w="80" w:type="dxa"/>
              <w:right w:w="80" w:type="dxa"/>
            </w:tcMar>
          </w:tcPr>
          <w:p w14:paraId="349CB715" w14:textId="77777777" w:rsidR="00EA01D9" w:rsidRPr="003A6718" w:rsidRDefault="00150FE0">
            <w:pPr>
              <w:spacing w:line="276" w:lineRule="auto"/>
              <w:rPr>
                <w:rFonts w:cs="Times New Roman"/>
                <w:color w:val="000000" w:themeColor="text1"/>
              </w:rPr>
            </w:pPr>
            <w:r w:rsidRPr="003A6718">
              <w:rPr>
                <w:rFonts w:cs="Times New Roman"/>
                <w:b/>
                <w:color w:val="000000" w:themeColor="text1"/>
                <w:sz w:val="19"/>
              </w:rPr>
              <w:t>10.74%</w:t>
            </w:r>
          </w:p>
        </w:tc>
      </w:tr>
      <w:tr w:rsidR="003A6718" w:rsidRPr="003A6718" w14:paraId="2102F04C" w14:textId="77777777" w:rsidTr="00BD6A01">
        <w:trPr>
          <w:jc w:val="center"/>
        </w:trPr>
        <w:tc>
          <w:tcPr>
            <w:tcW w:w="1290" w:type="dxa"/>
            <w:shd w:val="clear" w:color="auto" w:fill="F7FAFC"/>
            <w:tcMar>
              <w:top w:w="80" w:type="dxa"/>
              <w:left w:w="80" w:type="dxa"/>
              <w:bottom w:w="80" w:type="dxa"/>
              <w:right w:w="80" w:type="dxa"/>
            </w:tcMar>
          </w:tcPr>
          <w:p w14:paraId="5AB2C1FB"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60%</w:t>
            </w:r>
          </w:p>
        </w:tc>
        <w:tc>
          <w:tcPr>
            <w:tcW w:w="1290" w:type="dxa"/>
            <w:shd w:val="clear" w:color="auto" w:fill="F7FAFC"/>
            <w:tcMar>
              <w:top w:w="80" w:type="dxa"/>
              <w:left w:w="80" w:type="dxa"/>
              <w:bottom w:w="80" w:type="dxa"/>
              <w:right w:w="80" w:type="dxa"/>
            </w:tcMar>
          </w:tcPr>
          <w:p w14:paraId="16C89D77"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40%</w:t>
            </w:r>
          </w:p>
        </w:tc>
        <w:tc>
          <w:tcPr>
            <w:tcW w:w="1290" w:type="dxa"/>
            <w:shd w:val="clear" w:color="auto" w:fill="F7FAFC"/>
            <w:tcMar>
              <w:top w:w="80" w:type="dxa"/>
              <w:left w:w="80" w:type="dxa"/>
              <w:bottom w:w="80" w:type="dxa"/>
              <w:right w:w="80" w:type="dxa"/>
            </w:tcMar>
          </w:tcPr>
          <w:p w14:paraId="294DAB8F"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2.338</w:t>
            </w:r>
          </w:p>
        </w:tc>
        <w:tc>
          <w:tcPr>
            <w:tcW w:w="1290" w:type="dxa"/>
            <w:shd w:val="clear" w:color="auto" w:fill="F7FAFC"/>
            <w:tcMar>
              <w:top w:w="80" w:type="dxa"/>
              <w:left w:w="80" w:type="dxa"/>
              <w:bottom w:w="80" w:type="dxa"/>
              <w:right w:w="80" w:type="dxa"/>
            </w:tcMar>
          </w:tcPr>
          <w:p w14:paraId="23BB51CF"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18.53%</w:t>
            </w:r>
          </w:p>
        </w:tc>
        <w:tc>
          <w:tcPr>
            <w:tcW w:w="1290" w:type="dxa"/>
            <w:shd w:val="clear" w:color="auto" w:fill="F7FAFC"/>
            <w:tcMar>
              <w:top w:w="80" w:type="dxa"/>
              <w:left w:w="80" w:type="dxa"/>
              <w:bottom w:w="80" w:type="dxa"/>
              <w:right w:w="80" w:type="dxa"/>
            </w:tcMar>
          </w:tcPr>
          <w:p w14:paraId="643E4944"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9.50%</w:t>
            </w:r>
          </w:p>
        </w:tc>
        <w:tc>
          <w:tcPr>
            <w:tcW w:w="1290" w:type="dxa"/>
            <w:shd w:val="clear" w:color="auto" w:fill="F7FAFC"/>
            <w:tcMar>
              <w:top w:w="80" w:type="dxa"/>
              <w:left w:w="80" w:type="dxa"/>
              <w:bottom w:w="80" w:type="dxa"/>
              <w:right w:w="80" w:type="dxa"/>
            </w:tcMar>
          </w:tcPr>
          <w:p w14:paraId="448D9217"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7.13%</w:t>
            </w:r>
          </w:p>
        </w:tc>
        <w:tc>
          <w:tcPr>
            <w:tcW w:w="1290" w:type="dxa"/>
            <w:shd w:val="clear" w:color="auto" w:fill="F7FAFC"/>
            <w:tcMar>
              <w:top w:w="80" w:type="dxa"/>
              <w:left w:w="80" w:type="dxa"/>
              <w:bottom w:w="80" w:type="dxa"/>
              <w:right w:w="80" w:type="dxa"/>
            </w:tcMar>
          </w:tcPr>
          <w:p w14:paraId="062A54C6"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11.69%</w:t>
            </w:r>
          </w:p>
        </w:tc>
      </w:tr>
      <w:tr w:rsidR="003A6718" w:rsidRPr="003A6718" w14:paraId="264DEE0F" w14:textId="77777777" w:rsidTr="00BD6A01">
        <w:trPr>
          <w:jc w:val="center"/>
        </w:trPr>
        <w:tc>
          <w:tcPr>
            <w:tcW w:w="1290" w:type="dxa"/>
            <w:tcMar>
              <w:top w:w="80" w:type="dxa"/>
              <w:left w:w="80" w:type="dxa"/>
              <w:bottom w:w="80" w:type="dxa"/>
              <w:right w:w="80" w:type="dxa"/>
            </w:tcMar>
          </w:tcPr>
          <w:p w14:paraId="08C94836"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80%</w:t>
            </w:r>
          </w:p>
        </w:tc>
        <w:tc>
          <w:tcPr>
            <w:tcW w:w="1290" w:type="dxa"/>
            <w:tcMar>
              <w:top w:w="80" w:type="dxa"/>
              <w:left w:w="80" w:type="dxa"/>
              <w:bottom w:w="80" w:type="dxa"/>
              <w:right w:w="80" w:type="dxa"/>
            </w:tcMar>
          </w:tcPr>
          <w:p w14:paraId="2CE406BA"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20%</w:t>
            </w:r>
          </w:p>
        </w:tc>
        <w:tc>
          <w:tcPr>
            <w:tcW w:w="1290" w:type="dxa"/>
            <w:tcMar>
              <w:top w:w="80" w:type="dxa"/>
              <w:left w:w="80" w:type="dxa"/>
              <w:bottom w:w="80" w:type="dxa"/>
              <w:right w:w="80" w:type="dxa"/>
            </w:tcMar>
          </w:tcPr>
          <w:p w14:paraId="42E2CF82"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4.400</w:t>
            </w:r>
          </w:p>
        </w:tc>
        <w:tc>
          <w:tcPr>
            <w:tcW w:w="1290" w:type="dxa"/>
            <w:tcMar>
              <w:top w:w="80" w:type="dxa"/>
              <w:left w:w="80" w:type="dxa"/>
              <w:bottom w:w="80" w:type="dxa"/>
              <w:right w:w="80" w:type="dxa"/>
            </w:tcMar>
          </w:tcPr>
          <w:p w14:paraId="123F8213"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30.90%</w:t>
            </w:r>
          </w:p>
        </w:tc>
        <w:tc>
          <w:tcPr>
            <w:tcW w:w="1290" w:type="dxa"/>
            <w:tcMar>
              <w:top w:w="80" w:type="dxa"/>
              <w:left w:w="80" w:type="dxa"/>
              <w:bottom w:w="80" w:type="dxa"/>
              <w:right w:w="80" w:type="dxa"/>
            </w:tcMar>
          </w:tcPr>
          <w:p w14:paraId="296DD032"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14.00%</w:t>
            </w:r>
          </w:p>
        </w:tc>
        <w:tc>
          <w:tcPr>
            <w:tcW w:w="1290" w:type="dxa"/>
            <w:tcMar>
              <w:top w:w="80" w:type="dxa"/>
              <w:left w:w="80" w:type="dxa"/>
              <w:bottom w:w="80" w:type="dxa"/>
              <w:right w:w="80" w:type="dxa"/>
            </w:tcMar>
          </w:tcPr>
          <w:p w14:paraId="74D8D7F7"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10.50%</w:t>
            </w:r>
          </w:p>
        </w:tc>
        <w:tc>
          <w:tcPr>
            <w:tcW w:w="1290" w:type="dxa"/>
            <w:tcMar>
              <w:top w:w="80" w:type="dxa"/>
              <w:left w:w="80" w:type="dxa"/>
              <w:bottom w:w="80" w:type="dxa"/>
              <w:right w:w="80" w:type="dxa"/>
            </w:tcMar>
          </w:tcPr>
          <w:p w14:paraId="3DE21BB6" w14:textId="77777777" w:rsidR="00EA01D9" w:rsidRPr="003A6718" w:rsidRDefault="00150FE0">
            <w:pPr>
              <w:spacing w:line="276" w:lineRule="auto"/>
              <w:rPr>
                <w:rFonts w:cs="Times New Roman"/>
                <w:color w:val="000000" w:themeColor="text1"/>
              </w:rPr>
            </w:pPr>
            <w:r w:rsidRPr="003A6718">
              <w:rPr>
                <w:rFonts w:cs="Times New Roman"/>
                <w:color w:val="000000" w:themeColor="text1"/>
                <w:sz w:val="19"/>
              </w:rPr>
              <w:t>14.58%</w:t>
            </w:r>
          </w:p>
        </w:tc>
      </w:tr>
    </w:tbl>
    <w:p w14:paraId="36000B3F" w14:textId="309B70F6" w:rsidR="003524DA" w:rsidRPr="003A6718" w:rsidRDefault="003524DA" w:rsidP="003524DA">
      <w:pPr>
        <w:ind w:firstLine="720"/>
        <w:rPr>
          <w:rFonts w:cs="Times New Roman"/>
          <w:color w:val="000000" w:themeColor="text1"/>
        </w:rPr>
      </w:pPr>
      <w:r w:rsidRPr="003A6718">
        <w:rPr>
          <w:rFonts w:cs="Times New Roman"/>
          <w:color w:val="000000" w:themeColor="text1"/>
        </w:rPr>
        <w:t>However, beyond the 40% leverage threshold, the firm begins to experience the negative effects of excessive debt financing. At 60% debt, the levered beta increases sharply to 2.338, indicating significantly higher equity risk. Investors demand a much higher return, causing the cost of equity to rise to 18.53%. Simultaneously, lenders perceive greater default risk and increase the pre-tax cost of debt to 9.50%. These combined pressures cause the WACC to rise to 11.69%, reducing the firm’s overall value.</w:t>
      </w:r>
    </w:p>
    <w:p w14:paraId="65062EFF" w14:textId="4D257236" w:rsidR="003524DA" w:rsidRPr="003A6718" w:rsidRDefault="003524DA" w:rsidP="003524DA">
      <w:pPr>
        <w:ind w:firstLine="720"/>
        <w:rPr>
          <w:rFonts w:cs="Times New Roman"/>
          <w:color w:val="000000" w:themeColor="text1"/>
        </w:rPr>
      </w:pPr>
      <w:r w:rsidRPr="003A6718">
        <w:rPr>
          <w:rFonts w:cs="Times New Roman"/>
          <w:color w:val="000000" w:themeColor="text1"/>
        </w:rPr>
        <w:t>The most extreme scenario occurs at 80% debt financing. In this highly leveraged structure, the firm becomes financially unstable. The levered beta escalates dramatically to 4.400, and the cost of equity surges to 30.90% as shareholders require substantial compensation for bearing elevated financial risk. The pre-tax cost of debt also increases significantly to 14.00%, while the after-tax cost reaches 10.50%. As a result, the WACC rises sharply to 14.58%, demonstrating that excessive leverage destroys organizational value by increasing both borrowing costs and investor risk premiums.</w:t>
      </w:r>
    </w:p>
    <w:p w14:paraId="16B2803B" w14:textId="21A60B9F" w:rsidR="00EA01D9" w:rsidRPr="003A6718" w:rsidRDefault="003524DA" w:rsidP="003524DA">
      <w:pPr>
        <w:ind w:firstLine="720"/>
        <w:rPr>
          <w:rFonts w:cs="Times New Roman"/>
          <w:color w:val="000000" w:themeColor="text1"/>
        </w:rPr>
      </w:pPr>
      <w:r w:rsidRPr="003A6718">
        <w:rPr>
          <w:rFonts w:cs="Times New Roman"/>
          <w:color w:val="000000" w:themeColor="text1"/>
        </w:rPr>
        <w:t xml:space="preserve">Overall, the capital structure simulation confirms that moderate leverage can improve financial efficiency and reduce the overall cost of capital. However, excessive reliance on debt eventually increases financial risk to unsustainable levels, leading to higher capital costs </w:t>
      </w:r>
      <w:r w:rsidRPr="003A6718">
        <w:rPr>
          <w:rFonts w:cs="Times New Roman"/>
          <w:color w:val="000000" w:themeColor="text1"/>
        </w:rPr>
        <w:lastRenderedPageBreak/>
        <w:t>and reduced corporate value. The findings therefore support the trade-off theory of capital structure, which suggests that firms must carefully balance the tax advantages of debt against the potential costs of financial distress</w:t>
      </w:r>
      <w:r w:rsidR="00BF073B" w:rsidRPr="003A6718">
        <w:rPr>
          <w:rFonts w:cs="Times New Roman"/>
          <w:color w:val="000000" w:themeColor="text1"/>
        </w:rPr>
        <w:t xml:space="preserve"> (Tian, Wang, &amp; Kohar, 202</w:t>
      </w:r>
      <w:r w:rsidR="00034635" w:rsidRPr="003A6718">
        <w:rPr>
          <w:rFonts w:cs="Times New Roman"/>
          <w:color w:val="000000" w:themeColor="text1"/>
        </w:rPr>
        <w:t>4</w:t>
      </w:r>
      <w:r w:rsidR="00BF073B" w:rsidRPr="003A6718">
        <w:rPr>
          <w:rFonts w:cs="Times New Roman"/>
          <w:color w:val="000000" w:themeColor="text1"/>
        </w:rPr>
        <w:t>).</w:t>
      </w:r>
    </w:p>
    <w:p w14:paraId="58EE158C" w14:textId="77777777" w:rsidR="00EA01D9" w:rsidRPr="003A6718" w:rsidRDefault="00150FE0">
      <w:pPr>
        <w:rPr>
          <w:rFonts w:cs="Times New Roman"/>
          <w:color w:val="000000" w:themeColor="text1"/>
        </w:rPr>
      </w:pPr>
      <w:r w:rsidRPr="003A6718">
        <w:rPr>
          <w:rFonts w:cs="Times New Roman"/>
          <w:color w:val="000000" w:themeColor="text1"/>
        </w:rPr>
        <w:br w:type="page"/>
      </w:r>
    </w:p>
    <w:p w14:paraId="40BD8BF4" w14:textId="77777777" w:rsidR="00EA01D9" w:rsidRPr="003A6718" w:rsidRDefault="00150FE0">
      <w:pPr>
        <w:pStyle w:val="Heading1"/>
        <w:spacing w:before="240" w:after="120"/>
        <w:rPr>
          <w:rFonts w:ascii="Times New Roman" w:hAnsi="Times New Roman" w:cs="Times New Roman"/>
          <w:color w:val="000000" w:themeColor="text1"/>
        </w:rPr>
      </w:pPr>
      <w:bookmarkStart w:id="11" w:name="_Toc230110124"/>
      <w:r w:rsidRPr="003A6718">
        <w:rPr>
          <w:rFonts w:ascii="Times New Roman" w:hAnsi="Times New Roman" w:cs="Times New Roman"/>
          <w:color w:val="000000" w:themeColor="text1"/>
          <w:sz w:val="32"/>
        </w:rPr>
        <w:lastRenderedPageBreak/>
        <w:t>6. Discussion</w:t>
      </w:r>
      <w:bookmarkEnd w:id="11"/>
    </w:p>
    <w:p w14:paraId="42AEDF4A" w14:textId="77777777" w:rsidR="00EA01D9" w:rsidRPr="003A6718" w:rsidRDefault="00150FE0">
      <w:pPr>
        <w:ind w:firstLine="720"/>
        <w:rPr>
          <w:rFonts w:cs="Times New Roman"/>
          <w:color w:val="000000" w:themeColor="text1"/>
        </w:rPr>
      </w:pPr>
      <w:r w:rsidRPr="003A6718">
        <w:rPr>
          <w:rFonts w:cs="Times New Roman"/>
          <w:color w:val="000000" w:themeColor="text1"/>
        </w:rPr>
        <w:t>The empirical findings offer valuable insights into the real-world trade-offs faced by corporate financial managers. They illustrate that while capital budgeting and capital structure are often treated as separate academic topics, they are deeply linked in practice. A firm's financing mix directly establishes the discount hurdle that determines whether long-term investments create or destroy value.</w:t>
      </w:r>
    </w:p>
    <w:p w14:paraId="49B8F6F2" w14:textId="77777777" w:rsidR="00EA01D9" w:rsidRPr="003A6718" w:rsidRDefault="00150FE0">
      <w:pPr>
        <w:ind w:firstLine="720"/>
        <w:rPr>
          <w:rFonts w:cs="Times New Roman"/>
          <w:color w:val="000000" w:themeColor="text1"/>
        </w:rPr>
      </w:pPr>
      <w:r w:rsidRPr="003A6718">
        <w:rPr>
          <w:rFonts w:cs="Times New Roman"/>
          <w:color w:val="000000" w:themeColor="text1"/>
        </w:rPr>
        <w:t>The investment simulation highlights why NPV is widely preferred over other appraisal metrics. While the project’s IRR (21.34%) and Payback Period (2.82 years) remain unchanged across scenarios, they fail to reflect the shifting risks and capital costs occurring in external markets. Relying solely on IRR can lead to strategic errors, particularly when comparing mutually exclusive projects. If a firm must choose between a large project with a 20% IRR and a small project with a 30% IRR, the IRR rule favors the smaller project. However, the larger project may generate a significantly higher absolute NPV, contributing more to total shareholder wealth. Similarly, while the Payback Period is a simple tool for tracking near-term liquidity, it ignores cash flows generated beyond its arbitrary cutoff date, making it an unreliable metric for long-term strategic planning.</w:t>
      </w:r>
    </w:p>
    <w:p w14:paraId="57E66C51" w14:textId="77777777" w:rsidR="00EA01D9" w:rsidRPr="003A6718" w:rsidRDefault="00150FE0">
      <w:pPr>
        <w:ind w:firstLine="720"/>
        <w:rPr>
          <w:rFonts w:cs="Times New Roman"/>
          <w:color w:val="000000" w:themeColor="text1"/>
        </w:rPr>
      </w:pPr>
      <w:r w:rsidRPr="003A6718">
        <w:rPr>
          <w:rFonts w:cs="Times New Roman"/>
          <w:color w:val="000000" w:themeColor="text1"/>
        </w:rPr>
        <w:t>The capital structure simulation validates the practical relevance of the Trade-Off Theory over the strict Modigliani-Miller irrelevance models. The observed U-shaped curve of the WACC shows that financial leverage operates as a powerful but double-edged sword. In the transition from 0% to 40% leverage, the firm benefits directly from corporate tax policy. By deducting interest expenses, the firm shields a portion of its operating cash flows from taxation, effectively transferring that value from the government to its investment capital pool.</w:t>
      </w:r>
    </w:p>
    <w:p w14:paraId="3DD6476D" w14:textId="77777777" w:rsidR="00EA01D9" w:rsidRPr="003A6718" w:rsidRDefault="00150FE0">
      <w:pPr>
        <w:ind w:firstLine="720"/>
        <w:rPr>
          <w:rFonts w:cs="Times New Roman"/>
          <w:color w:val="000000" w:themeColor="text1"/>
        </w:rPr>
      </w:pPr>
      <w:r w:rsidRPr="003A6718">
        <w:rPr>
          <w:rFonts w:cs="Times New Roman"/>
          <w:color w:val="000000" w:themeColor="text1"/>
        </w:rPr>
        <w:t xml:space="preserve">However, the rapid escalation of both </w:t>
      </w:r>
      <w:proofErr w:type="spellStart"/>
      <w:r w:rsidRPr="003A6718">
        <w:rPr>
          <w:rFonts w:cs="Times New Roman"/>
          <w:color w:val="000000" w:themeColor="text1"/>
        </w:rPr>
        <w:t>Ke</w:t>
      </w:r>
      <w:proofErr w:type="spellEnd"/>
      <w:r w:rsidRPr="003A6718">
        <w:rPr>
          <w:rFonts w:cs="Times New Roman"/>
          <w:color w:val="000000" w:themeColor="text1"/>
        </w:rPr>
        <w:t xml:space="preserve"> and </w:t>
      </w:r>
      <w:proofErr w:type="spellStart"/>
      <w:r w:rsidRPr="003A6718">
        <w:rPr>
          <w:rFonts w:cs="Times New Roman"/>
          <w:color w:val="000000" w:themeColor="text1"/>
        </w:rPr>
        <w:t>Kd</w:t>
      </w:r>
      <w:proofErr w:type="spellEnd"/>
      <w:r w:rsidRPr="003A6718">
        <w:rPr>
          <w:rFonts w:cs="Times New Roman"/>
          <w:color w:val="000000" w:themeColor="text1"/>
        </w:rPr>
        <w:t xml:space="preserve"> beyond the 40% leverage threshold highlights the practical costs of financial distress. As debt becomes a larger share of the </w:t>
      </w:r>
      <w:r w:rsidRPr="003A6718">
        <w:rPr>
          <w:rFonts w:cs="Times New Roman"/>
          <w:color w:val="000000" w:themeColor="text1"/>
        </w:rPr>
        <w:lastRenderedPageBreak/>
        <w:t>capital structure, equity investors realize that a greater portion of operating cash flows is committed to fixed debt service payments. This increases the volatility of their remaining returns, causing them to demand a higher financial risk premium. Concurrently, creditors grow concerned about default risk and debt covenants, raising interest rates and imposing restrictive terms that limit management's operational flexibility. For financial executives, these dynamics underscore the importance of avoiding extreme capital configurations. Pursuing a purely equity-financed model avoids insolvency risks but leaves significant value on the table by ignoring tax shields, resulting in a higher cost of capital that can make competitive investments unviable. Conversely, over-leveraging a business to chase higher short-term equity returns increases structural risk and drives up capital costs, which can stall future project growth. Therefore, financial managers must dynamically adjust their financing choices to keep leverage near the optimal zone. This approach minimizes the firm's cost of capital and maximizes the present value of its future operational investments.</w:t>
      </w:r>
    </w:p>
    <w:p w14:paraId="607EFEEE" w14:textId="77777777" w:rsidR="00EA01D9" w:rsidRPr="003A6718" w:rsidRDefault="00150FE0">
      <w:pPr>
        <w:rPr>
          <w:rFonts w:cs="Times New Roman"/>
          <w:color w:val="000000" w:themeColor="text1"/>
        </w:rPr>
      </w:pPr>
      <w:r w:rsidRPr="003A6718">
        <w:rPr>
          <w:rFonts w:cs="Times New Roman"/>
          <w:color w:val="000000" w:themeColor="text1"/>
        </w:rPr>
        <w:br w:type="page"/>
      </w:r>
    </w:p>
    <w:p w14:paraId="0306E49B" w14:textId="77777777" w:rsidR="00EA01D9" w:rsidRPr="003A6718" w:rsidRDefault="00150FE0">
      <w:pPr>
        <w:pStyle w:val="Heading1"/>
        <w:spacing w:before="240" w:after="120"/>
        <w:rPr>
          <w:rFonts w:ascii="Times New Roman" w:hAnsi="Times New Roman" w:cs="Times New Roman"/>
          <w:color w:val="000000" w:themeColor="text1"/>
        </w:rPr>
      </w:pPr>
      <w:bookmarkStart w:id="12" w:name="_Toc230110125"/>
      <w:r w:rsidRPr="003A6718">
        <w:rPr>
          <w:rFonts w:ascii="Times New Roman" w:hAnsi="Times New Roman" w:cs="Times New Roman"/>
          <w:color w:val="000000" w:themeColor="text1"/>
          <w:sz w:val="32"/>
        </w:rPr>
        <w:lastRenderedPageBreak/>
        <w:t>7. Conclusion and Strategic Recommendations</w:t>
      </w:r>
      <w:bookmarkEnd w:id="12"/>
    </w:p>
    <w:p w14:paraId="391CFE56" w14:textId="77777777" w:rsidR="00922836" w:rsidRPr="003A6718" w:rsidRDefault="00922836" w:rsidP="00922836">
      <w:pPr>
        <w:ind w:firstLine="720"/>
        <w:rPr>
          <w:rFonts w:cs="Times New Roman"/>
          <w:color w:val="000000" w:themeColor="text1"/>
        </w:rPr>
      </w:pPr>
      <w:r w:rsidRPr="003A6718">
        <w:rPr>
          <w:rFonts w:cs="Times New Roman"/>
          <w:color w:val="000000" w:themeColor="text1"/>
        </w:rPr>
        <w:t>This report looks at the interplay between capital structure and investment appraisal methods in the creation of value for the firm and sustaining the organization over time. The paper presents a review of basic theories in finance and provides an empirical model of scenarios, showing that without optimization of the financing mix, decisions on capital allocation will not be effective. The investment simulation demonstrates that NPV is the most appropriate one to use for guiding asset allocation decisions as it explicitly accounts for the time value of money, considers all project cash flows and has the cost of capital as its benchmark hurdle.</w:t>
      </w:r>
    </w:p>
    <w:p w14:paraId="28560C26" w14:textId="77777777" w:rsidR="00922836" w:rsidRPr="003A6718" w:rsidRDefault="00922836" w:rsidP="00922836">
      <w:pPr>
        <w:ind w:firstLine="720"/>
        <w:rPr>
          <w:rFonts w:cs="Times New Roman"/>
          <w:color w:val="000000" w:themeColor="text1"/>
        </w:rPr>
      </w:pPr>
      <w:r w:rsidRPr="003A6718">
        <w:rPr>
          <w:rFonts w:cs="Times New Roman"/>
          <w:color w:val="000000" w:themeColor="text1"/>
        </w:rPr>
        <w:t>The capital structure analysis demonstrates that the Weighted Average Cost of Capital (WACC) has a definite U-shape form as the leverage increases. This pattern is consistent with the Trade-Off Theory of capital structure. Although debt lowers the cost of capital through corporate interest tax shields, debt levels above the optimal ratio will see an exponential increase in the risk premium in both equity and debt markets with each additional pound of debt, increasing the cost of capital and reducing overall company value.</w:t>
      </w:r>
    </w:p>
    <w:p w14:paraId="1BEF344A" w14:textId="77777777" w:rsidR="00922836" w:rsidRPr="003A6718" w:rsidRDefault="00150FE0" w:rsidP="00922836">
      <w:pPr>
        <w:ind w:firstLine="720"/>
        <w:rPr>
          <w:rFonts w:cs="Times New Roman"/>
          <w:color w:val="000000" w:themeColor="text1"/>
        </w:rPr>
      </w:pPr>
      <w:r w:rsidRPr="003A6718">
        <w:rPr>
          <w:rFonts w:cs="Times New Roman"/>
          <w:b/>
          <w:bCs/>
          <w:color w:val="000000" w:themeColor="text1"/>
        </w:rPr>
        <w:t>Strategic Recommendations:</w:t>
      </w:r>
      <w:r w:rsidRPr="003A6718">
        <w:rPr>
          <w:rFonts w:cs="Times New Roman"/>
          <w:color w:val="000000" w:themeColor="text1"/>
        </w:rPr>
        <w:br/>
      </w:r>
      <w:r w:rsidR="00922836" w:rsidRPr="003A6718">
        <w:rPr>
          <w:rFonts w:cs="Times New Roman"/>
          <w:color w:val="000000" w:themeColor="text1"/>
        </w:rPr>
        <w:t>1. Adopt a Risk Adjusted Hurdles approach: Avoid having a blanket corporate WACC for all investment decisions. Rather, they should use risk-adjustment discount rates consistent with the unique operational profile of each project that is proposed for development.</w:t>
      </w:r>
    </w:p>
    <w:p w14:paraId="42B5AA8A" w14:textId="77777777" w:rsidR="00922836" w:rsidRPr="003A6718" w:rsidRDefault="00922836" w:rsidP="00922836">
      <w:pPr>
        <w:ind w:firstLine="720"/>
        <w:rPr>
          <w:rFonts w:cs="Times New Roman"/>
          <w:color w:val="000000" w:themeColor="text1"/>
        </w:rPr>
      </w:pPr>
      <w:r w:rsidRPr="003A6718">
        <w:rPr>
          <w:rFonts w:cs="Times New Roman"/>
          <w:color w:val="000000" w:themeColor="text1"/>
        </w:rPr>
        <w:t>2. Adhere to Target Leverage Buffers: Capital structures need to be dynamically maintained within a target zone (e.g., 35%–45% leverage in this simulated case). This strategy will bring in the tax shield benefits and keep a liquidity buffer to avoid financial distress in times of market downturns.</w:t>
      </w:r>
    </w:p>
    <w:p w14:paraId="12746548" w14:textId="42D146AF" w:rsidR="00EA01D9" w:rsidRPr="003A6718" w:rsidRDefault="00922836" w:rsidP="00922836">
      <w:pPr>
        <w:ind w:firstLine="720"/>
        <w:rPr>
          <w:rFonts w:cs="Times New Roman"/>
          <w:color w:val="000000" w:themeColor="text1"/>
        </w:rPr>
      </w:pPr>
      <w:r w:rsidRPr="003A6718">
        <w:rPr>
          <w:rFonts w:cs="Times New Roman"/>
          <w:color w:val="000000" w:themeColor="text1"/>
        </w:rPr>
        <w:t xml:space="preserve">3. Focus on making the Cash Flow from Operations sustainable: The financial planning processes should be oriented towards the sustainability of the Cash Flow from </w:t>
      </w:r>
      <w:r w:rsidRPr="003A6718">
        <w:rPr>
          <w:rFonts w:cs="Times New Roman"/>
          <w:color w:val="000000" w:themeColor="text1"/>
        </w:rPr>
        <w:lastRenderedPageBreak/>
        <w:t>Operations in the long term. This means that future capital investments are not limited by fixed debt service requirements and long-term organization stability is not affected</w:t>
      </w:r>
      <w:r w:rsidR="00150FE0" w:rsidRPr="003A6718">
        <w:rPr>
          <w:rFonts w:cs="Times New Roman"/>
          <w:color w:val="000000" w:themeColor="text1"/>
        </w:rPr>
        <w:t>.</w:t>
      </w:r>
    </w:p>
    <w:p w14:paraId="165E3561" w14:textId="77777777" w:rsidR="00EA01D9" w:rsidRPr="003A6718" w:rsidRDefault="00150FE0">
      <w:pPr>
        <w:rPr>
          <w:rFonts w:cs="Times New Roman"/>
          <w:color w:val="000000" w:themeColor="text1"/>
        </w:rPr>
      </w:pPr>
      <w:r w:rsidRPr="003A6718">
        <w:rPr>
          <w:rFonts w:cs="Times New Roman"/>
          <w:color w:val="000000" w:themeColor="text1"/>
        </w:rPr>
        <w:br w:type="page"/>
      </w:r>
    </w:p>
    <w:p w14:paraId="373282E3" w14:textId="77777777" w:rsidR="00EA01D9" w:rsidRPr="003A6718" w:rsidRDefault="00150FE0">
      <w:pPr>
        <w:pStyle w:val="Heading1"/>
        <w:spacing w:before="240" w:after="120"/>
        <w:rPr>
          <w:rFonts w:ascii="Times New Roman" w:hAnsi="Times New Roman" w:cs="Times New Roman"/>
          <w:color w:val="000000" w:themeColor="text1"/>
        </w:rPr>
      </w:pPr>
      <w:bookmarkStart w:id="13" w:name="_Toc230110126"/>
      <w:r w:rsidRPr="003A6718">
        <w:rPr>
          <w:rFonts w:ascii="Times New Roman" w:hAnsi="Times New Roman" w:cs="Times New Roman"/>
          <w:color w:val="000000" w:themeColor="text1"/>
          <w:sz w:val="32"/>
        </w:rPr>
        <w:lastRenderedPageBreak/>
        <w:t>8. References</w:t>
      </w:r>
      <w:bookmarkEnd w:id="13"/>
    </w:p>
    <w:p w14:paraId="51448537" w14:textId="77777777" w:rsidR="00B54A63" w:rsidRPr="003A6718" w:rsidRDefault="00B54A63" w:rsidP="00CE66FE">
      <w:pPr>
        <w:pStyle w:val="NormalWeb"/>
        <w:spacing w:after="0" w:afterAutospacing="0" w:line="480" w:lineRule="auto"/>
        <w:ind w:left="720" w:hanging="720"/>
        <w:rPr>
          <w:color w:val="000000" w:themeColor="text1"/>
        </w:rPr>
      </w:pPr>
      <w:proofErr w:type="spellStart"/>
      <w:r w:rsidRPr="003A6718">
        <w:rPr>
          <w:color w:val="000000" w:themeColor="text1"/>
        </w:rPr>
        <w:t>Brusov</w:t>
      </w:r>
      <w:proofErr w:type="spellEnd"/>
      <w:r w:rsidRPr="003A6718">
        <w:rPr>
          <w:color w:val="000000" w:themeColor="text1"/>
        </w:rPr>
        <w:t>, P., &amp; Filatova, T. (2023). Capital structure theory: Past, present, future. </w:t>
      </w:r>
      <w:r w:rsidRPr="003A6718">
        <w:rPr>
          <w:i/>
          <w:iCs/>
          <w:color w:val="000000" w:themeColor="text1"/>
        </w:rPr>
        <w:t>Mathematics</w:t>
      </w:r>
      <w:r w:rsidRPr="003A6718">
        <w:rPr>
          <w:color w:val="000000" w:themeColor="text1"/>
        </w:rPr>
        <w:t>, </w:t>
      </w:r>
      <w:r w:rsidRPr="003A6718">
        <w:rPr>
          <w:i/>
          <w:iCs/>
          <w:color w:val="000000" w:themeColor="text1"/>
        </w:rPr>
        <w:t>11</w:t>
      </w:r>
      <w:r w:rsidRPr="003A6718">
        <w:rPr>
          <w:color w:val="000000" w:themeColor="text1"/>
        </w:rPr>
        <w:t xml:space="preserve">(3), 616. </w:t>
      </w:r>
      <w:hyperlink r:id="rId8" w:history="1">
        <w:r w:rsidRPr="003A6718">
          <w:rPr>
            <w:rStyle w:val="Hyperlink"/>
            <w:color w:val="000000" w:themeColor="text1"/>
          </w:rPr>
          <w:t>https://doi.org/10.3390/math11030616</w:t>
        </w:r>
      </w:hyperlink>
    </w:p>
    <w:p w14:paraId="4CB76C7E" w14:textId="77777777" w:rsidR="00B54A63" w:rsidRPr="00D93F52" w:rsidRDefault="00B54A63" w:rsidP="00D93F52">
      <w:pPr>
        <w:spacing w:before="100" w:beforeAutospacing="1"/>
        <w:ind w:left="720" w:hanging="720"/>
        <w:rPr>
          <w:rFonts w:eastAsia="Times New Roman" w:cs="Times New Roman"/>
          <w:color w:val="000000" w:themeColor="text1"/>
          <w:szCs w:val="24"/>
          <w:lang w:val="en-IN" w:eastAsia="en-IN"/>
        </w:rPr>
      </w:pPr>
      <w:proofErr w:type="spellStart"/>
      <w:r w:rsidRPr="00D93F52">
        <w:rPr>
          <w:rFonts w:eastAsia="Times New Roman" w:cs="Times New Roman"/>
          <w:color w:val="000000" w:themeColor="text1"/>
          <w:szCs w:val="24"/>
          <w:lang w:val="en-IN" w:eastAsia="en-IN"/>
        </w:rPr>
        <w:t>Darmansyah</w:t>
      </w:r>
      <w:proofErr w:type="spellEnd"/>
      <w:r w:rsidRPr="00D93F52">
        <w:rPr>
          <w:rFonts w:eastAsia="Times New Roman" w:cs="Times New Roman"/>
          <w:color w:val="000000" w:themeColor="text1"/>
          <w:szCs w:val="24"/>
          <w:lang w:val="en-IN" w:eastAsia="en-IN"/>
        </w:rPr>
        <w:t>, A., Ali, Q., &amp; Parveen, S. (2025). Sophisticated capital budgeting decisions for financial performance and risk management—A tale of two business entities. </w:t>
      </w:r>
      <w:r w:rsidRPr="00D93F52">
        <w:rPr>
          <w:rFonts w:eastAsia="Times New Roman" w:cs="Times New Roman"/>
          <w:i/>
          <w:iCs/>
          <w:color w:val="000000" w:themeColor="text1"/>
          <w:szCs w:val="24"/>
          <w:lang w:val="en-IN" w:eastAsia="en-IN"/>
        </w:rPr>
        <w:t>Journal of Risk and Financial Management</w:t>
      </w:r>
      <w:r w:rsidRPr="00D93F52">
        <w:rPr>
          <w:rFonts w:eastAsia="Times New Roman" w:cs="Times New Roman"/>
          <w:color w:val="000000" w:themeColor="text1"/>
          <w:szCs w:val="24"/>
          <w:lang w:val="en-IN" w:eastAsia="en-IN"/>
        </w:rPr>
        <w:t>, </w:t>
      </w:r>
      <w:r w:rsidRPr="00D93F52">
        <w:rPr>
          <w:rFonts w:eastAsia="Times New Roman" w:cs="Times New Roman"/>
          <w:i/>
          <w:iCs/>
          <w:color w:val="000000" w:themeColor="text1"/>
          <w:szCs w:val="24"/>
          <w:lang w:val="en-IN" w:eastAsia="en-IN"/>
        </w:rPr>
        <w:t>18</w:t>
      </w:r>
      <w:r w:rsidRPr="00D93F52">
        <w:rPr>
          <w:rFonts w:eastAsia="Times New Roman" w:cs="Times New Roman"/>
          <w:color w:val="000000" w:themeColor="text1"/>
          <w:szCs w:val="24"/>
          <w:lang w:val="en-IN" w:eastAsia="en-IN"/>
        </w:rPr>
        <w:t xml:space="preserve">(6), 297. </w:t>
      </w:r>
      <w:hyperlink r:id="rId9" w:history="1">
        <w:r w:rsidRPr="00D93F52">
          <w:rPr>
            <w:rStyle w:val="Hyperlink"/>
            <w:rFonts w:eastAsia="Times New Roman" w:cs="Times New Roman"/>
            <w:color w:val="000000" w:themeColor="text1"/>
            <w:szCs w:val="24"/>
            <w:lang w:val="en-IN" w:eastAsia="en-IN"/>
          </w:rPr>
          <w:t>https://doi.org/10.3390/jrfm18060297</w:t>
        </w:r>
      </w:hyperlink>
      <w:r w:rsidRPr="003A6718">
        <w:rPr>
          <w:rFonts w:eastAsia="Times New Roman" w:cs="Times New Roman"/>
          <w:color w:val="000000" w:themeColor="text1"/>
          <w:szCs w:val="24"/>
          <w:lang w:val="en-IN" w:eastAsia="en-IN"/>
        </w:rPr>
        <w:t xml:space="preserve"> </w:t>
      </w:r>
    </w:p>
    <w:p w14:paraId="33C9EBA0" w14:textId="77777777" w:rsidR="00B54A63" w:rsidRPr="003A6718" w:rsidRDefault="00B54A63" w:rsidP="00E675DA">
      <w:pPr>
        <w:spacing w:before="100" w:beforeAutospacing="1"/>
        <w:ind w:left="720" w:hanging="720"/>
        <w:rPr>
          <w:rFonts w:eastAsia="Times New Roman" w:cs="Times New Roman"/>
          <w:color w:val="000000" w:themeColor="text1"/>
          <w:szCs w:val="24"/>
          <w:lang w:val="en-IN" w:eastAsia="en-IN"/>
        </w:rPr>
      </w:pPr>
      <w:proofErr w:type="spellStart"/>
      <w:r w:rsidRPr="00E675DA">
        <w:rPr>
          <w:rFonts w:eastAsia="Times New Roman" w:cs="Times New Roman"/>
          <w:color w:val="000000" w:themeColor="text1"/>
          <w:szCs w:val="24"/>
          <w:lang w:val="en-IN" w:eastAsia="en-IN"/>
        </w:rPr>
        <w:t>Feldhütter</w:t>
      </w:r>
      <w:proofErr w:type="spellEnd"/>
      <w:r w:rsidRPr="00E675DA">
        <w:rPr>
          <w:rFonts w:eastAsia="Times New Roman" w:cs="Times New Roman"/>
          <w:color w:val="000000" w:themeColor="text1"/>
          <w:szCs w:val="24"/>
          <w:lang w:val="en-IN" w:eastAsia="en-IN"/>
        </w:rPr>
        <w:t>, P., &amp; Schaefer, S. (2023). Debt dynamics and credit risk. </w:t>
      </w:r>
      <w:r w:rsidRPr="00E675DA">
        <w:rPr>
          <w:rFonts w:eastAsia="Times New Roman" w:cs="Times New Roman"/>
          <w:i/>
          <w:iCs/>
          <w:color w:val="000000" w:themeColor="text1"/>
          <w:szCs w:val="24"/>
          <w:lang w:val="en-IN" w:eastAsia="en-IN"/>
        </w:rPr>
        <w:t>Journal of Financial Economics</w:t>
      </w:r>
      <w:r w:rsidRPr="00E675DA">
        <w:rPr>
          <w:rFonts w:eastAsia="Times New Roman" w:cs="Times New Roman"/>
          <w:color w:val="000000" w:themeColor="text1"/>
          <w:szCs w:val="24"/>
          <w:lang w:val="en-IN" w:eastAsia="en-IN"/>
        </w:rPr>
        <w:t>, </w:t>
      </w:r>
      <w:r w:rsidRPr="00E675DA">
        <w:rPr>
          <w:rFonts w:eastAsia="Times New Roman" w:cs="Times New Roman"/>
          <w:i/>
          <w:iCs/>
          <w:color w:val="000000" w:themeColor="text1"/>
          <w:szCs w:val="24"/>
          <w:lang w:val="en-IN" w:eastAsia="en-IN"/>
        </w:rPr>
        <w:t>149</w:t>
      </w:r>
      <w:r w:rsidRPr="00E675DA">
        <w:rPr>
          <w:rFonts w:eastAsia="Times New Roman" w:cs="Times New Roman"/>
          <w:color w:val="000000" w:themeColor="text1"/>
          <w:szCs w:val="24"/>
          <w:lang w:val="en-IN" w:eastAsia="en-IN"/>
        </w:rPr>
        <w:t xml:space="preserve">(3), 497–535. </w:t>
      </w:r>
      <w:hyperlink r:id="rId10" w:history="1">
        <w:r w:rsidRPr="00E675DA">
          <w:rPr>
            <w:rStyle w:val="Hyperlink"/>
            <w:rFonts w:eastAsia="Times New Roman" w:cs="Times New Roman"/>
            <w:color w:val="000000" w:themeColor="text1"/>
            <w:szCs w:val="24"/>
            <w:lang w:val="en-IN" w:eastAsia="en-IN"/>
          </w:rPr>
          <w:t>https://doi.org/10.1016/j.jfineco.2023.06.007</w:t>
        </w:r>
      </w:hyperlink>
    </w:p>
    <w:p w14:paraId="64612866" w14:textId="77777777" w:rsidR="00B54A63" w:rsidRPr="00620C8F" w:rsidRDefault="00B54A63" w:rsidP="00620C8F">
      <w:pPr>
        <w:spacing w:before="100" w:beforeAutospacing="1"/>
        <w:ind w:left="720" w:hanging="720"/>
        <w:rPr>
          <w:rFonts w:eastAsia="Times New Roman" w:cs="Times New Roman"/>
          <w:color w:val="000000" w:themeColor="text1"/>
          <w:szCs w:val="24"/>
          <w:lang w:val="en-IN" w:eastAsia="en-IN"/>
        </w:rPr>
      </w:pPr>
      <w:r w:rsidRPr="00620C8F">
        <w:rPr>
          <w:rFonts w:eastAsia="Times New Roman" w:cs="Times New Roman"/>
          <w:color w:val="000000" w:themeColor="text1"/>
          <w:szCs w:val="24"/>
          <w:lang w:val="en-IN" w:eastAsia="en-IN"/>
        </w:rPr>
        <w:t xml:space="preserve">Huaman-Roque, A. J., </w:t>
      </w:r>
      <w:proofErr w:type="spellStart"/>
      <w:r w:rsidRPr="00620C8F">
        <w:rPr>
          <w:rFonts w:eastAsia="Times New Roman" w:cs="Times New Roman"/>
          <w:color w:val="000000" w:themeColor="text1"/>
          <w:szCs w:val="24"/>
          <w:lang w:val="en-IN" w:eastAsia="en-IN"/>
        </w:rPr>
        <w:t>Cuyate</w:t>
      </w:r>
      <w:proofErr w:type="spellEnd"/>
      <w:r w:rsidRPr="00620C8F">
        <w:rPr>
          <w:rFonts w:eastAsia="Times New Roman" w:cs="Times New Roman"/>
          <w:color w:val="000000" w:themeColor="text1"/>
          <w:szCs w:val="24"/>
          <w:lang w:val="en-IN" w:eastAsia="en-IN"/>
        </w:rPr>
        <w:t>-Reque, P., Cueva-Ruesta, J., &amp; Cordova-</w:t>
      </w:r>
      <w:proofErr w:type="spellStart"/>
      <w:r w:rsidRPr="00620C8F">
        <w:rPr>
          <w:rFonts w:eastAsia="Times New Roman" w:cs="Times New Roman"/>
          <w:color w:val="000000" w:themeColor="text1"/>
          <w:szCs w:val="24"/>
          <w:lang w:val="en-IN" w:eastAsia="en-IN"/>
        </w:rPr>
        <w:t>Buiza</w:t>
      </w:r>
      <w:proofErr w:type="spellEnd"/>
      <w:r w:rsidRPr="00620C8F">
        <w:rPr>
          <w:rFonts w:eastAsia="Times New Roman" w:cs="Times New Roman"/>
          <w:color w:val="000000" w:themeColor="text1"/>
          <w:szCs w:val="24"/>
          <w:lang w:val="en-IN" w:eastAsia="en-IN"/>
        </w:rPr>
        <w:t>, F. (2025). Impact of Weighted Average Cost of Capital and profitability on Economic Value Added of firms in the industrial sector. </w:t>
      </w:r>
      <w:r w:rsidRPr="00620C8F">
        <w:rPr>
          <w:rFonts w:eastAsia="Times New Roman" w:cs="Times New Roman"/>
          <w:i/>
          <w:iCs/>
          <w:color w:val="000000" w:themeColor="text1"/>
          <w:szCs w:val="24"/>
          <w:lang w:val="en-IN" w:eastAsia="en-IN"/>
        </w:rPr>
        <w:t>Journal of Risk and Financial Management</w:t>
      </w:r>
      <w:r w:rsidRPr="00620C8F">
        <w:rPr>
          <w:rFonts w:eastAsia="Times New Roman" w:cs="Times New Roman"/>
          <w:color w:val="000000" w:themeColor="text1"/>
          <w:szCs w:val="24"/>
          <w:lang w:val="en-IN" w:eastAsia="en-IN"/>
        </w:rPr>
        <w:t>, </w:t>
      </w:r>
      <w:r w:rsidRPr="00620C8F">
        <w:rPr>
          <w:rFonts w:eastAsia="Times New Roman" w:cs="Times New Roman"/>
          <w:i/>
          <w:iCs/>
          <w:color w:val="000000" w:themeColor="text1"/>
          <w:szCs w:val="24"/>
          <w:lang w:val="en-IN" w:eastAsia="en-IN"/>
        </w:rPr>
        <w:t>18</w:t>
      </w:r>
      <w:r w:rsidRPr="00620C8F">
        <w:rPr>
          <w:rFonts w:eastAsia="Times New Roman" w:cs="Times New Roman"/>
          <w:color w:val="000000" w:themeColor="text1"/>
          <w:szCs w:val="24"/>
          <w:lang w:val="en-IN" w:eastAsia="en-IN"/>
        </w:rPr>
        <w:t xml:space="preserve">(11), 650. </w:t>
      </w:r>
      <w:hyperlink r:id="rId11" w:history="1">
        <w:r w:rsidRPr="00620C8F">
          <w:rPr>
            <w:rStyle w:val="Hyperlink"/>
            <w:rFonts w:eastAsia="Times New Roman" w:cs="Times New Roman"/>
            <w:color w:val="000000" w:themeColor="text1"/>
            <w:szCs w:val="24"/>
            <w:lang w:val="en-IN" w:eastAsia="en-IN"/>
          </w:rPr>
          <w:t>https://doi.org/10.3390/jrfm18110650</w:t>
        </w:r>
      </w:hyperlink>
      <w:r w:rsidRPr="003A6718">
        <w:rPr>
          <w:rFonts w:eastAsia="Times New Roman" w:cs="Times New Roman"/>
          <w:color w:val="000000" w:themeColor="text1"/>
          <w:szCs w:val="24"/>
          <w:lang w:val="en-IN" w:eastAsia="en-IN"/>
        </w:rPr>
        <w:t xml:space="preserve"> </w:t>
      </w:r>
    </w:p>
    <w:p w14:paraId="7E57B1A2" w14:textId="77777777" w:rsidR="00B54A63" w:rsidRPr="003A6718" w:rsidRDefault="00B54A63" w:rsidP="004B7CE4">
      <w:pPr>
        <w:spacing w:before="100" w:beforeAutospacing="1"/>
        <w:ind w:left="720" w:hanging="720"/>
        <w:rPr>
          <w:rFonts w:eastAsia="Times New Roman" w:cs="Times New Roman"/>
          <w:color w:val="000000" w:themeColor="text1"/>
          <w:szCs w:val="24"/>
          <w:lang w:val="en-IN" w:eastAsia="en-IN"/>
        </w:rPr>
      </w:pPr>
      <w:r w:rsidRPr="003A6718">
        <w:rPr>
          <w:rFonts w:eastAsia="Times New Roman" w:cs="Times New Roman"/>
          <w:color w:val="000000" w:themeColor="text1"/>
          <w:szCs w:val="24"/>
          <w:lang w:val="en-IN" w:eastAsia="en-IN"/>
        </w:rPr>
        <w:t>Liu, W.-C. (2017). Trade-off theory of capital structure: evidence from estimations of non-parametric and semi-parametric panel fixed effect models. </w:t>
      </w:r>
      <w:r w:rsidRPr="003A6718">
        <w:rPr>
          <w:rFonts w:eastAsia="Times New Roman" w:cs="Times New Roman"/>
          <w:i/>
          <w:iCs/>
          <w:color w:val="000000" w:themeColor="text1"/>
          <w:szCs w:val="24"/>
          <w:lang w:val="en-IN" w:eastAsia="en-IN"/>
        </w:rPr>
        <w:t>Investment Management and Financial Innovations</w:t>
      </w:r>
      <w:r w:rsidRPr="003A6718">
        <w:rPr>
          <w:rFonts w:eastAsia="Times New Roman" w:cs="Times New Roman"/>
          <w:color w:val="000000" w:themeColor="text1"/>
          <w:szCs w:val="24"/>
          <w:lang w:val="en-IN" w:eastAsia="en-IN"/>
        </w:rPr>
        <w:t>, </w:t>
      </w:r>
      <w:r w:rsidRPr="003A6718">
        <w:rPr>
          <w:rFonts w:eastAsia="Times New Roman" w:cs="Times New Roman"/>
          <w:i/>
          <w:iCs/>
          <w:color w:val="000000" w:themeColor="text1"/>
          <w:szCs w:val="24"/>
          <w:lang w:val="en-IN" w:eastAsia="en-IN"/>
        </w:rPr>
        <w:t>14</w:t>
      </w:r>
      <w:r w:rsidRPr="003A6718">
        <w:rPr>
          <w:rFonts w:eastAsia="Times New Roman" w:cs="Times New Roman"/>
          <w:color w:val="000000" w:themeColor="text1"/>
          <w:szCs w:val="24"/>
          <w:lang w:val="en-IN" w:eastAsia="en-IN"/>
        </w:rPr>
        <w:t xml:space="preserve">(1), 115–123. </w:t>
      </w:r>
      <w:hyperlink r:id="rId12" w:history="1">
        <w:r w:rsidRPr="003A6718">
          <w:rPr>
            <w:rStyle w:val="Hyperlink"/>
            <w:rFonts w:eastAsia="Times New Roman" w:cs="Times New Roman"/>
            <w:color w:val="000000" w:themeColor="text1"/>
            <w:szCs w:val="24"/>
            <w:lang w:val="en-IN" w:eastAsia="en-IN"/>
          </w:rPr>
          <w:t>https://doi.org/10.21511/imfi.14(1).2017.12</w:t>
        </w:r>
      </w:hyperlink>
      <w:r w:rsidRPr="003A6718">
        <w:rPr>
          <w:rFonts w:eastAsia="Times New Roman" w:cs="Times New Roman"/>
          <w:color w:val="000000" w:themeColor="text1"/>
          <w:szCs w:val="24"/>
          <w:lang w:val="en-IN" w:eastAsia="en-IN"/>
        </w:rPr>
        <w:t xml:space="preserve"> </w:t>
      </w:r>
    </w:p>
    <w:p w14:paraId="0546993A" w14:textId="77777777" w:rsidR="00B54A63" w:rsidRPr="003A6718" w:rsidRDefault="00B54A63" w:rsidP="004C2D0E">
      <w:pPr>
        <w:spacing w:before="100" w:beforeAutospacing="1"/>
        <w:ind w:left="720" w:hanging="720"/>
        <w:rPr>
          <w:rFonts w:eastAsia="Times New Roman" w:cs="Times New Roman"/>
          <w:color w:val="000000" w:themeColor="text1"/>
          <w:szCs w:val="24"/>
          <w:lang w:val="en-IN" w:eastAsia="en-IN"/>
        </w:rPr>
      </w:pPr>
      <w:r w:rsidRPr="004C2D0E">
        <w:rPr>
          <w:rFonts w:eastAsia="Times New Roman" w:cs="Times New Roman"/>
          <w:color w:val="000000" w:themeColor="text1"/>
          <w:szCs w:val="24"/>
          <w:lang w:val="en-IN" w:eastAsia="en-IN"/>
        </w:rPr>
        <w:t>Tian, X., Wang, Y., &amp; Kohar, U. H. A. (2024). Capital structure, business model innovation, and firm performance: Evidence from Chinese listed corporate based on system GMM model. </w:t>
      </w:r>
      <w:proofErr w:type="spellStart"/>
      <w:r w:rsidRPr="004C2D0E">
        <w:rPr>
          <w:rFonts w:eastAsia="Times New Roman" w:cs="Times New Roman"/>
          <w:i/>
          <w:iCs/>
          <w:color w:val="000000" w:themeColor="text1"/>
          <w:szCs w:val="24"/>
          <w:lang w:val="en-IN" w:eastAsia="en-IN"/>
        </w:rPr>
        <w:t>PloS</w:t>
      </w:r>
      <w:proofErr w:type="spellEnd"/>
      <w:r w:rsidRPr="004C2D0E">
        <w:rPr>
          <w:rFonts w:eastAsia="Times New Roman" w:cs="Times New Roman"/>
          <w:i/>
          <w:iCs/>
          <w:color w:val="000000" w:themeColor="text1"/>
          <w:szCs w:val="24"/>
          <w:lang w:val="en-IN" w:eastAsia="en-IN"/>
        </w:rPr>
        <w:t xml:space="preserve"> One</w:t>
      </w:r>
      <w:r w:rsidRPr="004C2D0E">
        <w:rPr>
          <w:rFonts w:eastAsia="Times New Roman" w:cs="Times New Roman"/>
          <w:color w:val="000000" w:themeColor="text1"/>
          <w:szCs w:val="24"/>
          <w:lang w:val="en-IN" w:eastAsia="en-IN"/>
        </w:rPr>
        <w:t>, </w:t>
      </w:r>
      <w:r w:rsidRPr="004C2D0E">
        <w:rPr>
          <w:rFonts w:eastAsia="Times New Roman" w:cs="Times New Roman"/>
          <w:i/>
          <w:iCs/>
          <w:color w:val="000000" w:themeColor="text1"/>
          <w:szCs w:val="24"/>
          <w:lang w:val="en-IN" w:eastAsia="en-IN"/>
        </w:rPr>
        <w:t>19</w:t>
      </w:r>
      <w:r w:rsidRPr="004C2D0E">
        <w:rPr>
          <w:rFonts w:eastAsia="Times New Roman" w:cs="Times New Roman"/>
          <w:color w:val="000000" w:themeColor="text1"/>
          <w:szCs w:val="24"/>
          <w:lang w:val="en-IN" w:eastAsia="en-IN"/>
        </w:rPr>
        <w:t xml:space="preserve">(6), e0306054. </w:t>
      </w:r>
      <w:hyperlink r:id="rId13" w:history="1">
        <w:r w:rsidRPr="004C2D0E">
          <w:rPr>
            <w:rStyle w:val="Hyperlink"/>
            <w:rFonts w:eastAsia="Times New Roman" w:cs="Times New Roman"/>
            <w:color w:val="000000" w:themeColor="text1"/>
            <w:szCs w:val="24"/>
            <w:lang w:val="en-IN" w:eastAsia="en-IN"/>
          </w:rPr>
          <w:t>https://doi.org/10.1371/journal.pone.0306054</w:t>
        </w:r>
      </w:hyperlink>
    </w:p>
    <w:p w14:paraId="007105D7" w14:textId="77777777" w:rsidR="00B54A63" w:rsidRPr="00C53DE8" w:rsidRDefault="00B54A63" w:rsidP="00C53DE8">
      <w:pPr>
        <w:spacing w:before="100" w:beforeAutospacing="1"/>
        <w:ind w:left="720" w:hanging="720"/>
        <w:rPr>
          <w:rFonts w:eastAsia="Times New Roman" w:cs="Times New Roman"/>
          <w:color w:val="000000" w:themeColor="text1"/>
          <w:szCs w:val="24"/>
          <w:lang w:val="en-IN" w:eastAsia="en-IN"/>
        </w:rPr>
      </w:pPr>
      <w:proofErr w:type="spellStart"/>
      <w:r w:rsidRPr="00C53DE8">
        <w:rPr>
          <w:rFonts w:eastAsia="Times New Roman" w:cs="Times New Roman"/>
          <w:color w:val="000000" w:themeColor="text1"/>
          <w:szCs w:val="24"/>
          <w:lang w:val="en-IN" w:eastAsia="en-IN"/>
        </w:rPr>
        <w:lastRenderedPageBreak/>
        <w:t>Türegün</w:t>
      </w:r>
      <w:proofErr w:type="spellEnd"/>
      <w:r w:rsidRPr="00C53DE8">
        <w:rPr>
          <w:rFonts w:eastAsia="Times New Roman" w:cs="Times New Roman"/>
          <w:color w:val="000000" w:themeColor="text1"/>
          <w:szCs w:val="24"/>
          <w:lang w:val="en-IN" w:eastAsia="en-IN"/>
        </w:rPr>
        <w:t>, N. (2022). Financial performance evaluation by multi-criteria decision-making techniques. </w:t>
      </w:r>
      <w:proofErr w:type="spellStart"/>
      <w:r w:rsidRPr="00C53DE8">
        <w:rPr>
          <w:rFonts w:eastAsia="Times New Roman" w:cs="Times New Roman"/>
          <w:i/>
          <w:iCs/>
          <w:color w:val="000000" w:themeColor="text1"/>
          <w:szCs w:val="24"/>
          <w:lang w:val="en-IN" w:eastAsia="en-IN"/>
        </w:rPr>
        <w:t>Heliyon</w:t>
      </w:r>
      <w:proofErr w:type="spellEnd"/>
      <w:r w:rsidRPr="00C53DE8">
        <w:rPr>
          <w:rFonts w:eastAsia="Times New Roman" w:cs="Times New Roman"/>
          <w:color w:val="000000" w:themeColor="text1"/>
          <w:szCs w:val="24"/>
          <w:lang w:val="en-IN" w:eastAsia="en-IN"/>
        </w:rPr>
        <w:t>, </w:t>
      </w:r>
      <w:r w:rsidRPr="00C53DE8">
        <w:rPr>
          <w:rFonts w:eastAsia="Times New Roman" w:cs="Times New Roman"/>
          <w:i/>
          <w:iCs/>
          <w:color w:val="000000" w:themeColor="text1"/>
          <w:szCs w:val="24"/>
          <w:lang w:val="en-IN" w:eastAsia="en-IN"/>
        </w:rPr>
        <w:t>8</w:t>
      </w:r>
      <w:r w:rsidRPr="00C53DE8">
        <w:rPr>
          <w:rFonts w:eastAsia="Times New Roman" w:cs="Times New Roman"/>
          <w:color w:val="000000" w:themeColor="text1"/>
          <w:szCs w:val="24"/>
          <w:lang w:val="en-IN" w:eastAsia="en-IN"/>
        </w:rPr>
        <w:t xml:space="preserve">(5), e09361. </w:t>
      </w:r>
      <w:hyperlink r:id="rId14" w:history="1">
        <w:r w:rsidRPr="00C53DE8">
          <w:rPr>
            <w:rStyle w:val="Hyperlink"/>
            <w:rFonts w:eastAsia="Times New Roman" w:cs="Times New Roman"/>
            <w:color w:val="000000" w:themeColor="text1"/>
            <w:szCs w:val="24"/>
            <w:lang w:val="en-IN" w:eastAsia="en-IN"/>
          </w:rPr>
          <w:t>https://doi.org/10.1016/j.heliyon.2022.e09361</w:t>
        </w:r>
      </w:hyperlink>
      <w:r w:rsidRPr="003A6718">
        <w:rPr>
          <w:rFonts w:eastAsia="Times New Roman" w:cs="Times New Roman"/>
          <w:color w:val="000000" w:themeColor="text1"/>
          <w:szCs w:val="24"/>
          <w:lang w:val="en-IN" w:eastAsia="en-IN"/>
        </w:rPr>
        <w:t xml:space="preserve"> </w:t>
      </w:r>
    </w:p>
    <w:p w14:paraId="0AF9AC53" w14:textId="77777777" w:rsidR="00B54A63" w:rsidRPr="003A6718" w:rsidRDefault="00B54A63" w:rsidP="00ED28C9">
      <w:pPr>
        <w:spacing w:before="100" w:beforeAutospacing="1"/>
        <w:ind w:left="720" w:hanging="720"/>
        <w:rPr>
          <w:rFonts w:eastAsia="Times New Roman" w:cs="Times New Roman"/>
          <w:color w:val="000000" w:themeColor="text1"/>
          <w:szCs w:val="24"/>
          <w:lang w:val="en-IN" w:eastAsia="en-IN"/>
        </w:rPr>
      </w:pPr>
      <w:r w:rsidRPr="003A6718">
        <w:rPr>
          <w:rFonts w:eastAsia="Times New Roman" w:cs="Times New Roman"/>
          <w:color w:val="000000" w:themeColor="text1"/>
          <w:szCs w:val="24"/>
          <w:lang w:val="en-IN" w:eastAsia="en-IN"/>
        </w:rPr>
        <w:t>Yıldırım, D., &amp; Çelik, A. K. (2021). Testing the pecking order theory of capital structure: Evidence from Turkey using panel quantile regression approach. </w:t>
      </w:r>
      <w:r w:rsidRPr="003A6718">
        <w:rPr>
          <w:rFonts w:eastAsia="Times New Roman" w:cs="Times New Roman"/>
          <w:i/>
          <w:iCs/>
          <w:color w:val="000000" w:themeColor="text1"/>
          <w:szCs w:val="24"/>
          <w:lang w:val="en-IN" w:eastAsia="en-IN"/>
        </w:rPr>
        <w:t>Borsa Istanbul Review</w:t>
      </w:r>
      <w:r w:rsidRPr="003A6718">
        <w:rPr>
          <w:rFonts w:eastAsia="Times New Roman" w:cs="Times New Roman"/>
          <w:color w:val="000000" w:themeColor="text1"/>
          <w:szCs w:val="24"/>
          <w:lang w:val="en-IN" w:eastAsia="en-IN"/>
        </w:rPr>
        <w:t>, </w:t>
      </w:r>
      <w:r w:rsidRPr="003A6718">
        <w:rPr>
          <w:rFonts w:eastAsia="Times New Roman" w:cs="Times New Roman"/>
          <w:i/>
          <w:iCs/>
          <w:color w:val="000000" w:themeColor="text1"/>
          <w:szCs w:val="24"/>
          <w:lang w:val="en-IN" w:eastAsia="en-IN"/>
        </w:rPr>
        <w:t>21</w:t>
      </w:r>
      <w:r w:rsidRPr="003A6718">
        <w:rPr>
          <w:rFonts w:eastAsia="Times New Roman" w:cs="Times New Roman"/>
          <w:color w:val="000000" w:themeColor="text1"/>
          <w:szCs w:val="24"/>
          <w:lang w:val="en-IN" w:eastAsia="en-IN"/>
        </w:rPr>
        <w:t xml:space="preserve">(4), 317–331. </w:t>
      </w:r>
      <w:hyperlink r:id="rId15" w:history="1">
        <w:r w:rsidRPr="003A6718">
          <w:rPr>
            <w:rStyle w:val="Hyperlink"/>
            <w:rFonts w:eastAsia="Times New Roman" w:cs="Times New Roman"/>
            <w:color w:val="000000" w:themeColor="text1"/>
            <w:szCs w:val="24"/>
            <w:lang w:val="en-IN" w:eastAsia="en-IN"/>
          </w:rPr>
          <w:t>https://doi.org/10.1016/j.bir.2020.11.002</w:t>
        </w:r>
      </w:hyperlink>
      <w:r w:rsidRPr="003A6718">
        <w:rPr>
          <w:rFonts w:eastAsia="Times New Roman" w:cs="Times New Roman"/>
          <w:color w:val="000000" w:themeColor="text1"/>
          <w:szCs w:val="24"/>
          <w:lang w:val="en-IN" w:eastAsia="en-IN"/>
        </w:rPr>
        <w:t xml:space="preserve"> </w:t>
      </w:r>
    </w:p>
    <w:p w14:paraId="6FB13A6E" w14:textId="77777777" w:rsidR="004C2D0E" w:rsidRPr="004C2D0E" w:rsidRDefault="004C2D0E" w:rsidP="004C2D0E">
      <w:pPr>
        <w:spacing w:before="100" w:beforeAutospacing="1"/>
        <w:ind w:left="720" w:hanging="720"/>
        <w:rPr>
          <w:rFonts w:eastAsia="Times New Roman" w:cs="Times New Roman"/>
          <w:color w:val="000000" w:themeColor="text1"/>
          <w:szCs w:val="24"/>
          <w:lang w:val="en-IN" w:eastAsia="en-IN"/>
        </w:rPr>
      </w:pPr>
    </w:p>
    <w:p w14:paraId="4D3847AC" w14:textId="77777777" w:rsidR="00E675DA" w:rsidRPr="00E675DA" w:rsidRDefault="00E675DA" w:rsidP="00E675DA">
      <w:pPr>
        <w:spacing w:before="100" w:beforeAutospacing="1"/>
        <w:ind w:left="720" w:hanging="720"/>
        <w:rPr>
          <w:rFonts w:eastAsia="Times New Roman" w:cs="Times New Roman"/>
          <w:color w:val="000000" w:themeColor="text1"/>
          <w:szCs w:val="24"/>
          <w:lang w:val="en-IN" w:eastAsia="en-IN"/>
        </w:rPr>
      </w:pPr>
    </w:p>
    <w:p w14:paraId="20450D9D" w14:textId="77777777" w:rsidR="00C03D62" w:rsidRPr="003A6718" w:rsidRDefault="00C03D62" w:rsidP="00ED28C9">
      <w:pPr>
        <w:spacing w:before="100" w:beforeAutospacing="1"/>
        <w:ind w:left="720" w:hanging="720"/>
        <w:rPr>
          <w:rFonts w:eastAsia="Times New Roman" w:cs="Times New Roman"/>
          <w:color w:val="000000" w:themeColor="text1"/>
          <w:szCs w:val="24"/>
          <w:lang w:val="en-IN" w:eastAsia="en-IN"/>
        </w:rPr>
      </w:pPr>
    </w:p>
    <w:p w14:paraId="7374B1DB" w14:textId="77777777" w:rsidR="00CE66FE" w:rsidRPr="003A6718" w:rsidRDefault="00CE66FE" w:rsidP="00CE66FE">
      <w:pPr>
        <w:pStyle w:val="NormalWeb"/>
        <w:spacing w:after="0" w:afterAutospacing="0" w:line="480" w:lineRule="auto"/>
        <w:ind w:left="720" w:hanging="720"/>
        <w:rPr>
          <w:color w:val="000000" w:themeColor="text1"/>
        </w:rPr>
      </w:pPr>
    </w:p>
    <w:p w14:paraId="785EC3F7" w14:textId="77777777" w:rsidR="00EA01D9" w:rsidRPr="003A6718" w:rsidRDefault="00150FE0">
      <w:pPr>
        <w:rPr>
          <w:rFonts w:cs="Times New Roman"/>
          <w:color w:val="000000" w:themeColor="text1"/>
        </w:rPr>
      </w:pPr>
      <w:r w:rsidRPr="003A6718">
        <w:rPr>
          <w:rFonts w:cs="Times New Roman"/>
          <w:color w:val="000000" w:themeColor="text1"/>
        </w:rPr>
        <w:br w:type="page"/>
      </w:r>
    </w:p>
    <w:p w14:paraId="6690C9C6" w14:textId="77777777" w:rsidR="00EA01D9" w:rsidRPr="003A6718" w:rsidRDefault="00150FE0">
      <w:pPr>
        <w:pStyle w:val="Heading1"/>
        <w:spacing w:before="240" w:after="120"/>
        <w:rPr>
          <w:rFonts w:ascii="Times New Roman" w:hAnsi="Times New Roman" w:cs="Times New Roman"/>
          <w:color w:val="000000" w:themeColor="text1"/>
        </w:rPr>
      </w:pPr>
      <w:bookmarkStart w:id="14" w:name="_Toc230110127"/>
      <w:r w:rsidRPr="003A6718">
        <w:rPr>
          <w:rFonts w:ascii="Times New Roman" w:hAnsi="Times New Roman" w:cs="Times New Roman"/>
          <w:color w:val="000000" w:themeColor="text1"/>
          <w:sz w:val="32"/>
        </w:rPr>
        <w:lastRenderedPageBreak/>
        <w:t>9. Appendices</w:t>
      </w:r>
      <w:bookmarkEnd w:id="14"/>
    </w:p>
    <w:p w14:paraId="5B999243" w14:textId="77777777" w:rsidR="00EA01D9" w:rsidRPr="003A6718" w:rsidRDefault="00150FE0">
      <w:pPr>
        <w:pStyle w:val="Heading2"/>
        <w:spacing w:before="240" w:after="80"/>
        <w:rPr>
          <w:rFonts w:ascii="Times New Roman" w:hAnsi="Times New Roman" w:cs="Times New Roman"/>
          <w:color w:val="000000" w:themeColor="text1"/>
        </w:rPr>
      </w:pPr>
      <w:bookmarkStart w:id="15" w:name="_Toc230110128"/>
      <w:r w:rsidRPr="003A6718">
        <w:rPr>
          <w:rFonts w:ascii="Times New Roman" w:hAnsi="Times New Roman" w:cs="Times New Roman"/>
          <w:color w:val="000000" w:themeColor="text1"/>
          <w:sz w:val="28"/>
        </w:rPr>
        <w:t>Appendix A: Capital Project Cash Flow Breakdown</w:t>
      </w:r>
      <w:bookmarkEnd w:id="15"/>
    </w:p>
    <w:p w14:paraId="2D8CEC4F" w14:textId="77777777" w:rsidR="00EA01D9" w:rsidRPr="003A6718" w:rsidRDefault="00150FE0">
      <w:pPr>
        <w:ind w:firstLine="720"/>
        <w:rPr>
          <w:rFonts w:cs="Times New Roman"/>
          <w:color w:val="000000" w:themeColor="text1"/>
        </w:rPr>
      </w:pPr>
      <w:r w:rsidRPr="003A6718">
        <w:rPr>
          <w:rFonts w:cs="Times New Roman"/>
          <w:color w:val="000000" w:themeColor="text1"/>
        </w:rPr>
        <w:t>• Initial Investment (IO): -$25,000,000</w:t>
      </w:r>
      <w:r w:rsidRPr="003A6718">
        <w:rPr>
          <w:rFonts w:cs="Times New Roman"/>
          <w:color w:val="000000" w:themeColor="text1"/>
        </w:rPr>
        <w:br/>
        <w:t>• Year 1 Net Inflow: $7,000,000</w:t>
      </w:r>
      <w:r w:rsidRPr="003A6718">
        <w:rPr>
          <w:rFonts w:cs="Times New Roman"/>
          <w:color w:val="000000" w:themeColor="text1"/>
        </w:rPr>
        <w:br/>
        <w:t>• Year 2 Net Inflow: $9,000,000</w:t>
      </w:r>
      <w:r w:rsidRPr="003A6718">
        <w:rPr>
          <w:rFonts w:cs="Times New Roman"/>
          <w:color w:val="000000" w:themeColor="text1"/>
        </w:rPr>
        <w:br/>
        <w:t>• Year 3 Net Inflow: $11,000,000</w:t>
      </w:r>
      <w:r w:rsidRPr="003A6718">
        <w:rPr>
          <w:rFonts w:cs="Times New Roman"/>
          <w:color w:val="000000" w:themeColor="text1"/>
        </w:rPr>
        <w:br/>
        <w:t>• Year 4 Net Inflow: $10,000,000</w:t>
      </w:r>
      <w:r w:rsidRPr="003A6718">
        <w:rPr>
          <w:rFonts w:cs="Times New Roman"/>
          <w:color w:val="000000" w:themeColor="text1"/>
        </w:rPr>
        <w:br/>
        <w:t>• Year 5 Net Inflow + Terminal Residual Value: $8,000,000 + $2,000,000 = $10,000,000</w:t>
      </w:r>
    </w:p>
    <w:p w14:paraId="12524F9E" w14:textId="77777777" w:rsidR="00EA01D9" w:rsidRPr="003A6718" w:rsidRDefault="00150FE0">
      <w:pPr>
        <w:pStyle w:val="Heading2"/>
        <w:spacing w:before="240" w:after="80"/>
        <w:rPr>
          <w:rFonts w:ascii="Times New Roman" w:hAnsi="Times New Roman" w:cs="Times New Roman"/>
          <w:color w:val="000000" w:themeColor="text1"/>
        </w:rPr>
      </w:pPr>
      <w:bookmarkStart w:id="16" w:name="_Toc230110129"/>
      <w:r w:rsidRPr="003A6718">
        <w:rPr>
          <w:rFonts w:ascii="Times New Roman" w:hAnsi="Times New Roman" w:cs="Times New Roman"/>
          <w:color w:val="000000" w:themeColor="text1"/>
          <w:sz w:val="28"/>
        </w:rPr>
        <w:t>Appendix B: Representative Mathematical Verifications</w:t>
      </w:r>
      <w:bookmarkEnd w:id="16"/>
    </w:p>
    <w:p w14:paraId="7AC52DB9" w14:textId="77777777" w:rsidR="00EA01D9" w:rsidRPr="003A6718" w:rsidRDefault="00150FE0">
      <w:pPr>
        <w:ind w:firstLine="720"/>
        <w:rPr>
          <w:rFonts w:cs="Times New Roman"/>
          <w:color w:val="000000" w:themeColor="text1"/>
        </w:rPr>
      </w:pPr>
      <w:r w:rsidRPr="003A6718">
        <w:rPr>
          <w:rFonts w:cs="Times New Roman"/>
          <w:color w:val="000000" w:themeColor="text1"/>
        </w:rPr>
        <w:t>Cost of Equity calculation at 20% Debt Tier:</w:t>
      </w:r>
      <w:r w:rsidRPr="003A6718">
        <w:rPr>
          <w:rFonts w:cs="Times New Roman"/>
          <w:color w:val="000000" w:themeColor="text1"/>
        </w:rPr>
        <w:br/>
      </w:r>
      <w:proofErr w:type="spellStart"/>
      <w:r w:rsidRPr="003A6718">
        <w:rPr>
          <w:rFonts w:cs="Times New Roman"/>
          <w:color w:val="000000" w:themeColor="text1"/>
        </w:rPr>
        <w:t>Ke</w:t>
      </w:r>
      <w:proofErr w:type="spellEnd"/>
      <w:r w:rsidRPr="003A6718">
        <w:rPr>
          <w:rFonts w:cs="Times New Roman"/>
          <w:color w:val="000000" w:themeColor="text1"/>
        </w:rPr>
        <w:t xml:space="preserve"> = Rf + βL * (E(Rm) - Rf) = 4.5% + 1.306 * (6%) = 12.336% -&gt; Rounded to 12.34%</w:t>
      </w:r>
      <w:r w:rsidRPr="003A6718">
        <w:rPr>
          <w:rFonts w:cs="Times New Roman"/>
          <w:color w:val="000000" w:themeColor="text1"/>
        </w:rPr>
        <w:br/>
      </w:r>
      <w:r w:rsidRPr="003A6718">
        <w:rPr>
          <w:rFonts w:cs="Times New Roman"/>
          <w:color w:val="000000" w:themeColor="text1"/>
        </w:rPr>
        <w:br/>
        <w:t>Weighted Average Cost of Capital (WACC) calculation at 20% Debt Tier:</w:t>
      </w:r>
      <w:r w:rsidRPr="003A6718">
        <w:rPr>
          <w:rFonts w:cs="Times New Roman"/>
          <w:color w:val="000000" w:themeColor="text1"/>
        </w:rPr>
        <w:br/>
        <w:t xml:space="preserve">WACC = (E/V * </w:t>
      </w:r>
      <w:proofErr w:type="spellStart"/>
      <w:r w:rsidRPr="003A6718">
        <w:rPr>
          <w:rFonts w:cs="Times New Roman"/>
          <w:color w:val="000000" w:themeColor="text1"/>
        </w:rPr>
        <w:t>Ke</w:t>
      </w:r>
      <w:proofErr w:type="spellEnd"/>
      <w:r w:rsidRPr="003A6718">
        <w:rPr>
          <w:rFonts w:cs="Times New Roman"/>
          <w:color w:val="000000" w:themeColor="text1"/>
        </w:rPr>
        <w:t xml:space="preserve">) + (D/V * </w:t>
      </w:r>
      <w:proofErr w:type="spellStart"/>
      <w:r w:rsidRPr="003A6718">
        <w:rPr>
          <w:rFonts w:cs="Times New Roman"/>
          <w:color w:val="000000" w:themeColor="text1"/>
        </w:rPr>
        <w:t>Kd</w:t>
      </w:r>
      <w:proofErr w:type="spellEnd"/>
      <w:r w:rsidRPr="003A6718">
        <w:rPr>
          <w:rFonts w:cs="Times New Roman"/>
          <w:color w:val="000000" w:themeColor="text1"/>
        </w:rPr>
        <w:t xml:space="preserve"> * (1 - T))</w:t>
      </w:r>
      <w:r w:rsidRPr="003A6718">
        <w:rPr>
          <w:rFonts w:cs="Times New Roman"/>
          <w:color w:val="000000" w:themeColor="text1"/>
        </w:rPr>
        <w:br/>
        <w:t>WACC = (0.80 * 12.336%) + (0.20 * 6.00% * (1 - 0.25))</w:t>
      </w:r>
      <w:r w:rsidRPr="003A6718">
        <w:rPr>
          <w:rFonts w:cs="Times New Roman"/>
          <w:color w:val="000000" w:themeColor="text1"/>
        </w:rPr>
        <w:br/>
        <w:t>WACC = 9.8688% + 0.9000% = 10.7688% -&gt; Rounded to 10.77%</w:t>
      </w:r>
    </w:p>
    <w:sectPr w:rsidR="00EA01D9" w:rsidRPr="003A6718" w:rsidSect="00034616">
      <w:footerReference w:type="default" r:id="rId16"/>
      <w:pgSz w:w="11909" w:h="16834"/>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3B652" w14:textId="77777777" w:rsidR="008D34B3" w:rsidRDefault="008D34B3" w:rsidP="003A6718">
      <w:pPr>
        <w:spacing w:line="240" w:lineRule="auto"/>
      </w:pPr>
      <w:r>
        <w:separator/>
      </w:r>
    </w:p>
  </w:endnote>
  <w:endnote w:type="continuationSeparator" w:id="0">
    <w:p w14:paraId="550BB79F" w14:textId="77777777" w:rsidR="008D34B3" w:rsidRDefault="008D34B3" w:rsidP="003A67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824163"/>
      <w:docPartObj>
        <w:docPartGallery w:val="Page Numbers (Bottom of Page)"/>
        <w:docPartUnique/>
      </w:docPartObj>
    </w:sdtPr>
    <w:sdtEndPr>
      <w:rPr>
        <w:noProof/>
      </w:rPr>
    </w:sdtEndPr>
    <w:sdtContent>
      <w:p w14:paraId="1616BBCC" w14:textId="0E5CA980" w:rsidR="003A6718" w:rsidRDefault="003A67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664E18" w14:textId="77777777" w:rsidR="003A6718" w:rsidRDefault="003A6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30521" w14:textId="77777777" w:rsidR="008D34B3" w:rsidRDefault="008D34B3" w:rsidP="003A6718">
      <w:pPr>
        <w:spacing w:line="240" w:lineRule="auto"/>
      </w:pPr>
      <w:r>
        <w:separator/>
      </w:r>
    </w:p>
  </w:footnote>
  <w:footnote w:type="continuationSeparator" w:id="0">
    <w:p w14:paraId="1F60E788" w14:textId="77777777" w:rsidR="008D34B3" w:rsidRDefault="008D34B3" w:rsidP="003A671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FBD"/>
    <w:rsid w:val="00034616"/>
    <w:rsid w:val="00034635"/>
    <w:rsid w:val="000527E3"/>
    <w:rsid w:val="0006063C"/>
    <w:rsid w:val="00091582"/>
    <w:rsid w:val="00115EFC"/>
    <w:rsid w:val="00125F11"/>
    <w:rsid w:val="0015074B"/>
    <w:rsid w:val="00150FE0"/>
    <w:rsid w:val="001A2523"/>
    <w:rsid w:val="001D0DCF"/>
    <w:rsid w:val="0029639D"/>
    <w:rsid w:val="003059CA"/>
    <w:rsid w:val="00326F90"/>
    <w:rsid w:val="003524DA"/>
    <w:rsid w:val="00352996"/>
    <w:rsid w:val="003647EB"/>
    <w:rsid w:val="00370328"/>
    <w:rsid w:val="003A6718"/>
    <w:rsid w:val="003E13DD"/>
    <w:rsid w:val="00434396"/>
    <w:rsid w:val="004B7CE4"/>
    <w:rsid w:val="004C2D0E"/>
    <w:rsid w:val="00541C2D"/>
    <w:rsid w:val="00593002"/>
    <w:rsid w:val="005C2051"/>
    <w:rsid w:val="005F04FC"/>
    <w:rsid w:val="0060785B"/>
    <w:rsid w:val="00620C8F"/>
    <w:rsid w:val="00632BC8"/>
    <w:rsid w:val="00665635"/>
    <w:rsid w:val="00675B12"/>
    <w:rsid w:val="006B1F6B"/>
    <w:rsid w:val="007625CB"/>
    <w:rsid w:val="00772734"/>
    <w:rsid w:val="007C1C3A"/>
    <w:rsid w:val="0088032E"/>
    <w:rsid w:val="008D34B3"/>
    <w:rsid w:val="00922836"/>
    <w:rsid w:val="00A56066"/>
    <w:rsid w:val="00AA1D8D"/>
    <w:rsid w:val="00AA508E"/>
    <w:rsid w:val="00B07BCB"/>
    <w:rsid w:val="00B47730"/>
    <w:rsid w:val="00B54A63"/>
    <w:rsid w:val="00BD6A01"/>
    <w:rsid w:val="00BF073B"/>
    <w:rsid w:val="00C03D62"/>
    <w:rsid w:val="00C12DE5"/>
    <w:rsid w:val="00C53DE8"/>
    <w:rsid w:val="00CB0664"/>
    <w:rsid w:val="00CD04A6"/>
    <w:rsid w:val="00CD2723"/>
    <w:rsid w:val="00CE66FE"/>
    <w:rsid w:val="00CF3ED4"/>
    <w:rsid w:val="00D13E50"/>
    <w:rsid w:val="00D93F52"/>
    <w:rsid w:val="00E675DA"/>
    <w:rsid w:val="00E83F41"/>
    <w:rsid w:val="00EA01D9"/>
    <w:rsid w:val="00EA0D8D"/>
    <w:rsid w:val="00ED28C9"/>
    <w:rsid w:val="00EE355B"/>
    <w:rsid w:val="00F26673"/>
    <w:rsid w:val="00F26D7D"/>
    <w:rsid w:val="00F95BBB"/>
    <w:rsid w:val="00FC41E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423C1B"/>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hAnsi="Times New Roman"/>
      <w:color w:val="000000"/>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B07BCB"/>
    <w:pPr>
      <w:spacing w:after="100"/>
    </w:pPr>
  </w:style>
  <w:style w:type="paragraph" w:styleId="TOC2">
    <w:name w:val="toc 2"/>
    <w:basedOn w:val="Normal"/>
    <w:next w:val="Normal"/>
    <w:autoRedefine/>
    <w:uiPriority w:val="39"/>
    <w:unhideWhenUsed/>
    <w:rsid w:val="00B07BCB"/>
    <w:pPr>
      <w:spacing w:after="100"/>
      <w:ind w:left="240"/>
    </w:pPr>
  </w:style>
  <w:style w:type="character" w:styleId="Hyperlink">
    <w:name w:val="Hyperlink"/>
    <w:basedOn w:val="DefaultParagraphFont"/>
    <w:uiPriority w:val="99"/>
    <w:unhideWhenUsed/>
    <w:rsid w:val="00B07BCB"/>
    <w:rPr>
      <w:color w:val="0000FF" w:themeColor="hyperlink"/>
      <w:u w:val="single"/>
    </w:rPr>
  </w:style>
  <w:style w:type="paragraph" w:styleId="NormalWeb">
    <w:name w:val="Normal (Web)"/>
    <w:basedOn w:val="Normal"/>
    <w:uiPriority w:val="99"/>
    <w:semiHidden/>
    <w:unhideWhenUsed/>
    <w:rsid w:val="00CE66FE"/>
    <w:pPr>
      <w:spacing w:before="100" w:beforeAutospacing="1" w:after="100" w:afterAutospacing="1" w:line="240" w:lineRule="auto"/>
    </w:pPr>
    <w:rPr>
      <w:rFonts w:eastAsia="Times New Roman" w:cs="Times New Roman"/>
      <w:color w:val="auto"/>
      <w:szCs w:val="24"/>
      <w:lang w:val="en-IN" w:eastAsia="en-IN"/>
    </w:rPr>
  </w:style>
  <w:style w:type="character" w:styleId="UnresolvedMention">
    <w:name w:val="Unresolved Mention"/>
    <w:basedOn w:val="DefaultParagraphFont"/>
    <w:uiPriority w:val="99"/>
    <w:semiHidden/>
    <w:unhideWhenUsed/>
    <w:rsid w:val="00CE66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803461">
      <w:bodyDiv w:val="1"/>
      <w:marLeft w:val="0"/>
      <w:marRight w:val="0"/>
      <w:marTop w:val="0"/>
      <w:marBottom w:val="0"/>
      <w:divBdr>
        <w:top w:val="none" w:sz="0" w:space="0" w:color="auto"/>
        <w:left w:val="none" w:sz="0" w:space="0" w:color="auto"/>
        <w:bottom w:val="none" w:sz="0" w:space="0" w:color="auto"/>
        <w:right w:val="none" w:sz="0" w:space="0" w:color="auto"/>
      </w:divBdr>
    </w:div>
    <w:div w:id="231354666">
      <w:bodyDiv w:val="1"/>
      <w:marLeft w:val="0"/>
      <w:marRight w:val="0"/>
      <w:marTop w:val="0"/>
      <w:marBottom w:val="0"/>
      <w:divBdr>
        <w:top w:val="none" w:sz="0" w:space="0" w:color="auto"/>
        <w:left w:val="none" w:sz="0" w:space="0" w:color="auto"/>
        <w:bottom w:val="none" w:sz="0" w:space="0" w:color="auto"/>
        <w:right w:val="none" w:sz="0" w:space="0" w:color="auto"/>
      </w:divBdr>
    </w:div>
    <w:div w:id="970479607">
      <w:bodyDiv w:val="1"/>
      <w:marLeft w:val="0"/>
      <w:marRight w:val="0"/>
      <w:marTop w:val="0"/>
      <w:marBottom w:val="0"/>
      <w:divBdr>
        <w:top w:val="none" w:sz="0" w:space="0" w:color="auto"/>
        <w:left w:val="none" w:sz="0" w:space="0" w:color="auto"/>
        <w:bottom w:val="none" w:sz="0" w:space="0" w:color="auto"/>
        <w:right w:val="none" w:sz="0" w:space="0" w:color="auto"/>
      </w:divBdr>
    </w:div>
    <w:div w:id="1068501377">
      <w:bodyDiv w:val="1"/>
      <w:marLeft w:val="0"/>
      <w:marRight w:val="0"/>
      <w:marTop w:val="0"/>
      <w:marBottom w:val="0"/>
      <w:divBdr>
        <w:top w:val="none" w:sz="0" w:space="0" w:color="auto"/>
        <w:left w:val="none" w:sz="0" w:space="0" w:color="auto"/>
        <w:bottom w:val="none" w:sz="0" w:space="0" w:color="auto"/>
        <w:right w:val="none" w:sz="0" w:space="0" w:color="auto"/>
      </w:divBdr>
    </w:div>
    <w:div w:id="1732852622">
      <w:bodyDiv w:val="1"/>
      <w:marLeft w:val="0"/>
      <w:marRight w:val="0"/>
      <w:marTop w:val="0"/>
      <w:marBottom w:val="0"/>
      <w:divBdr>
        <w:top w:val="none" w:sz="0" w:space="0" w:color="auto"/>
        <w:left w:val="none" w:sz="0" w:space="0" w:color="auto"/>
        <w:bottom w:val="none" w:sz="0" w:space="0" w:color="auto"/>
        <w:right w:val="none" w:sz="0" w:space="0" w:color="auto"/>
      </w:divBdr>
    </w:div>
    <w:div w:id="1786804992">
      <w:bodyDiv w:val="1"/>
      <w:marLeft w:val="0"/>
      <w:marRight w:val="0"/>
      <w:marTop w:val="0"/>
      <w:marBottom w:val="0"/>
      <w:divBdr>
        <w:top w:val="none" w:sz="0" w:space="0" w:color="auto"/>
        <w:left w:val="none" w:sz="0" w:space="0" w:color="auto"/>
        <w:bottom w:val="none" w:sz="0" w:space="0" w:color="auto"/>
        <w:right w:val="none" w:sz="0" w:space="0" w:color="auto"/>
      </w:divBdr>
    </w:div>
    <w:div w:id="1977369189">
      <w:bodyDiv w:val="1"/>
      <w:marLeft w:val="0"/>
      <w:marRight w:val="0"/>
      <w:marTop w:val="0"/>
      <w:marBottom w:val="0"/>
      <w:divBdr>
        <w:top w:val="none" w:sz="0" w:space="0" w:color="auto"/>
        <w:left w:val="none" w:sz="0" w:space="0" w:color="auto"/>
        <w:bottom w:val="none" w:sz="0" w:space="0" w:color="auto"/>
        <w:right w:val="none" w:sz="0" w:space="0" w:color="auto"/>
      </w:divBdr>
    </w:div>
    <w:div w:id="20442886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math11030616" TargetMode="External"/><Relationship Id="rId13" Type="http://schemas.openxmlformats.org/officeDocument/2006/relationships/hyperlink" Target="https://doi.org/10.1371/journal.pone.030605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1511/imfi.14(1).2017.1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jrfm18110650" TargetMode="External"/><Relationship Id="rId5" Type="http://schemas.openxmlformats.org/officeDocument/2006/relationships/webSettings" Target="webSettings.xml"/><Relationship Id="rId15" Type="http://schemas.openxmlformats.org/officeDocument/2006/relationships/hyperlink" Target="https://doi.org/10.1016/j.bir.2020.11.002" TargetMode="External"/><Relationship Id="rId10" Type="http://schemas.openxmlformats.org/officeDocument/2006/relationships/hyperlink" Target="https://doi.org/10.1016/j.jfineco.2023.06.007" TargetMode="External"/><Relationship Id="rId4" Type="http://schemas.openxmlformats.org/officeDocument/2006/relationships/settings" Target="settings.xml"/><Relationship Id="rId9" Type="http://schemas.openxmlformats.org/officeDocument/2006/relationships/hyperlink" Target="https://doi.org/10.3390/jrfm18060297" TargetMode="External"/><Relationship Id="rId14" Type="http://schemas.openxmlformats.org/officeDocument/2006/relationships/hyperlink" Target="https://doi.org/10.1016/j.heliyon.2022.e093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4895</Words>
  <Characters>27905</Characters>
  <Application>Microsoft Office Word</Application>
  <DocSecurity>0</DocSecurity>
  <Lines>232</Lines>
  <Paragraphs>65</Paragraphs>
  <ScaleCrop>false</ScaleCrop>
  <Manager/>
  <Company/>
  <LinksUpToDate>false</LinksUpToDate>
  <CharactersWithSpaces>32735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2026-05-19T14:03:00Z</dcterms:created>
  <dcterms:modified xsi:type="dcterms:W3CDTF">2026-05-19T14:03:00Z</dcterms:modified>
  <cp:category/>
</cp:coreProperties>
</file>