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EB456" w14:textId="77777777" w:rsidR="00D94646" w:rsidRPr="009B46C8" w:rsidRDefault="00D94646" w:rsidP="00D94646">
      <w:pPr>
        <w:spacing w:line="360" w:lineRule="auto"/>
        <w:jc w:val="center"/>
        <w:rPr>
          <w:b/>
          <w:bCs/>
          <w:lang w:val="en-IN"/>
        </w:rPr>
      </w:pPr>
      <w:r w:rsidRPr="009B46C8">
        <w:rPr>
          <w:b/>
          <w:bCs/>
          <w:lang w:val="en-IN"/>
        </w:rPr>
        <w:t>A Study on the Basic Theoretical Concepts of Accounting</w:t>
      </w:r>
    </w:p>
    <w:p w14:paraId="3008FF97" w14:textId="77777777" w:rsidR="00D94646" w:rsidRDefault="00D94646" w:rsidP="00D94646">
      <w:pPr>
        <w:spacing w:line="360" w:lineRule="auto"/>
        <w:jc w:val="left"/>
        <w:rPr>
          <w:b/>
          <w:bCs/>
          <w:lang w:val="en-IN"/>
        </w:rPr>
      </w:pPr>
      <w:r>
        <w:rPr>
          <w:b/>
          <w:bCs/>
          <w:lang w:val="en-IN"/>
        </w:rPr>
        <w:br w:type="page"/>
      </w:r>
    </w:p>
    <w:p w14:paraId="64420E1C" w14:textId="77777777" w:rsidR="00D94646" w:rsidRDefault="00D94646" w:rsidP="00D94646">
      <w:pPr>
        <w:spacing w:line="360" w:lineRule="auto"/>
        <w:jc w:val="left"/>
        <w:rPr>
          <w:b/>
          <w:bCs/>
          <w:lang w:val="en-IN"/>
        </w:rPr>
      </w:pPr>
      <w:r>
        <w:rPr>
          <w:b/>
          <w:bCs/>
          <w:lang w:val="en-IN"/>
        </w:rPr>
        <w:lastRenderedPageBreak/>
        <w:t xml:space="preserve">Abstract </w:t>
      </w:r>
    </w:p>
    <w:p w14:paraId="5524223C" w14:textId="4F4AF6FC" w:rsidR="00D94646" w:rsidRDefault="00D94646" w:rsidP="00D94646">
      <w:pPr>
        <w:spacing w:line="360" w:lineRule="auto"/>
        <w:rPr>
          <w:lang w:val="en-IN"/>
        </w:rPr>
      </w:pPr>
      <w:r w:rsidRPr="00C723EE">
        <w:rPr>
          <w:lang w:val="en-IN"/>
        </w:rPr>
        <w:t>This report will discuss the theoretical conceptual foundations of accounting by beginning with the foundation of the double-entry bookkeeping; the accounting equation (Asset = Liabilities + Owner Equity). It explores how financial accounting assists business choices undertaken by investors, creditors and management, and the importance of financial statements in alleviating information asymmetry. The paper also discusses universal concepts of accounting, and the matching principle, as well as core accounting principles, such as accrual accounting and revenue recognition; these concepts are discussed in how they bring about precision and uniformity on financial report preparation. It also examines the interdependence of balance sheet, income statement as well as the cash flow statement; illustrating the relationship between profits, financial status and cash generation. The application examples of these concepts in practice in contemporary accounting may be observed in the application examples of real life based on such firms like Apple, Microsoft and Amazon</w:t>
      </w:r>
      <w:r w:rsidR="00867727">
        <w:rPr>
          <w:lang w:val="en-IN"/>
        </w:rPr>
        <w:t>.</w:t>
      </w:r>
    </w:p>
    <w:p w14:paraId="66423E5F" w14:textId="77777777" w:rsidR="00D94646" w:rsidRDefault="00D94646" w:rsidP="00D94646">
      <w:pPr>
        <w:jc w:val="left"/>
        <w:rPr>
          <w:lang w:val="en-IN"/>
        </w:rPr>
      </w:pPr>
      <w:r>
        <w:rPr>
          <w:lang w:val="en-IN"/>
        </w:rPr>
        <w:br w:type="page"/>
      </w:r>
    </w:p>
    <w:sdt>
      <w:sdtPr>
        <w:rPr>
          <w:rFonts w:ascii="Times New Roman" w:eastAsiaTheme="minorHAnsi" w:hAnsi="Times New Roman" w:cstheme="minorBidi"/>
          <w:color w:val="auto"/>
          <w:kern w:val="2"/>
          <w:sz w:val="24"/>
          <w:szCs w:val="30"/>
          <w:lang w:val="en-GB" w:eastAsia="en-US" w:bidi="th-TH"/>
          <w14:ligatures w14:val="standardContextual"/>
        </w:rPr>
        <w:id w:val="978107654"/>
        <w:docPartObj>
          <w:docPartGallery w:val="Table of Contents"/>
          <w:docPartUnique/>
        </w:docPartObj>
      </w:sdtPr>
      <w:sdtEndPr>
        <w:rPr>
          <w:b/>
          <w:bCs/>
        </w:rPr>
      </w:sdtEndPr>
      <w:sdtContent>
        <w:p w14:paraId="165FB5E7" w14:textId="77777777" w:rsidR="00D94646" w:rsidRPr="00C723EE" w:rsidRDefault="00D94646" w:rsidP="00D94646">
          <w:pPr>
            <w:pStyle w:val="TOCHeading"/>
            <w:spacing w:after="240"/>
            <w:rPr>
              <w:rFonts w:ascii="Times New Roman" w:hAnsi="Times New Roman" w:cs="Times New Roman"/>
              <w:b/>
              <w:bCs/>
              <w:color w:val="000000" w:themeColor="text1"/>
              <w:sz w:val="24"/>
              <w:szCs w:val="24"/>
            </w:rPr>
          </w:pPr>
          <w:r w:rsidRPr="00C723EE">
            <w:rPr>
              <w:rFonts w:ascii="Times New Roman" w:hAnsi="Times New Roman" w:cs="Times New Roman"/>
              <w:b/>
              <w:bCs/>
              <w:color w:val="000000" w:themeColor="text1"/>
              <w:sz w:val="24"/>
              <w:szCs w:val="24"/>
              <w:lang w:val="en-GB"/>
            </w:rPr>
            <w:t>Table of Contents</w:t>
          </w:r>
        </w:p>
        <w:p w14:paraId="70D22E44" w14:textId="77777777" w:rsidR="00D94646" w:rsidRPr="00C723EE" w:rsidRDefault="00D94646" w:rsidP="00D94646">
          <w:pPr>
            <w:pStyle w:val="TOC1"/>
            <w:tabs>
              <w:tab w:val="right" w:leader="dot" w:pos="9016"/>
            </w:tabs>
            <w:spacing w:after="240"/>
            <w:rPr>
              <w:rFonts w:cs="Times New Roman"/>
              <w:noProof/>
              <w:color w:val="000000" w:themeColor="text1"/>
              <w:szCs w:val="24"/>
            </w:rPr>
          </w:pPr>
          <w:r w:rsidRPr="00C723EE">
            <w:rPr>
              <w:rFonts w:cs="Times New Roman"/>
              <w:color w:val="000000" w:themeColor="text1"/>
              <w:szCs w:val="24"/>
            </w:rPr>
            <w:fldChar w:fldCharType="begin"/>
          </w:r>
          <w:r w:rsidRPr="00C723EE">
            <w:rPr>
              <w:rFonts w:cs="Times New Roman"/>
              <w:color w:val="000000" w:themeColor="text1"/>
              <w:szCs w:val="24"/>
            </w:rPr>
            <w:instrText xml:space="preserve"> TOC \o "1-3" \h \z \u </w:instrText>
          </w:r>
          <w:r w:rsidRPr="00C723EE">
            <w:rPr>
              <w:rFonts w:cs="Times New Roman"/>
              <w:color w:val="000000" w:themeColor="text1"/>
              <w:szCs w:val="24"/>
            </w:rPr>
            <w:fldChar w:fldCharType="separate"/>
          </w:r>
          <w:hyperlink w:anchor="_Toc236918269" w:history="1">
            <w:r w:rsidRPr="00C723EE">
              <w:rPr>
                <w:rStyle w:val="Hyperlink"/>
                <w:rFonts w:cs="Times New Roman"/>
                <w:noProof/>
                <w:color w:val="000000" w:themeColor="text1"/>
                <w:szCs w:val="24"/>
              </w:rPr>
              <w:t>1. Introduction</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_Toc236918269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4</w:t>
            </w:r>
            <w:r w:rsidRPr="00C723EE">
              <w:rPr>
                <w:rFonts w:cs="Times New Roman"/>
                <w:noProof/>
                <w:webHidden/>
                <w:color w:val="000000" w:themeColor="text1"/>
                <w:szCs w:val="24"/>
              </w:rPr>
              <w:fldChar w:fldCharType="end"/>
            </w:r>
          </w:hyperlink>
        </w:p>
        <w:p w14:paraId="4A45CE41" w14:textId="77777777" w:rsidR="00D94646" w:rsidRPr="00C723EE" w:rsidRDefault="00D94646" w:rsidP="00D94646">
          <w:pPr>
            <w:pStyle w:val="TOC1"/>
            <w:tabs>
              <w:tab w:val="right" w:leader="dot" w:pos="9016"/>
            </w:tabs>
            <w:spacing w:after="240"/>
            <w:rPr>
              <w:rFonts w:cs="Times New Roman"/>
              <w:noProof/>
              <w:color w:val="000000" w:themeColor="text1"/>
              <w:szCs w:val="24"/>
            </w:rPr>
          </w:pPr>
          <w:hyperlink w:anchor="_Toc236918270" w:history="1">
            <w:r w:rsidRPr="00C723EE">
              <w:rPr>
                <w:rStyle w:val="Hyperlink"/>
                <w:rFonts w:cs="Times New Roman"/>
                <w:noProof/>
                <w:color w:val="000000" w:themeColor="text1"/>
                <w:szCs w:val="24"/>
              </w:rPr>
              <w:t>2. The Accounting Equation</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_Toc236918270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4</w:t>
            </w:r>
            <w:r w:rsidRPr="00C723EE">
              <w:rPr>
                <w:rFonts w:cs="Times New Roman"/>
                <w:noProof/>
                <w:webHidden/>
                <w:color w:val="000000" w:themeColor="text1"/>
                <w:szCs w:val="24"/>
              </w:rPr>
              <w:fldChar w:fldCharType="end"/>
            </w:r>
          </w:hyperlink>
        </w:p>
        <w:p w14:paraId="73066EA6"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71" w:history="1">
            <w:r w:rsidRPr="00C723EE">
              <w:rPr>
                <w:rStyle w:val="Hyperlink"/>
                <w:rFonts w:cs="Times New Roman"/>
                <w:noProof/>
                <w:color w:val="000000" w:themeColor="text1"/>
                <w:szCs w:val="24"/>
              </w:rPr>
              <w:t>2.1 Meaning and Structure</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_Toc236918271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4</w:t>
            </w:r>
            <w:r w:rsidRPr="00C723EE">
              <w:rPr>
                <w:rFonts w:cs="Times New Roman"/>
                <w:noProof/>
                <w:webHidden/>
                <w:color w:val="000000" w:themeColor="text1"/>
                <w:szCs w:val="24"/>
              </w:rPr>
              <w:fldChar w:fldCharType="end"/>
            </w:r>
          </w:hyperlink>
        </w:p>
        <w:p w14:paraId="58CFCABE"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72" w:history="1">
            <w:r w:rsidRPr="00C723EE">
              <w:rPr>
                <w:rStyle w:val="Hyperlink"/>
                <w:rFonts w:cs="Times New Roman"/>
                <w:noProof/>
                <w:color w:val="000000" w:themeColor="text1"/>
                <w:szCs w:val="24"/>
              </w:rPr>
              <w:t>2.2 Real-World Illustration</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_Toc236918272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4</w:t>
            </w:r>
            <w:r w:rsidRPr="00C723EE">
              <w:rPr>
                <w:rFonts w:cs="Times New Roman"/>
                <w:noProof/>
                <w:webHidden/>
                <w:color w:val="000000" w:themeColor="text1"/>
                <w:szCs w:val="24"/>
              </w:rPr>
              <w:fldChar w:fldCharType="end"/>
            </w:r>
          </w:hyperlink>
        </w:p>
        <w:p w14:paraId="36A1BF5A" w14:textId="77777777" w:rsidR="00D94646" w:rsidRPr="00C723EE" w:rsidRDefault="00D94646" w:rsidP="00D94646">
          <w:pPr>
            <w:pStyle w:val="TOC1"/>
            <w:tabs>
              <w:tab w:val="right" w:leader="dot" w:pos="9016"/>
            </w:tabs>
            <w:spacing w:after="240"/>
            <w:rPr>
              <w:rFonts w:cs="Times New Roman"/>
              <w:noProof/>
              <w:color w:val="000000" w:themeColor="text1"/>
              <w:szCs w:val="24"/>
            </w:rPr>
          </w:pPr>
          <w:hyperlink w:anchor="_Toc236918273" w:history="1">
            <w:r w:rsidRPr="00C723EE">
              <w:rPr>
                <w:rStyle w:val="Hyperlink"/>
                <w:rFonts w:cs="Times New Roman"/>
                <w:noProof/>
                <w:color w:val="000000" w:themeColor="text1"/>
                <w:szCs w:val="24"/>
              </w:rPr>
              <w:t>3. Role of Financial Accounting in Business Decision-Making</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_Toc236918273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5</w:t>
            </w:r>
            <w:r w:rsidRPr="00C723EE">
              <w:rPr>
                <w:rFonts w:cs="Times New Roman"/>
                <w:noProof/>
                <w:webHidden/>
                <w:color w:val="000000" w:themeColor="text1"/>
                <w:szCs w:val="24"/>
              </w:rPr>
              <w:fldChar w:fldCharType="end"/>
            </w:r>
          </w:hyperlink>
        </w:p>
        <w:p w14:paraId="7636C1D9"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74" w:history="1">
            <w:r w:rsidRPr="00C723EE">
              <w:rPr>
                <w:rStyle w:val="Hyperlink"/>
                <w:rFonts w:cs="Times New Roman"/>
                <w:noProof/>
                <w:color w:val="000000" w:themeColor="text1"/>
                <w:szCs w:val="24"/>
              </w:rPr>
              <w:t>3.1 Investors</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_Toc236918274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5</w:t>
            </w:r>
            <w:r w:rsidRPr="00C723EE">
              <w:rPr>
                <w:rFonts w:cs="Times New Roman"/>
                <w:noProof/>
                <w:webHidden/>
                <w:color w:val="000000" w:themeColor="text1"/>
                <w:szCs w:val="24"/>
              </w:rPr>
              <w:fldChar w:fldCharType="end"/>
            </w:r>
          </w:hyperlink>
        </w:p>
        <w:p w14:paraId="2DB7A016"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75" w:history="1">
            <w:r w:rsidRPr="00C723EE">
              <w:rPr>
                <w:rStyle w:val="Hyperlink"/>
                <w:rFonts w:cs="Times New Roman"/>
                <w:noProof/>
                <w:color w:val="000000" w:themeColor="text1"/>
                <w:szCs w:val="24"/>
              </w:rPr>
              <w:t>3.2 Creditors and Banks</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_Toc236918275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5</w:t>
            </w:r>
            <w:r w:rsidRPr="00C723EE">
              <w:rPr>
                <w:rFonts w:cs="Times New Roman"/>
                <w:noProof/>
                <w:webHidden/>
                <w:color w:val="000000" w:themeColor="text1"/>
                <w:szCs w:val="24"/>
              </w:rPr>
              <w:fldChar w:fldCharType="end"/>
            </w:r>
          </w:hyperlink>
        </w:p>
        <w:p w14:paraId="78854860"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76" w:history="1">
            <w:r w:rsidRPr="00C723EE">
              <w:rPr>
                <w:rStyle w:val="Hyperlink"/>
                <w:rFonts w:cs="Times New Roman"/>
                <w:noProof/>
                <w:color w:val="000000" w:themeColor="text1"/>
                <w:szCs w:val="24"/>
              </w:rPr>
              <w:t>3.3 Management</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_Toc236918276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6</w:t>
            </w:r>
            <w:r w:rsidRPr="00C723EE">
              <w:rPr>
                <w:rFonts w:cs="Times New Roman"/>
                <w:noProof/>
                <w:webHidden/>
                <w:color w:val="000000" w:themeColor="text1"/>
                <w:szCs w:val="24"/>
              </w:rPr>
              <w:fldChar w:fldCharType="end"/>
            </w:r>
          </w:hyperlink>
        </w:p>
        <w:p w14:paraId="2C3689A8"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77" w:history="1">
            <w:r w:rsidRPr="00C723EE">
              <w:rPr>
                <w:rStyle w:val="Hyperlink"/>
                <w:rFonts w:cs="Times New Roman"/>
                <w:noProof/>
                <w:color w:val="000000" w:themeColor="text1"/>
                <w:szCs w:val="24"/>
              </w:rPr>
              <w:t>3.4 Importance of Financial Statements</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_Toc236918277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6</w:t>
            </w:r>
            <w:r w:rsidRPr="00C723EE">
              <w:rPr>
                <w:rFonts w:cs="Times New Roman"/>
                <w:noProof/>
                <w:webHidden/>
                <w:color w:val="000000" w:themeColor="text1"/>
                <w:szCs w:val="24"/>
              </w:rPr>
              <w:fldChar w:fldCharType="end"/>
            </w:r>
          </w:hyperlink>
        </w:p>
        <w:p w14:paraId="434BB265" w14:textId="77777777" w:rsidR="00D94646" w:rsidRPr="00C723EE" w:rsidRDefault="00D94646" w:rsidP="00D94646">
          <w:pPr>
            <w:pStyle w:val="TOC1"/>
            <w:tabs>
              <w:tab w:val="right" w:leader="dot" w:pos="9016"/>
            </w:tabs>
            <w:spacing w:after="240"/>
            <w:rPr>
              <w:rFonts w:cs="Times New Roman"/>
              <w:noProof/>
              <w:color w:val="000000" w:themeColor="text1"/>
              <w:szCs w:val="24"/>
            </w:rPr>
          </w:pPr>
          <w:hyperlink w:anchor="_Toc236918278" w:history="1">
            <w:r w:rsidRPr="00C723EE">
              <w:rPr>
                <w:rStyle w:val="Hyperlink"/>
                <w:rFonts w:cs="Times New Roman"/>
                <w:noProof/>
                <w:color w:val="000000" w:themeColor="text1"/>
                <w:szCs w:val="24"/>
              </w:rPr>
              <w:t>4. Key Principles Underlying Accounting Practices</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_Toc236918278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6</w:t>
            </w:r>
            <w:r w:rsidRPr="00C723EE">
              <w:rPr>
                <w:rFonts w:cs="Times New Roman"/>
                <w:noProof/>
                <w:webHidden/>
                <w:color w:val="000000" w:themeColor="text1"/>
                <w:szCs w:val="24"/>
              </w:rPr>
              <w:fldChar w:fldCharType="end"/>
            </w:r>
          </w:hyperlink>
        </w:p>
        <w:p w14:paraId="4A07A7A7"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79" w:history="1">
            <w:r w:rsidRPr="00C723EE">
              <w:rPr>
                <w:rStyle w:val="Hyperlink"/>
                <w:rFonts w:cs="Times New Roman"/>
                <w:noProof/>
                <w:color w:val="000000" w:themeColor="text1"/>
                <w:szCs w:val="24"/>
              </w:rPr>
              <w:t>4.1 Accrual Accounting</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_Toc236918279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6</w:t>
            </w:r>
            <w:r w:rsidRPr="00C723EE">
              <w:rPr>
                <w:rFonts w:cs="Times New Roman"/>
                <w:noProof/>
                <w:webHidden/>
                <w:color w:val="000000" w:themeColor="text1"/>
                <w:szCs w:val="24"/>
              </w:rPr>
              <w:fldChar w:fldCharType="end"/>
            </w:r>
          </w:hyperlink>
        </w:p>
        <w:p w14:paraId="22B79F24"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80" w:history="1">
            <w:r w:rsidRPr="00C723EE">
              <w:rPr>
                <w:rStyle w:val="Hyperlink"/>
                <w:rFonts w:cs="Times New Roman"/>
                <w:noProof/>
                <w:color w:val="000000" w:themeColor="text1"/>
                <w:szCs w:val="24"/>
              </w:rPr>
              <w:t>4.2 Matching Principle</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_Toc236918280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7</w:t>
            </w:r>
            <w:r w:rsidRPr="00C723EE">
              <w:rPr>
                <w:rFonts w:cs="Times New Roman"/>
                <w:noProof/>
                <w:webHidden/>
                <w:color w:val="000000" w:themeColor="text1"/>
                <w:szCs w:val="24"/>
              </w:rPr>
              <w:fldChar w:fldCharType="end"/>
            </w:r>
          </w:hyperlink>
        </w:p>
        <w:p w14:paraId="7960EA03"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81" w:history="1">
            <w:r w:rsidRPr="00C723EE">
              <w:rPr>
                <w:rStyle w:val="Hyperlink"/>
                <w:rFonts w:cs="Times New Roman"/>
                <w:noProof/>
                <w:color w:val="000000" w:themeColor="text1"/>
                <w:szCs w:val="24"/>
              </w:rPr>
              <w:t>4.3 Revenue Recognition Principle</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_Toc236918281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7</w:t>
            </w:r>
            <w:r w:rsidRPr="00C723EE">
              <w:rPr>
                <w:rFonts w:cs="Times New Roman"/>
                <w:noProof/>
                <w:webHidden/>
                <w:color w:val="000000" w:themeColor="text1"/>
                <w:szCs w:val="24"/>
              </w:rPr>
              <w:fldChar w:fldCharType="end"/>
            </w:r>
          </w:hyperlink>
        </w:p>
        <w:p w14:paraId="15FE6F4D" w14:textId="77777777" w:rsidR="00D94646" w:rsidRPr="00C723EE" w:rsidRDefault="00D94646" w:rsidP="00D94646">
          <w:pPr>
            <w:pStyle w:val="TOC1"/>
            <w:tabs>
              <w:tab w:val="right" w:leader="dot" w:pos="9016"/>
            </w:tabs>
            <w:spacing w:after="240"/>
            <w:rPr>
              <w:rFonts w:cs="Times New Roman"/>
              <w:noProof/>
              <w:color w:val="000000" w:themeColor="text1"/>
              <w:szCs w:val="24"/>
            </w:rPr>
          </w:pPr>
          <w:hyperlink w:anchor="_Toc236918282" w:history="1">
            <w:r w:rsidRPr="00C723EE">
              <w:rPr>
                <w:rStyle w:val="Hyperlink"/>
                <w:rFonts w:cs="Times New Roman"/>
                <w:noProof/>
                <w:color w:val="000000" w:themeColor="text1"/>
                <w:szCs w:val="24"/>
              </w:rPr>
              <w:t>5. Relationship Between the Balance Sheet, Income Statement, and Cash Flow Statement</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_Toc236918282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8</w:t>
            </w:r>
            <w:r w:rsidRPr="00C723EE">
              <w:rPr>
                <w:rFonts w:cs="Times New Roman"/>
                <w:noProof/>
                <w:webHidden/>
                <w:color w:val="000000" w:themeColor="text1"/>
                <w:szCs w:val="24"/>
              </w:rPr>
              <w:fldChar w:fldCharType="end"/>
            </w:r>
          </w:hyperlink>
        </w:p>
        <w:p w14:paraId="5D009A56"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83" w:history="1">
            <w:r w:rsidRPr="00C723EE">
              <w:rPr>
                <w:rStyle w:val="Hyperlink"/>
                <w:rFonts w:cs="Times New Roman"/>
                <w:noProof/>
                <w:color w:val="000000" w:themeColor="text1"/>
                <w:szCs w:val="24"/>
              </w:rPr>
              <w:t>5.1 Income Statement to Balance Sheet</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_Toc236918283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8</w:t>
            </w:r>
            <w:r w:rsidRPr="00C723EE">
              <w:rPr>
                <w:rFonts w:cs="Times New Roman"/>
                <w:noProof/>
                <w:webHidden/>
                <w:color w:val="000000" w:themeColor="text1"/>
                <w:szCs w:val="24"/>
              </w:rPr>
              <w:fldChar w:fldCharType="end"/>
            </w:r>
          </w:hyperlink>
        </w:p>
        <w:p w14:paraId="7B2DCC60"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84" w:history="1">
            <w:r w:rsidRPr="00C723EE">
              <w:rPr>
                <w:rStyle w:val="Hyperlink"/>
                <w:rFonts w:cs="Times New Roman"/>
                <w:noProof/>
                <w:color w:val="000000" w:themeColor="text1"/>
                <w:szCs w:val="24"/>
              </w:rPr>
              <w:t>5.2 Net Profit to Cash Flow</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_Toc236918284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8</w:t>
            </w:r>
            <w:r w:rsidRPr="00C723EE">
              <w:rPr>
                <w:rFonts w:cs="Times New Roman"/>
                <w:noProof/>
                <w:webHidden/>
                <w:color w:val="000000" w:themeColor="text1"/>
                <w:szCs w:val="24"/>
              </w:rPr>
              <w:fldChar w:fldCharType="end"/>
            </w:r>
          </w:hyperlink>
        </w:p>
        <w:p w14:paraId="270677BC" w14:textId="77777777" w:rsidR="00D94646" w:rsidRPr="00C723EE" w:rsidRDefault="00D94646" w:rsidP="00D94646">
          <w:pPr>
            <w:pStyle w:val="TOC2"/>
            <w:tabs>
              <w:tab w:val="right" w:leader="dot" w:pos="9016"/>
            </w:tabs>
            <w:spacing w:after="240"/>
            <w:rPr>
              <w:rFonts w:cs="Times New Roman"/>
              <w:noProof/>
              <w:color w:val="000000" w:themeColor="text1"/>
              <w:szCs w:val="24"/>
            </w:rPr>
          </w:pPr>
          <w:hyperlink w:anchor="_Toc236918285" w:history="1">
            <w:r w:rsidRPr="00C723EE">
              <w:rPr>
                <w:rStyle w:val="Hyperlink"/>
                <w:rFonts w:cs="Times New Roman"/>
                <w:noProof/>
                <w:color w:val="000000" w:themeColor="text1"/>
                <w:szCs w:val="24"/>
              </w:rPr>
              <w:t>5.3 Integrated View</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_Toc236918285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8</w:t>
            </w:r>
            <w:r w:rsidRPr="00C723EE">
              <w:rPr>
                <w:rFonts w:cs="Times New Roman"/>
                <w:noProof/>
                <w:webHidden/>
                <w:color w:val="000000" w:themeColor="text1"/>
                <w:szCs w:val="24"/>
              </w:rPr>
              <w:fldChar w:fldCharType="end"/>
            </w:r>
          </w:hyperlink>
        </w:p>
        <w:p w14:paraId="3E2C40B0" w14:textId="77777777" w:rsidR="00D94646" w:rsidRPr="00C723EE" w:rsidRDefault="00D94646" w:rsidP="00D94646">
          <w:pPr>
            <w:pStyle w:val="TOC1"/>
            <w:tabs>
              <w:tab w:val="right" w:leader="dot" w:pos="9016"/>
            </w:tabs>
            <w:spacing w:after="240"/>
            <w:rPr>
              <w:rFonts w:cs="Times New Roman"/>
              <w:noProof/>
              <w:color w:val="000000" w:themeColor="text1"/>
              <w:szCs w:val="24"/>
            </w:rPr>
          </w:pPr>
          <w:hyperlink w:anchor="_Toc236918286" w:history="1">
            <w:r w:rsidRPr="00C723EE">
              <w:rPr>
                <w:rStyle w:val="Hyperlink"/>
                <w:rFonts w:cs="Times New Roman"/>
                <w:noProof/>
                <w:color w:val="000000" w:themeColor="text1"/>
                <w:szCs w:val="24"/>
              </w:rPr>
              <w:t>6. Conclusion</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_Toc236918286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9</w:t>
            </w:r>
            <w:r w:rsidRPr="00C723EE">
              <w:rPr>
                <w:rFonts w:cs="Times New Roman"/>
                <w:noProof/>
                <w:webHidden/>
                <w:color w:val="000000" w:themeColor="text1"/>
                <w:szCs w:val="24"/>
              </w:rPr>
              <w:fldChar w:fldCharType="end"/>
            </w:r>
          </w:hyperlink>
        </w:p>
        <w:p w14:paraId="42BA6E2A" w14:textId="77777777" w:rsidR="00D94646" w:rsidRPr="00C723EE" w:rsidRDefault="00D94646" w:rsidP="00D94646">
          <w:pPr>
            <w:pStyle w:val="TOC1"/>
            <w:tabs>
              <w:tab w:val="right" w:leader="dot" w:pos="9016"/>
            </w:tabs>
            <w:spacing w:after="240"/>
            <w:rPr>
              <w:rFonts w:cs="Times New Roman"/>
              <w:noProof/>
              <w:color w:val="000000" w:themeColor="text1"/>
              <w:szCs w:val="24"/>
            </w:rPr>
          </w:pPr>
          <w:hyperlink w:anchor="_Toc236918287" w:history="1">
            <w:r w:rsidRPr="00C723EE">
              <w:rPr>
                <w:rStyle w:val="Hyperlink"/>
                <w:rFonts w:cs="Times New Roman"/>
                <w:noProof/>
                <w:color w:val="000000" w:themeColor="text1"/>
                <w:szCs w:val="24"/>
              </w:rPr>
              <w:t>References</w:t>
            </w:r>
            <w:r w:rsidRPr="00C723EE">
              <w:rPr>
                <w:rFonts w:cs="Times New Roman"/>
                <w:noProof/>
                <w:webHidden/>
                <w:color w:val="000000" w:themeColor="text1"/>
                <w:szCs w:val="24"/>
              </w:rPr>
              <w:tab/>
            </w:r>
            <w:r w:rsidRPr="00C723EE">
              <w:rPr>
                <w:rFonts w:cs="Times New Roman"/>
                <w:noProof/>
                <w:webHidden/>
                <w:color w:val="000000" w:themeColor="text1"/>
                <w:szCs w:val="24"/>
              </w:rPr>
              <w:fldChar w:fldCharType="begin"/>
            </w:r>
            <w:r w:rsidRPr="00C723EE">
              <w:rPr>
                <w:rFonts w:cs="Times New Roman"/>
                <w:noProof/>
                <w:webHidden/>
                <w:color w:val="000000" w:themeColor="text1"/>
                <w:szCs w:val="24"/>
              </w:rPr>
              <w:instrText xml:space="preserve"> PAGEREF _Toc236918287 \h </w:instrText>
            </w:r>
            <w:r w:rsidRPr="00C723EE">
              <w:rPr>
                <w:rFonts w:cs="Times New Roman"/>
                <w:noProof/>
                <w:webHidden/>
                <w:color w:val="000000" w:themeColor="text1"/>
                <w:szCs w:val="24"/>
              </w:rPr>
            </w:r>
            <w:r w:rsidRPr="00C723EE">
              <w:rPr>
                <w:rFonts w:cs="Times New Roman"/>
                <w:noProof/>
                <w:webHidden/>
                <w:color w:val="000000" w:themeColor="text1"/>
                <w:szCs w:val="24"/>
              </w:rPr>
              <w:fldChar w:fldCharType="separate"/>
            </w:r>
            <w:r w:rsidRPr="00C723EE">
              <w:rPr>
                <w:rFonts w:cs="Times New Roman"/>
                <w:noProof/>
                <w:webHidden/>
                <w:color w:val="000000" w:themeColor="text1"/>
                <w:szCs w:val="24"/>
              </w:rPr>
              <w:t>10</w:t>
            </w:r>
            <w:r w:rsidRPr="00C723EE">
              <w:rPr>
                <w:rFonts w:cs="Times New Roman"/>
                <w:noProof/>
                <w:webHidden/>
                <w:color w:val="000000" w:themeColor="text1"/>
                <w:szCs w:val="24"/>
              </w:rPr>
              <w:fldChar w:fldCharType="end"/>
            </w:r>
          </w:hyperlink>
        </w:p>
        <w:p w14:paraId="05210D04" w14:textId="77777777" w:rsidR="00D94646" w:rsidRDefault="00D94646" w:rsidP="00D94646">
          <w:pPr>
            <w:spacing w:after="240"/>
          </w:pPr>
          <w:r w:rsidRPr="00C723EE">
            <w:rPr>
              <w:rFonts w:cs="Times New Roman"/>
              <w:b/>
              <w:bCs/>
              <w:color w:val="000000" w:themeColor="text1"/>
              <w:szCs w:val="24"/>
              <w:lang w:val="en-GB"/>
            </w:rPr>
            <w:fldChar w:fldCharType="end"/>
          </w:r>
        </w:p>
      </w:sdtContent>
    </w:sdt>
    <w:p w14:paraId="5FFCF811" w14:textId="77777777" w:rsidR="00D94646" w:rsidRPr="00C723EE" w:rsidRDefault="00D94646" w:rsidP="00D94646">
      <w:pPr>
        <w:spacing w:line="360" w:lineRule="auto"/>
        <w:rPr>
          <w:lang w:val="en-IN"/>
        </w:rPr>
      </w:pPr>
      <w:r w:rsidRPr="00C723EE">
        <w:rPr>
          <w:lang w:val="en-IN"/>
        </w:rPr>
        <w:br w:type="page"/>
      </w:r>
    </w:p>
    <w:p w14:paraId="06C58510" w14:textId="77777777" w:rsidR="00D94646" w:rsidRPr="009B46C8" w:rsidRDefault="00D94646" w:rsidP="00D94646">
      <w:pPr>
        <w:pStyle w:val="Heading1"/>
        <w:spacing w:line="360" w:lineRule="auto"/>
      </w:pPr>
      <w:bookmarkStart w:id="0" w:name="_Toc236918269"/>
      <w:r w:rsidRPr="009B46C8">
        <w:lastRenderedPageBreak/>
        <w:t>1. Introduction</w:t>
      </w:r>
      <w:bookmarkEnd w:id="0"/>
    </w:p>
    <w:p w14:paraId="628E64F7" w14:textId="77777777" w:rsidR="00D94646" w:rsidRPr="009B46C8" w:rsidRDefault="00D94646" w:rsidP="00D94646">
      <w:pPr>
        <w:spacing w:line="360" w:lineRule="auto"/>
        <w:rPr>
          <w:lang w:val="en-IN"/>
        </w:rPr>
      </w:pPr>
      <w:r w:rsidRPr="009B46C8">
        <w:rPr>
          <w:lang w:val="en-IN"/>
        </w:rPr>
        <w:t>Accounting is termed as the language of business since it translates the economic activities into information which is usable by the owners, managers, investors and regulators. No single company, be it a small proprietorship or a multinational company, can imagine how it can operate without accounting records because they facilitate to track the availability of resources, liabilities, and performance. This report provides an analysis of the financial accounting equation; how financial accounting is involved in a decision-making process and the basic accounting principles as well as the relationship or association of the three most important financial statements with practical calculations</w:t>
      </w:r>
      <w:r>
        <w:rPr>
          <w:lang w:val="en-IN"/>
        </w:rPr>
        <w:t xml:space="preserve"> </w:t>
      </w:r>
      <w:r w:rsidRPr="00C723EE">
        <w:t>(Al Arbed, 2025)</w:t>
      </w:r>
      <w:r w:rsidRPr="009B46C8">
        <w:rPr>
          <w:lang w:val="en-IN"/>
        </w:rPr>
        <w:t>.</w:t>
      </w:r>
    </w:p>
    <w:p w14:paraId="0BC453BE" w14:textId="77777777" w:rsidR="00D94646" w:rsidRPr="009B46C8" w:rsidRDefault="00D94646" w:rsidP="00D94646">
      <w:pPr>
        <w:pStyle w:val="Heading1"/>
        <w:spacing w:line="360" w:lineRule="auto"/>
      </w:pPr>
      <w:bookmarkStart w:id="1" w:name="_Toc236918270"/>
      <w:r w:rsidRPr="009B46C8">
        <w:t>2. The Accounting Equation</w:t>
      </w:r>
      <w:bookmarkEnd w:id="1"/>
    </w:p>
    <w:p w14:paraId="05CD44BE" w14:textId="77777777" w:rsidR="00D94646" w:rsidRPr="009B46C8" w:rsidRDefault="00D94646" w:rsidP="00D94646">
      <w:pPr>
        <w:pStyle w:val="Heading2"/>
        <w:spacing w:line="360" w:lineRule="auto"/>
      </w:pPr>
      <w:bookmarkStart w:id="2" w:name="_Toc236918271"/>
      <w:r w:rsidRPr="009B46C8">
        <w:t>2.1 Meaning and Structure</w:t>
      </w:r>
      <w:bookmarkEnd w:id="2"/>
    </w:p>
    <w:p w14:paraId="2ED2E0A7" w14:textId="77777777" w:rsidR="00D94646" w:rsidRPr="009B46C8" w:rsidRDefault="00D94646" w:rsidP="00D94646">
      <w:pPr>
        <w:spacing w:line="360" w:lineRule="auto"/>
        <w:rPr>
          <w:lang w:val="en-IN"/>
        </w:rPr>
      </w:pPr>
      <w:r w:rsidRPr="009B46C8">
        <w:rPr>
          <w:lang w:val="en-IN"/>
        </w:rPr>
        <w:t>The accounting equation is the name of the foundation of the bookkeeping system adopted in the double entry: Assets = Liabilities + Owner Equity that was literally defined by Luca pacioli in 1494. Any transaction will intersect at least two of the accounts, and implies that there is never a balance of potential resources against potential claims</w:t>
      </w:r>
      <w:r>
        <w:rPr>
          <w:lang w:val="en-IN"/>
        </w:rPr>
        <w:t xml:space="preserve"> </w:t>
      </w:r>
      <w:r w:rsidRPr="00C723EE">
        <w:t>(Al Arbed, 2025)</w:t>
      </w:r>
      <w:r w:rsidRPr="009B46C8">
        <w:rPr>
          <w:lang w:val="en-IN"/>
        </w:rPr>
        <w:t>.</w:t>
      </w:r>
    </w:p>
    <w:p w14:paraId="6B011FE9" w14:textId="77777777" w:rsidR="00D94646" w:rsidRPr="009B46C8" w:rsidRDefault="00D94646" w:rsidP="00D94646">
      <w:pPr>
        <w:pStyle w:val="Heading2"/>
        <w:spacing w:line="360" w:lineRule="auto"/>
      </w:pPr>
      <w:bookmarkStart w:id="3" w:name="_Toc236918272"/>
      <w:r w:rsidRPr="009B46C8">
        <w:t>2.2 Real-World Illustration</w:t>
      </w:r>
      <w:bookmarkEnd w:id="3"/>
    </w:p>
    <w:p w14:paraId="25322528" w14:textId="77777777" w:rsidR="00D94646" w:rsidRPr="009B46C8" w:rsidRDefault="00D94646" w:rsidP="00D94646">
      <w:pPr>
        <w:spacing w:line="360" w:lineRule="auto"/>
        <w:rPr>
          <w:lang w:val="en-IN"/>
        </w:rPr>
      </w:pPr>
      <w:r w:rsidRPr="009B46C8">
        <w:rPr>
          <w:b/>
          <w:bCs/>
          <w:lang w:val="en-IN"/>
        </w:rPr>
        <w:t>Calculation (Apple Inc., FY2023, $ in billion, approximate):</w:t>
      </w:r>
    </w:p>
    <w:p w14:paraId="0FC83E95" w14:textId="77777777" w:rsidR="00D94646" w:rsidRPr="009B46C8" w:rsidRDefault="00D94646" w:rsidP="00D94646">
      <w:pPr>
        <w:spacing w:line="360" w:lineRule="auto"/>
        <w:rPr>
          <w:lang w:val="en-IN"/>
        </w:rPr>
      </w:pPr>
      <w:r w:rsidRPr="009B46C8">
        <w:rPr>
          <w:lang w:val="en-IN"/>
        </w:rPr>
        <w:t>Total Assets          = 352.6</w:t>
      </w:r>
    </w:p>
    <w:p w14:paraId="1015A5CF" w14:textId="77777777" w:rsidR="00D94646" w:rsidRPr="009B46C8" w:rsidRDefault="00D94646" w:rsidP="00D94646">
      <w:pPr>
        <w:spacing w:line="360" w:lineRule="auto"/>
        <w:rPr>
          <w:lang w:val="en-IN"/>
        </w:rPr>
      </w:pPr>
      <w:r w:rsidRPr="009B46C8">
        <w:rPr>
          <w:lang w:val="en-IN"/>
        </w:rPr>
        <w:t>Total Liabilities     = 290.4</w:t>
      </w:r>
    </w:p>
    <w:p w14:paraId="2986BB36" w14:textId="77777777" w:rsidR="00D94646" w:rsidRPr="009B46C8" w:rsidRDefault="00D94646" w:rsidP="00D94646">
      <w:pPr>
        <w:spacing w:line="360" w:lineRule="auto"/>
        <w:rPr>
          <w:lang w:val="en-IN"/>
        </w:rPr>
      </w:pPr>
      <w:r w:rsidRPr="009B46C8">
        <w:rPr>
          <w:lang w:val="en-IN"/>
        </w:rPr>
        <w:t>Equity = Assets − Liabilities</w:t>
      </w:r>
    </w:p>
    <w:p w14:paraId="30C8C542" w14:textId="77777777" w:rsidR="00D94646" w:rsidRPr="009B46C8" w:rsidRDefault="00D94646" w:rsidP="00D94646">
      <w:pPr>
        <w:spacing w:line="360" w:lineRule="auto"/>
        <w:rPr>
          <w:lang w:val="en-IN"/>
        </w:rPr>
      </w:pPr>
      <w:r w:rsidRPr="009B46C8">
        <w:rPr>
          <w:lang w:val="en-IN"/>
        </w:rPr>
        <w:t>Equity = 352.6 − 290.4 = 62.2</w:t>
      </w:r>
    </w:p>
    <w:p w14:paraId="21444920" w14:textId="77777777" w:rsidR="00D94646" w:rsidRPr="009B46C8" w:rsidRDefault="00D94646" w:rsidP="00D94646">
      <w:pPr>
        <w:spacing w:line="360" w:lineRule="auto"/>
        <w:rPr>
          <w:lang w:val="en-IN"/>
        </w:rPr>
      </w:pPr>
      <w:r w:rsidRPr="009B46C8">
        <w:rPr>
          <w:lang w:val="en-IN"/>
        </w:rPr>
        <w:t xml:space="preserve">Check: 352.6 = 290.4 + 62.2 </w:t>
      </w:r>
    </w:p>
    <w:p w14:paraId="53B6036D" w14:textId="77777777" w:rsidR="00D94646" w:rsidRPr="009B46C8" w:rsidRDefault="00D94646" w:rsidP="00D94646">
      <w:pPr>
        <w:spacing w:line="360" w:lineRule="auto"/>
        <w:rPr>
          <w:lang w:val="en-IN"/>
        </w:rPr>
      </w:pPr>
      <w:r w:rsidRPr="009B46C8">
        <w:rPr>
          <w:lang w:val="en-IN"/>
        </w:rPr>
        <w:t>In FY2023, Apple has a value of about a quarter trillion dollars of total assets and about a quarter trillion dollars of liabilities. A difference between the liabilities and assets of about 62.2 billion worth of equity can be achieved to complement with the company coordinated information. This is a clear demonstration that accounting equation is not merely a classroom formula that can be captured as a verifiable record of the positions of firms finances on any reporting date</w:t>
      </w:r>
      <w:r>
        <w:rPr>
          <w:lang w:val="en-IN"/>
        </w:rPr>
        <w:t xml:space="preserve"> </w:t>
      </w:r>
      <w:r w:rsidRPr="00C723EE">
        <w:t>(Al Arbed, 2025)</w:t>
      </w:r>
      <w:r w:rsidRPr="009B46C8">
        <w:rPr>
          <w:lang w:val="en-IN"/>
        </w:rPr>
        <w:t>.</w:t>
      </w:r>
    </w:p>
    <w:p w14:paraId="08AE4C49" w14:textId="77777777" w:rsidR="00D94646" w:rsidRPr="009B46C8" w:rsidRDefault="00D94646" w:rsidP="00D94646">
      <w:pPr>
        <w:pStyle w:val="Heading1"/>
        <w:spacing w:line="360" w:lineRule="auto"/>
      </w:pPr>
      <w:bookmarkStart w:id="4" w:name="_Toc236918273"/>
      <w:r w:rsidRPr="009B46C8">
        <w:lastRenderedPageBreak/>
        <w:t>3. Role of Financial Accounting in Business Decision-Making</w:t>
      </w:r>
      <w:bookmarkEnd w:id="4"/>
    </w:p>
    <w:p w14:paraId="21B13E46" w14:textId="77777777" w:rsidR="00D94646" w:rsidRPr="009B46C8" w:rsidRDefault="00D94646" w:rsidP="00D94646">
      <w:pPr>
        <w:pStyle w:val="Heading2"/>
        <w:spacing w:line="360" w:lineRule="auto"/>
      </w:pPr>
      <w:bookmarkStart w:id="5" w:name="_Toc236918274"/>
      <w:r w:rsidRPr="009B46C8">
        <w:t>3.1 Investors</w:t>
      </w:r>
      <w:bookmarkEnd w:id="5"/>
    </w:p>
    <w:p w14:paraId="27AECE49" w14:textId="77777777" w:rsidR="00D94646" w:rsidRPr="009B46C8" w:rsidRDefault="00D94646" w:rsidP="00D94646">
      <w:pPr>
        <w:spacing w:line="360" w:lineRule="auto"/>
        <w:rPr>
          <w:lang w:val="en-IN"/>
        </w:rPr>
      </w:pPr>
      <w:r w:rsidRPr="009B46C8">
        <w:rPr>
          <w:b/>
          <w:bCs/>
          <w:lang w:val="en-IN"/>
        </w:rPr>
        <w:t>Calculation (Microsoft, FY2023):</w:t>
      </w:r>
    </w:p>
    <w:p w14:paraId="782C8B9A" w14:textId="77777777" w:rsidR="00D94646" w:rsidRPr="009B46C8" w:rsidRDefault="00D94646" w:rsidP="00D94646">
      <w:pPr>
        <w:spacing w:line="360" w:lineRule="auto"/>
        <w:rPr>
          <w:lang w:val="en-IN"/>
        </w:rPr>
      </w:pPr>
      <w:r w:rsidRPr="009B46C8">
        <w:rPr>
          <w:lang w:val="en-IN"/>
        </w:rPr>
        <w:t>Net Profit         = $72.4 billion</w:t>
      </w:r>
    </w:p>
    <w:p w14:paraId="5FF47EEA" w14:textId="77777777" w:rsidR="00D94646" w:rsidRPr="009B46C8" w:rsidRDefault="00D94646" w:rsidP="00D94646">
      <w:pPr>
        <w:spacing w:line="360" w:lineRule="auto"/>
        <w:rPr>
          <w:lang w:val="en-IN"/>
        </w:rPr>
      </w:pPr>
      <w:r w:rsidRPr="009B46C8">
        <w:rPr>
          <w:lang w:val="en-IN"/>
        </w:rPr>
        <w:t>Shares Outstanding ≈ 7.43 billion</w:t>
      </w:r>
    </w:p>
    <w:p w14:paraId="41B5CD78" w14:textId="77777777" w:rsidR="00D94646" w:rsidRPr="009B46C8" w:rsidRDefault="00D94646" w:rsidP="00D94646">
      <w:pPr>
        <w:spacing w:line="360" w:lineRule="auto"/>
        <w:rPr>
          <w:lang w:val="en-IN"/>
        </w:rPr>
      </w:pPr>
      <w:r w:rsidRPr="009B46C8">
        <w:rPr>
          <w:lang w:val="en-IN"/>
        </w:rPr>
        <w:t>EPS = Net Profit ÷ Shares Outstanding</w:t>
      </w:r>
    </w:p>
    <w:p w14:paraId="76985519" w14:textId="77777777" w:rsidR="00D94646" w:rsidRPr="009B46C8" w:rsidRDefault="00D94646" w:rsidP="00D94646">
      <w:pPr>
        <w:spacing w:line="360" w:lineRule="auto"/>
        <w:rPr>
          <w:lang w:val="en-IN"/>
        </w:rPr>
      </w:pPr>
      <w:r w:rsidRPr="009B46C8">
        <w:rPr>
          <w:lang w:val="en-IN"/>
        </w:rPr>
        <w:t>EPS = 72.4 ÷ 7.43 ≈ $9.74</w:t>
      </w:r>
    </w:p>
    <w:p w14:paraId="4D059E7C" w14:textId="77777777" w:rsidR="00D94646" w:rsidRPr="009B46C8" w:rsidRDefault="00D94646" w:rsidP="00D94646">
      <w:pPr>
        <w:spacing w:line="360" w:lineRule="auto"/>
        <w:rPr>
          <w:lang w:val="en-IN"/>
        </w:rPr>
      </w:pPr>
      <w:r w:rsidRPr="009B46C8">
        <w:rPr>
          <w:lang w:val="en-IN"/>
        </w:rPr>
        <w:t>The net profit of Microsoft, when divided by outstanding Shares will give an EPS of about 9.74, just in line with an EPS of 9.68 that was reported by the company. Investors will make comparisons on the earning capacity of different companies of different sizes based on this per-share value, rather than on the actual earnings made by the company; and will decide whether the price is justified by the worth of a stock</w:t>
      </w:r>
      <w:r>
        <w:rPr>
          <w:lang w:val="en-IN"/>
        </w:rPr>
        <w:t xml:space="preserve"> </w:t>
      </w:r>
      <w:r w:rsidRPr="00C723EE">
        <w:t>(Olayinka, 2022)</w:t>
      </w:r>
      <w:r w:rsidRPr="009B46C8">
        <w:rPr>
          <w:lang w:val="en-IN"/>
        </w:rPr>
        <w:t>.</w:t>
      </w:r>
      <w:r>
        <w:rPr>
          <w:lang w:val="en-IN"/>
        </w:rPr>
        <w:t xml:space="preserve"> </w:t>
      </w:r>
      <w:r w:rsidRPr="009B46C8">
        <w:rPr>
          <w:lang w:val="en-IN"/>
        </w:rPr>
        <w:t xml:space="preserve">The slight change in the estimated EPS of </w:t>
      </w:r>
      <w:r>
        <w:rPr>
          <w:lang w:val="en-IN"/>
        </w:rPr>
        <w:t>$</w:t>
      </w:r>
      <w:r w:rsidRPr="009B46C8">
        <w:rPr>
          <w:lang w:val="en-IN"/>
        </w:rPr>
        <w:t xml:space="preserve">9.74 to the reported EPS of </w:t>
      </w:r>
      <w:r>
        <w:rPr>
          <w:lang w:val="en-IN"/>
        </w:rPr>
        <w:t>$</w:t>
      </w:r>
      <w:r w:rsidRPr="009B46C8">
        <w:rPr>
          <w:lang w:val="en-IN"/>
        </w:rPr>
        <w:t>9.68 is that diluted EPS actually considers the possible stock-option shares and restricted-unit shares, which are out of stock and thus, the basic computation of stock value of its outstanding shares exaggerates the earnings at a shareholder level. This distinction matters to investors, where highly compensated firms (including those in the technology industry where stock-based compensation is a dominant trait) tend to be vastly less profitable, when the effect of dilution is properly adjusted into valuation models</w:t>
      </w:r>
      <w:r>
        <w:rPr>
          <w:lang w:val="en-IN"/>
        </w:rPr>
        <w:t xml:space="preserve"> </w:t>
      </w:r>
      <w:r w:rsidRPr="00C723EE">
        <w:t>(Olayinka, 2022)</w:t>
      </w:r>
      <w:r w:rsidRPr="009B46C8">
        <w:rPr>
          <w:lang w:val="en-IN"/>
        </w:rPr>
        <w:t>.</w:t>
      </w:r>
    </w:p>
    <w:p w14:paraId="6B9DE55E" w14:textId="77777777" w:rsidR="00D94646" w:rsidRPr="009B46C8" w:rsidRDefault="00D94646" w:rsidP="00D94646">
      <w:pPr>
        <w:pStyle w:val="Heading2"/>
        <w:spacing w:line="360" w:lineRule="auto"/>
      </w:pPr>
      <w:bookmarkStart w:id="6" w:name="_Toc236918275"/>
      <w:r w:rsidRPr="009B46C8">
        <w:t>3.2 Creditors and Banks</w:t>
      </w:r>
      <w:bookmarkEnd w:id="6"/>
    </w:p>
    <w:p w14:paraId="23753DB0" w14:textId="77777777" w:rsidR="00D94646" w:rsidRPr="009B46C8" w:rsidRDefault="00D94646" w:rsidP="00D94646">
      <w:pPr>
        <w:spacing w:line="360" w:lineRule="auto"/>
        <w:rPr>
          <w:lang w:val="en-IN"/>
        </w:rPr>
      </w:pPr>
      <w:r w:rsidRPr="009B46C8">
        <w:rPr>
          <w:b/>
          <w:bCs/>
          <w:lang w:val="en-IN"/>
        </w:rPr>
        <w:t>Calculation (illustrative firm):</w:t>
      </w:r>
    </w:p>
    <w:p w14:paraId="63CC4A33" w14:textId="77777777" w:rsidR="00D94646" w:rsidRPr="009B46C8" w:rsidRDefault="00D94646" w:rsidP="00D94646">
      <w:pPr>
        <w:spacing w:line="360" w:lineRule="auto"/>
        <w:rPr>
          <w:lang w:val="en-IN"/>
        </w:rPr>
      </w:pPr>
      <w:r w:rsidRPr="009B46C8">
        <w:rPr>
          <w:lang w:val="en-IN"/>
        </w:rPr>
        <w:t>Current Assets      = $4,00,000</w:t>
      </w:r>
    </w:p>
    <w:p w14:paraId="2F476863" w14:textId="77777777" w:rsidR="00D94646" w:rsidRPr="009B46C8" w:rsidRDefault="00D94646" w:rsidP="00D94646">
      <w:pPr>
        <w:spacing w:line="360" w:lineRule="auto"/>
        <w:rPr>
          <w:lang w:val="en-IN"/>
        </w:rPr>
      </w:pPr>
      <w:r w:rsidRPr="009B46C8">
        <w:rPr>
          <w:lang w:val="en-IN"/>
        </w:rPr>
        <w:t>Current Liabilities = $5,00,000</w:t>
      </w:r>
    </w:p>
    <w:p w14:paraId="617C59FB" w14:textId="77777777" w:rsidR="00D94646" w:rsidRPr="009B46C8" w:rsidRDefault="00D94646" w:rsidP="00D94646">
      <w:pPr>
        <w:spacing w:line="360" w:lineRule="auto"/>
        <w:rPr>
          <w:lang w:val="en-IN"/>
        </w:rPr>
      </w:pPr>
      <w:r w:rsidRPr="009B46C8">
        <w:rPr>
          <w:lang w:val="en-IN"/>
        </w:rPr>
        <w:t>Current Ratio = Current Assets ÷ Current Liabilities</w:t>
      </w:r>
    </w:p>
    <w:p w14:paraId="7A94DEFA" w14:textId="77777777" w:rsidR="00D94646" w:rsidRPr="009B46C8" w:rsidRDefault="00D94646" w:rsidP="00D94646">
      <w:pPr>
        <w:spacing w:line="360" w:lineRule="auto"/>
        <w:rPr>
          <w:lang w:val="en-IN"/>
        </w:rPr>
      </w:pPr>
      <w:r w:rsidRPr="009B46C8">
        <w:rPr>
          <w:lang w:val="en-IN"/>
        </w:rPr>
        <w:t>Current Ratio = 4,00,000 ÷ 5,00,000 = 0.8</w:t>
      </w:r>
    </w:p>
    <w:p w14:paraId="3C3B1322" w14:textId="77777777" w:rsidR="00D94646" w:rsidRPr="009B46C8" w:rsidRDefault="00D94646" w:rsidP="00D94646">
      <w:pPr>
        <w:spacing w:line="360" w:lineRule="auto"/>
        <w:rPr>
          <w:lang w:val="en-IN"/>
        </w:rPr>
      </w:pPr>
      <w:r w:rsidRPr="009B46C8">
        <w:rPr>
          <w:lang w:val="en-IN"/>
        </w:rPr>
        <w:t>The current ratio is below 1, that is, it is 0.8 which is less than 1 hence showing that the current assets could not fully pay off the current liabilities. Companies who compute this ratio prior to granting credit would consider this firm a riskier borrower and could either seek collateral or turn down the loan</w:t>
      </w:r>
      <w:r>
        <w:rPr>
          <w:lang w:val="en-IN"/>
        </w:rPr>
        <w:t xml:space="preserve"> </w:t>
      </w:r>
      <w:r w:rsidRPr="00C723EE">
        <w:t>(Blessing and Sakouvogui, 2023)</w:t>
      </w:r>
      <w:r w:rsidRPr="009B46C8">
        <w:rPr>
          <w:lang w:val="en-IN"/>
        </w:rPr>
        <w:t>.</w:t>
      </w:r>
    </w:p>
    <w:p w14:paraId="4159D1FF" w14:textId="77777777" w:rsidR="00D94646" w:rsidRPr="009B46C8" w:rsidRDefault="00D94646" w:rsidP="00D94646">
      <w:pPr>
        <w:pStyle w:val="Heading2"/>
        <w:spacing w:line="360" w:lineRule="auto"/>
      </w:pPr>
      <w:bookmarkStart w:id="7" w:name="_Toc236918276"/>
      <w:r w:rsidRPr="009B46C8">
        <w:lastRenderedPageBreak/>
        <w:t>3.3 Management</w:t>
      </w:r>
      <w:bookmarkEnd w:id="7"/>
    </w:p>
    <w:p w14:paraId="2DDA0AE4" w14:textId="77777777" w:rsidR="00D94646" w:rsidRPr="009B46C8" w:rsidRDefault="00D94646" w:rsidP="00D94646">
      <w:pPr>
        <w:spacing w:line="360" w:lineRule="auto"/>
        <w:rPr>
          <w:lang w:val="en-IN"/>
        </w:rPr>
      </w:pPr>
      <w:r w:rsidRPr="009B46C8">
        <w:rPr>
          <w:b/>
          <w:bCs/>
          <w:lang w:val="en-IN"/>
        </w:rPr>
        <w:t>Calculation (Amazon, 2023, approximate):</w:t>
      </w:r>
    </w:p>
    <w:p w14:paraId="20E08BD8" w14:textId="77777777" w:rsidR="00D94646" w:rsidRPr="009B46C8" w:rsidRDefault="00D94646" w:rsidP="00D94646">
      <w:pPr>
        <w:spacing w:line="360" w:lineRule="auto"/>
        <w:rPr>
          <w:lang w:val="en-IN"/>
        </w:rPr>
      </w:pPr>
      <w:r w:rsidRPr="009B46C8">
        <w:rPr>
          <w:lang w:val="en-IN"/>
        </w:rPr>
        <w:t>Total Revenue            ≈ $574 billion</w:t>
      </w:r>
    </w:p>
    <w:p w14:paraId="6161AE17" w14:textId="77777777" w:rsidR="00D94646" w:rsidRPr="009B46C8" w:rsidRDefault="00D94646" w:rsidP="00D94646">
      <w:pPr>
        <w:spacing w:line="360" w:lineRule="auto"/>
        <w:rPr>
          <w:lang w:val="en-IN"/>
        </w:rPr>
      </w:pPr>
      <w:r w:rsidRPr="009B46C8">
        <w:rPr>
          <w:lang w:val="en-IN"/>
        </w:rPr>
        <w:t>AWS Revenue              ≈ $91 billion</w:t>
      </w:r>
    </w:p>
    <w:p w14:paraId="7B609346" w14:textId="77777777" w:rsidR="00D94646" w:rsidRPr="009B46C8" w:rsidRDefault="00D94646" w:rsidP="00D94646">
      <w:pPr>
        <w:spacing w:line="360" w:lineRule="auto"/>
        <w:rPr>
          <w:lang w:val="en-IN"/>
        </w:rPr>
      </w:pPr>
      <w:r w:rsidRPr="009B46C8">
        <w:rPr>
          <w:lang w:val="en-IN"/>
        </w:rPr>
        <w:t>AWS % of Revenue = 91 ÷ 574 × 100 ≈ 15.9%</w:t>
      </w:r>
    </w:p>
    <w:p w14:paraId="42FEEC5A" w14:textId="77777777" w:rsidR="00D94646" w:rsidRPr="009B46C8" w:rsidRDefault="00D94646" w:rsidP="00D94646">
      <w:pPr>
        <w:spacing w:line="360" w:lineRule="auto"/>
        <w:rPr>
          <w:lang w:val="en-IN"/>
        </w:rPr>
      </w:pPr>
      <w:r w:rsidRPr="009B46C8">
        <w:rPr>
          <w:lang w:val="en-IN"/>
        </w:rPr>
        <w:t>Total Operating Income   ≈ $36.9 billion</w:t>
      </w:r>
    </w:p>
    <w:p w14:paraId="48BDFF5A" w14:textId="77777777" w:rsidR="00D94646" w:rsidRPr="009B46C8" w:rsidRDefault="00D94646" w:rsidP="00D94646">
      <w:pPr>
        <w:spacing w:line="360" w:lineRule="auto"/>
        <w:rPr>
          <w:lang w:val="en-IN"/>
        </w:rPr>
      </w:pPr>
      <w:r w:rsidRPr="009B46C8">
        <w:rPr>
          <w:lang w:val="en-IN"/>
        </w:rPr>
        <w:t>AWS Operating Income     ≈ $24.6 billion</w:t>
      </w:r>
    </w:p>
    <w:p w14:paraId="3BFA048D" w14:textId="77777777" w:rsidR="00D94646" w:rsidRPr="009B46C8" w:rsidRDefault="00D94646" w:rsidP="00D94646">
      <w:pPr>
        <w:spacing w:line="360" w:lineRule="auto"/>
        <w:rPr>
          <w:lang w:val="en-IN"/>
        </w:rPr>
      </w:pPr>
      <w:r w:rsidRPr="009B46C8">
        <w:rPr>
          <w:lang w:val="en-IN"/>
        </w:rPr>
        <w:t>AWS % of Operating Income = 24.6 ÷ 36.9 × 100 ≈ 66.7%</w:t>
      </w:r>
    </w:p>
    <w:p w14:paraId="018D5B6F" w14:textId="77777777" w:rsidR="00D94646" w:rsidRPr="009B46C8" w:rsidRDefault="00D94646" w:rsidP="00D94646">
      <w:pPr>
        <w:spacing w:line="360" w:lineRule="auto"/>
        <w:rPr>
          <w:lang w:val="en-IN"/>
        </w:rPr>
      </w:pPr>
      <w:r w:rsidRPr="009B46C8">
        <w:rPr>
          <w:lang w:val="en-IN"/>
        </w:rPr>
        <w:t>When one estimates the percentage of share of AWS out of the total earnings of Amazon, it is hardly over 16 percent, but its share in operating income is almost 67 percent. That, which would be perceived solely in terms of segment-based accounting, is the cause of why Amazon management is putting money in capital investment into cloud-based infrastructure as opposed to expanding its retail at low margins</w:t>
      </w:r>
      <w:r>
        <w:rPr>
          <w:lang w:val="en-IN"/>
        </w:rPr>
        <w:t xml:space="preserve"> </w:t>
      </w:r>
      <w:r w:rsidRPr="00C723EE">
        <w:t>(Kouaib and Amara, 2022)</w:t>
      </w:r>
      <w:r w:rsidRPr="009B46C8">
        <w:rPr>
          <w:lang w:val="en-IN"/>
        </w:rPr>
        <w:t>.</w:t>
      </w:r>
    </w:p>
    <w:p w14:paraId="26F96C5F" w14:textId="77777777" w:rsidR="00D94646" w:rsidRPr="009B46C8" w:rsidRDefault="00D94646" w:rsidP="00D94646">
      <w:pPr>
        <w:pStyle w:val="Heading2"/>
        <w:spacing w:line="360" w:lineRule="auto"/>
      </w:pPr>
      <w:bookmarkStart w:id="8" w:name="_Toc236918277"/>
      <w:r w:rsidRPr="009B46C8">
        <w:t>3.4 Importance of Financial Statements</w:t>
      </w:r>
      <w:bookmarkEnd w:id="8"/>
    </w:p>
    <w:p w14:paraId="49BF3115" w14:textId="585CE947" w:rsidR="00D94646" w:rsidRPr="002828A8" w:rsidRDefault="00D94646" w:rsidP="00D94646">
      <w:pPr>
        <w:spacing w:line="360" w:lineRule="auto"/>
      </w:pPr>
      <w:r w:rsidRPr="009B46C8">
        <w:rPr>
          <w:lang w:val="en-IN"/>
        </w:rPr>
        <w:t>Comparisons can be made on a regular platform in terms of standardized statements of a company such as Ford or General Motors, or Coca-Cola or PepsiCo. Periodic disclosure is required by regulators like SEC and the issuing bodies of IFRSs since these statements minimize the information asymmetry and safeguard stakeholders</w:t>
      </w:r>
      <w:r>
        <w:rPr>
          <w:lang w:val="en-IN"/>
        </w:rPr>
        <w:t xml:space="preserve"> </w:t>
      </w:r>
      <w:r w:rsidRPr="00C723EE">
        <w:t>(Kouaib and Amara, 2022)</w:t>
      </w:r>
      <w:r w:rsidR="002828A8">
        <w:t>.</w:t>
      </w:r>
    </w:p>
    <w:p w14:paraId="46CADD4A" w14:textId="77777777" w:rsidR="00D94646" w:rsidRPr="009B46C8" w:rsidRDefault="00D94646" w:rsidP="00D94646">
      <w:pPr>
        <w:pStyle w:val="Heading1"/>
        <w:spacing w:line="360" w:lineRule="auto"/>
      </w:pPr>
      <w:bookmarkStart w:id="9" w:name="_Toc236918278"/>
      <w:r w:rsidRPr="009B46C8">
        <w:t>4. Key Principles Underlying Accounting Practices</w:t>
      </w:r>
      <w:bookmarkEnd w:id="9"/>
    </w:p>
    <w:p w14:paraId="6F983C31" w14:textId="77777777" w:rsidR="00D94646" w:rsidRPr="009B46C8" w:rsidRDefault="00D94646" w:rsidP="00D94646">
      <w:pPr>
        <w:pStyle w:val="Heading2"/>
        <w:spacing w:line="360" w:lineRule="auto"/>
      </w:pPr>
      <w:bookmarkStart w:id="10" w:name="_Toc236918279"/>
      <w:r w:rsidRPr="009B46C8">
        <w:t>4.1 Accrual Accounting</w:t>
      </w:r>
      <w:bookmarkEnd w:id="10"/>
    </w:p>
    <w:p w14:paraId="3E4A1B9D" w14:textId="77777777" w:rsidR="00D94646" w:rsidRPr="009B46C8" w:rsidRDefault="00D94646" w:rsidP="00D94646">
      <w:pPr>
        <w:spacing w:line="360" w:lineRule="auto"/>
        <w:rPr>
          <w:lang w:val="en-IN"/>
        </w:rPr>
      </w:pPr>
      <w:r w:rsidRPr="009B46C8">
        <w:rPr>
          <w:b/>
          <w:bCs/>
          <w:lang w:val="en-IN"/>
        </w:rPr>
        <w:t>Calculation (illustrative example):</w:t>
      </w:r>
    </w:p>
    <w:p w14:paraId="3C121A98" w14:textId="77777777" w:rsidR="00D94646" w:rsidRPr="009B46C8" w:rsidRDefault="00D94646" w:rsidP="00D94646">
      <w:pPr>
        <w:spacing w:line="360" w:lineRule="auto"/>
        <w:rPr>
          <w:lang w:val="en-IN"/>
        </w:rPr>
      </w:pPr>
      <w:r w:rsidRPr="009B46C8">
        <w:rPr>
          <w:lang w:val="en-IN"/>
        </w:rPr>
        <w:t>Service rendered in March, payment received in April</w:t>
      </w:r>
    </w:p>
    <w:p w14:paraId="1D931AC7" w14:textId="77777777" w:rsidR="00D94646" w:rsidRPr="009B46C8" w:rsidRDefault="00D94646" w:rsidP="00D94646">
      <w:pPr>
        <w:spacing w:line="360" w:lineRule="auto"/>
        <w:rPr>
          <w:lang w:val="en-IN"/>
        </w:rPr>
      </w:pPr>
      <w:r w:rsidRPr="009B46C8">
        <w:rPr>
          <w:lang w:val="en-IN"/>
        </w:rPr>
        <w:t>Revenue recorded under accrual basis = March</w:t>
      </w:r>
    </w:p>
    <w:p w14:paraId="2F770ACD" w14:textId="77777777" w:rsidR="00D94646" w:rsidRPr="009B46C8" w:rsidRDefault="00D94646" w:rsidP="00D94646">
      <w:pPr>
        <w:spacing w:line="360" w:lineRule="auto"/>
        <w:rPr>
          <w:lang w:val="en-IN"/>
        </w:rPr>
      </w:pPr>
      <w:r w:rsidRPr="009B46C8">
        <w:rPr>
          <w:lang w:val="en-IN"/>
        </w:rPr>
        <w:t>Revenue recorded under cash basis    = April</w:t>
      </w:r>
    </w:p>
    <w:p w14:paraId="04E63165" w14:textId="77777777" w:rsidR="00D94646" w:rsidRPr="009B46C8" w:rsidRDefault="00D94646" w:rsidP="00D94646">
      <w:pPr>
        <w:spacing w:line="360" w:lineRule="auto"/>
        <w:rPr>
          <w:lang w:val="en-IN"/>
        </w:rPr>
      </w:pPr>
      <w:r w:rsidRPr="009B46C8">
        <w:rPr>
          <w:lang w:val="en-IN"/>
        </w:rPr>
        <w:t xml:space="preserve">Under accrual accounting, it is the revenue at the time of delivering the service (March) and not at the time the cash is received (April). This time lag means that financial statements prepared on the accrual’s basis represent the economic activity in the period in which it is </w:t>
      </w:r>
      <w:r w:rsidRPr="009B46C8">
        <w:rPr>
          <w:lang w:val="en-IN"/>
        </w:rPr>
        <w:lastRenderedPageBreak/>
        <w:t>prepared, which should better reflect on the performance on the accrual basis than cash-basis</w:t>
      </w:r>
      <w:r>
        <w:rPr>
          <w:lang w:val="en-IN"/>
        </w:rPr>
        <w:t xml:space="preserve"> </w:t>
      </w:r>
      <w:r w:rsidRPr="00C723EE">
        <w:t>(Chumba, 2025)</w:t>
      </w:r>
      <w:r w:rsidRPr="009B46C8">
        <w:rPr>
          <w:lang w:val="en-IN"/>
        </w:rPr>
        <w:t>.</w:t>
      </w:r>
      <w:r>
        <w:rPr>
          <w:lang w:val="en-IN"/>
        </w:rPr>
        <w:t xml:space="preserve"> </w:t>
      </w:r>
      <w:r w:rsidRPr="009B46C8">
        <w:rPr>
          <w:lang w:val="en-IN"/>
        </w:rPr>
        <w:t>This is part of the reason why under GAAP and under IFRS most publicly traded firms must use accrual accounting since records maintained under the cash basis might be misleading in terms of profitability in cases where payments are not made with the same timing. Any example would be a company to which large service contracts would be due in the late months of the year and which would not indicate anything anywhere near as much profitable under cash accounting when they are actually accrued to and would therefore be far more accurate under accrual-based reporting when reporting to investors and creditors</w:t>
      </w:r>
      <w:r>
        <w:rPr>
          <w:lang w:val="en-IN"/>
        </w:rPr>
        <w:t xml:space="preserve"> </w:t>
      </w:r>
      <w:r w:rsidRPr="00C723EE">
        <w:t>(Chumba, 2025)</w:t>
      </w:r>
      <w:r w:rsidRPr="009B46C8">
        <w:rPr>
          <w:lang w:val="en-IN"/>
        </w:rPr>
        <w:t>.</w:t>
      </w:r>
    </w:p>
    <w:p w14:paraId="0E0197C8" w14:textId="77777777" w:rsidR="00D94646" w:rsidRPr="009B46C8" w:rsidRDefault="00D94646" w:rsidP="00D94646">
      <w:pPr>
        <w:pStyle w:val="Heading2"/>
        <w:spacing w:line="360" w:lineRule="auto"/>
      </w:pPr>
      <w:bookmarkStart w:id="11" w:name="_Toc236918280"/>
      <w:r w:rsidRPr="009B46C8">
        <w:t>4.2 Matching Principle</w:t>
      </w:r>
      <w:bookmarkEnd w:id="11"/>
    </w:p>
    <w:p w14:paraId="6E288DF3" w14:textId="77777777" w:rsidR="00D94646" w:rsidRPr="009B46C8" w:rsidRDefault="00D94646" w:rsidP="00D94646">
      <w:pPr>
        <w:spacing w:line="360" w:lineRule="auto"/>
        <w:rPr>
          <w:lang w:val="en-IN"/>
        </w:rPr>
      </w:pPr>
      <w:r w:rsidRPr="009B46C8">
        <w:rPr>
          <w:b/>
          <w:bCs/>
          <w:lang w:val="en-IN"/>
        </w:rPr>
        <w:t>Calculation (illustrative example):</w:t>
      </w:r>
    </w:p>
    <w:p w14:paraId="24DA8942" w14:textId="77777777" w:rsidR="00D94646" w:rsidRPr="009B46C8" w:rsidRDefault="00D94646" w:rsidP="00D94646">
      <w:pPr>
        <w:spacing w:line="360" w:lineRule="auto"/>
        <w:rPr>
          <w:lang w:val="en-IN"/>
        </w:rPr>
      </w:pPr>
      <w:r w:rsidRPr="009B46C8">
        <w:rPr>
          <w:lang w:val="en-IN"/>
        </w:rPr>
        <w:t>Sales Revenue       = $1,00,000</w:t>
      </w:r>
    </w:p>
    <w:p w14:paraId="6ED064B1" w14:textId="77777777" w:rsidR="00D94646" w:rsidRPr="009B46C8" w:rsidRDefault="00D94646" w:rsidP="00D94646">
      <w:pPr>
        <w:spacing w:line="360" w:lineRule="auto"/>
        <w:rPr>
          <w:lang w:val="en-IN"/>
        </w:rPr>
      </w:pPr>
      <w:r w:rsidRPr="009B46C8">
        <w:rPr>
          <w:lang w:val="en-IN"/>
        </w:rPr>
        <w:t>Cost of Goods Sold  = $60,000</w:t>
      </w:r>
    </w:p>
    <w:p w14:paraId="4BB3D196" w14:textId="77777777" w:rsidR="00D94646" w:rsidRPr="009B46C8" w:rsidRDefault="00D94646" w:rsidP="00D94646">
      <w:pPr>
        <w:spacing w:line="360" w:lineRule="auto"/>
        <w:rPr>
          <w:lang w:val="en-IN"/>
        </w:rPr>
      </w:pPr>
      <w:r w:rsidRPr="009B46C8">
        <w:rPr>
          <w:lang w:val="en-IN"/>
        </w:rPr>
        <w:t>Gross Profit = Revenue − COGS</w:t>
      </w:r>
    </w:p>
    <w:p w14:paraId="4C7C47ED" w14:textId="77777777" w:rsidR="00D94646" w:rsidRPr="009B46C8" w:rsidRDefault="00D94646" w:rsidP="00D94646">
      <w:pPr>
        <w:spacing w:line="360" w:lineRule="auto"/>
        <w:rPr>
          <w:lang w:val="en-IN"/>
        </w:rPr>
      </w:pPr>
      <w:r w:rsidRPr="009B46C8">
        <w:rPr>
          <w:lang w:val="en-IN"/>
        </w:rPr>
        <w:t>Gross Profit = 1,00,000 − 60,000 = $40,000</w:t>
      </w:r>
    </w:p>
    <w:p w14:paraId="56E0202B" w14:textId="77777777" w:rsidR="00D94646" w:rsidRPr="009B46C8" w:rsidRDefault="00D94646" w:rsidP="00D94646">
      <w:pPr>
        <w:spacing w:line="360" w:lineRule="auto"/>
        <w:rPr>
          <w:lang w:val="en-IN"/>
        </w:rPr>
      </w:pPr>
      <w:r w:rsidRPr="009B46C8">
        <w:rPr>
          <w:lang w:val="en-IN"/>
        </w:rPr>
        <w:t xml:space="preserve">The matching principle means that the cost of sold goods of $60,000 should be matched at the same time when the sales revenue of </w:t>
      </w:r>
      <w:r>
        <w:rPr>
          <w:lang w:val="en-IN"/>
        </w:rPr>
        <w:t>$</w:t>
      </w:r>
      <w:r w:rsidRPr="009B46C8">
        <w:rPr>
          <w:lang w:val="en-IN"/>
        </w:rPr>
        <w:t xml:space="preserve">1,00,000 increase has occurred which in effect led to a gross of </w:t>
      </w:r>
      <w:r>
        <w:rPr>
          <w:lang w:val="en-IN"/>
        </w:rPr>
        <w:t>$</w:t>
      </w:r>
      <w:r w:rsidRPr="009B46C8">
        <w:rPr>
          <w:lang w:val="en-IN"/>
        </w:rPr>
        <w:t>40,000 in profit. When costs are reported during one period with a relative to the revenue in the same period then both the profit in these two periods will be distorted</w:t>
      </w:r>
      <w:r>
        <w:rPr>
          <w:lang w:val="en-IN"/>
        </w:rPr>
        <w:t xml:space="preserve"> </w:t>
      </w:r>
      <w:r w:rsidRPr="00C723EE">
        <w:t>(Yoon and Jiang, 2021)</w:t>
      </w:r>
      <w:r w:rsidRPr="009B46C8">
        <w:rPr>
          <w:lang w:val="en-IN"/>
        </w:rPr>
        <w:t>.</w:t>
      </w:r>
    </w:p>
    <w:p w14:paraId="6F3EFFFD" w14:textId="77777777" w:rsidR="00D94646" w:rsidRPr="009B46C8" w:rsidRDefault="00D94646" w:rsidP="00D94646">
      <w:pPr>
        <w:pStyle w:val="Heading2"/>
        <w:spacing w:line="360" w:lineRule="auto"/>
      </w:pPr>
      <w:bookmarkStart w:id="12" w:name="_Toc236918281"/>
      <w:r w:rsidRPr="009B46C8">
        <w:t>4.3 Revenue Recognition Principle</w:t>
      </w:r>
      <w:bookmarkEnd w:id="12"/>
    </w:p>
    <w:p w14:paraId="5EEF7C1A" w14:textId="77777777" w:rsidR="00D94646" w:rsidRPr="009B46C8" w:rsidRDefault="00D94646" w:rsidP="00D94646">
      <w:pPr>
        <w:spacing w:line="360" w:lineRule="auto"/>
        <w:rPr>
          <w:lang w:val="en-IN"/>
        </w:rPr>
      </w:pPr>
      <w:r w:rsidRPr="009B46C8">
        <w:rPr>
          <w:b/>
          <w:bCs/>
          <w:lang w:val="en-IN"/>
        </w:rPr>
        <w:t>Calculation (illustrative subscription example):</w:t>
      </w:r>
    </w:p>
    <w:p w14:paraId="2478E091" w14:textId="77777777" w:rsidR="00D94646" w:rsidRPr="009B46C8" w:rsidRDefault="00D94646" w:rsidP="00D94646">
      <w:pPr>
        <w:spacing w:line="360" w:lineRule="auto"/>
        <w:rPr>
          <w:lang w:val="en-IN"/>
        </w:rPr>
      </w:pPr>
      <w:r w:rsidRPr="009B46C8">
        <w:rPr>
          <w:lang w:val="en-IN"/>
        </w:rPr>
        <w:t>Annual subscription received in advance = $1,20,000</w:t>
      </w:r>
    </w:p>
    <w:p w14:paraId="4C4BDC76" w14:textId="77777777" w:rsidR="00D94646" w:rsidRPr="009B46C8" w:rsidRDefault="00D94646" w:rsidP="00D94646">
      <w:pPr>
        <w:spacing w:line="360" w:lineRule="auto"/>
        <w:rPr>
          <w:lang w:val="en-IN"/>
        </w:rPr>
      </w:pPr>
      <w:r w:rsidRPr="009B46C8">
        <w:rPr>
          <w:lang w:val="en-IN"/>
        </w:rPr>
        <w:t>Monthly revenue recognized = 1,20,000 ÷ 12 = $10,000</w:t>
      </w:r>
    </w:p>
    <w:p w14:paraId="15558724" w14:textId="77777777" w:rsidR="00D94646" w:rsidRPr="009B46C8" w:rsidRDefault="00D94646" w:rsidP="00D94646">
      <w:pPr>
        <w:spacing w:line="360" w:lineRule="auto"/>
        <w:rPr>
          <w:lang w:val="en-IN"/>
        </w:rPr>
      </w:pPr>
      <w:r w:rsidRPr="009B46C8">
        <w:rPr>
          <w:lang w:val="en-IN"/>
        </w:rPr>
        <w:t xml:space="preserve">The company will take a down payment of more than $1,20,000 but the revenue recognition principle will just be to recognize the revenue of </w:t>
      </w:r>
      <w:r>
        <w:rPr>
          <w:lang w:val="en-IN"/>
        </w:rPr>
        <w:t>$</w:t>
      </w:r>
      <w:r w:rsidRPr="009B46C8">
        <w:rPr>
          <w:lang w:val="en-IN"/>
        </w:rPr>
        <w:t>10,000 every month as long as the service is provided. This prevents the overstating of revenue when cash is included in a month that it is received and reflects revenue on the actual performance payments made</w:t>
      </w:r>
      <w:r>
        <w:rPr>
          <w:lang w:val="en-IN"/>
        </w:rPr>
        <w:t xml:space="preserve"> </w:t>
      </w:r>
      <w:r w:rsidRPr="00C723EE">
        <w:t>(Zhou, 2021)</w:t>
      </w:r>
      <w:r w:rsidRPr="009B46C8">
        <w:rPr>
          <w:lang w:val="en-IN"/>
        </w:rPr>
        <w:t>.</w:t>
      </w:r>
    </w:p>
    <w:p w14:paraId="0D2E359D" w14:textId="77777777" w:rsidR="00D94646" w:rsidRPr="009B46C8" w:rsidRDefault="00D94646" w:rsidP="00D94646">
      <w:pPr>
        <w:pStyle w:val="Heading1"/>
        <w:spacing w:line="360" w:lineRule="auto"/>
      </w:pPr>
      <w:bookmarkStart w:id="13" w:name="_Toc236918282"/>
      <w:r w:rsidRPr="009B46C8">
        <w:lastRenderedPageBreak/>
        <w:t>5. Relationship Between the Balance Sheet, Income Statement, and Cash Flow Statement</w:t>
      </w:r>
      <w:bookmarkEnd w:id="13"/>
    </w:p>
    <w:p w14:paraId="40CB9117" w14:textId="77777777" w:rsidR="00D94646" w:rsidRPr="009B46C8" w:rsidRDefault="00D94646" w:rsidP="00D94646">
      <w:pPr>
        <w:pStyle w:val="Heading2"/>
        <w:spacing w:line="360" w:lineRule="auto"/>
      </w:pPr>
      <w:bookmarkStart w:id="14" w:name="_Toc236918283"/>
      <w:r w:rsidRPr="009B46C8">
        <w:t>5.1 Income Statement to Balance Sheet</w:t>
      </w:r>
      <w:bookmarkEnd w:id="14"/>
    </w:p>
    <w:p w14:paraId="5C89FD04" w14:textId="77777777" w:rsidR="00D94646" w:rsidRPr="009B46C8" w:rsidRDefault="00D94646" w:rsidP="00D94646">
      <w:pPr>
        <w:spacing w:line="360" w:lineRule="auto"/>
        <w:rPr>
          <w:lang w:val="en-IN"/>
        </w:rPr>
      </w:pPr>
      <w:r w:rsidRPr="009B46C8">
        <w:rPr>
          <w:b/>
          <w:bCs/>
          <w:lang w:val="en-IN"/>
        </w:rPr>
        <w:t>Calculation (illustrative example):</w:t>
      </w:r>
    </w:p>
    <w:p w14:paraId="34BC5E3E" w14:textId="77777777" w:rsidR="00D94646" w:rsidRPr="009B46C8" w:rsidRDefault="00D94646" w:rsidP="00D94646">
      <w:pPr>
        <w:spacing w:line="360" w:lineRule="auto"/>
        <w:rPr>
          <w:lang w:val="en-IN"/>
        </w:rPr>
      </w:pPr>
      <w:r w:rsidRPr="009B46C8">
        <w:rPr>
          <w:lang w:val="en-IN"/>
        </w:rPr>
        <w:t>Opening Retained Earnings = $5,00,000</w:t>
      </w:r>
    </w:p>
    <w:p w14:paraId="3978378E" w14:textId="77777777" w:rsidR="00D94646" w:rsidRPr="009B46C8" w:rsidRDefault="00D94646" w:rsidP="00D94646">
      <w:pPr>
        <w:spacing w:line="360" w:lineRule="auto"/>
        <w:rPr>
          <w:lang w:val="en-IN"/>
        </w:rPr>
      </w:pPr>
      <w:r w:rsidRPr="009B46C8">
        <w:rPr>
          <w:lang w:val="en-IN"/>
        </w:rPr>
        <w:t>Net Profit (Income Statement) = $80,000</w:t>
      </w:r>
    </w:p>
    <w:p w14:paraId="53F823EB" w14:textId="77777777" w:rsidR="00D94646" w:rsidRPr="009B46C8" w:rsidRDefault="00D94646" w:rsidP="00D94646">
      <w:pPr>
        <w:spacing w:line="360" w:lineRule="auto"/>
        <w:rPr>
          <w:lang w:val="en-IN"/>
        </w:rPr>
      </w:pPr>
      <w:r w:rsidRPr="009B46C8">
        <w:rPr>
          <w:lang w:val="en-IN"/>
        </w:rPr>
        <w:t>Dividends Paid = $20,000</w:t>
      </w:r>
    </w:p>
    <w:p w14:paraId="7186C656" w14:textId="77777777" w:rsidR="00D94646" w:rsidRPr="009B46C8" w:rsidRDefault="00D94646" w:rsidP="00D94646">
      <w:pPr>
        <w:spacing w:line="360" w:lineRule="auto"/>
        <w:rPr>
          <w:lang w:val="en-IN"/>
        </w:rPr>
      </w:pPr>
      <w:r w:rsidRPr="009B46C8">
        <w:rPr>
          <w:lang w:val="en-IN"/>
        </w:rPr>
        <w:t>Closing Retained Earnings = 5,00,000 + 80,000 − 20,000 = $5,60,000</w:t>
      </w:r>
    </w:p>
    <w:p w14:paraId="5A73B485" w14:textId="77777777" w:rsidR="00D94646" w:rsidRPr="009B46C8" w:rsidRDefault="00D94646" w:rsidP="00D94646">
      <w:pPr>
        <w:spacing w:line="360" w:lineRule="auto"/>
        <w:rPr>
          <w:lang w:val="en-IN"/>
        </w:rPr>
      </w:pPr>
      <w:r w:rsidRPr="009B46C8">
        <w:rPr>
          <w:lang w:val="en-IN"/>
        </w:rPr>
        <w:t>The profits in the form of net income of $ 80,000 are deposited into the retained earnings account on the balance sheet increasing the owner equity after deducting the dividends. This shows that the financial position of an organization becomes strong with time with respect to profitability</w:t>
      </w:r>
      <w:r>
        <w:rPr>
          <w:lang w:val="en-IN"/>
        </w:rPr>
        <w:t xml:space="preserve"> </w:t>
      </w:r>
      <w:r w:rsidRPr="00C723EE">
        <w:t>(Toudas et al., 2022)</w:t>
      </w:r>
      <w:r w:rsidRPr="009B46C8">
        <w:rPr>
          <w:lang w:val="en-IN"/>
        </w:rPr>
        <w:t>.</w:t>
      </w:r>
    </w:p>
    <w:p w14:paraId="23E14615" w14:textId="77777777" w:rsidR="00D94646" w:rsidRPr="009B46C8" w:rsidRDefault="00D94646" w:rsidP="00D94646">
      <w:pPr>
        <w:pStyle w:val="Heading2"/>
        <w:spacing w:line="360" w:lineRule="auto"/>
      </w:pPr>
      <w:bookmarkStart w:id="15" w:name="_Toc236918284"/>
      <w:r w:rsidRPr="009B46C8">
        <w:t>5.2 Net Profit to Cash Flow</w:t>
      </w:r>
      <w:bookmarkEnd w:id="15"/>
    </w:p>
    <w:p w14:paraId="144A5F76" w14:textId="77777777" w:rsidR="00D94646" w:rsidRPr="009B46C8" w:rsidRDefault="00D94646" w:rsidP="00D94646">
      <w:pPr>
        <w:spacing w:line="360" w:lineRule="auto"/>
        <w:rPr>
          <w:lang w:val="en-IN"/>
        </w:rPr>
      </w:pPr>
      <w:r w:rsidRPr="009B46C8">
        <w:rPr>
          <w:b/>
          <w:bCs/>
          <w:lang w:val="en-IN"/>
        </w:rPr>
        <w:t>Calculation (illustrative example):</w:t>
      </w:r>
    </w:p>
    <w:p w14:paraId="043CDE74" w14:textId="77777777" w:rsidR="00D94646" w:rsidRPr="009B46C8" w:rsidRDefault="00D94646" w:rsidP="00D94646">
      <w:pPr>
        <w:spacing w:line="360" w:lineRule="auto"/>
        <w:rPr>
          <w:lang w:val="en-IN"/>
        </w:rPr>
      </w:pPr>
      <w:r w:rsidRPr="009B46C8">
        <w:rPr>
          <w:lang w:val="en-IN"/>
        </w:rPr>
        <w:t>Net Profit                    = $80,000</w:t>
      </w:r>
    </w:p>
    <w:p w14:paraId="2E2EBE8A" w14:textId="77777777" w:rsidR="00D94646" w:rsidRPr="009B46C8" w:rsidRDefault="00D94646" w:rsidP="00D94646">
      <w:pPr>
        <w:spacing w:line="360" w:lineRule="auto"/>
        <w:rPr>
          <w:lang w:val="en-IN"/>
        </w:rPr>
      </w:pPr>
      <w:r w:rsidRPr="009B46C8">
        <w:rPr>
          <w:lang w:val="en-IN"/>
        </w:rPr>
        <w:t>Add: Depreciation             = $15,000</w:t>
      </w:r>
    </w:p>
    <w:p w14:paraId="52508907" w14:textId="77777777" w:rsidR="00D94646" w:rsidRPr="009B46C8" w:rsidRDefault="00D94646" w:rsidP="00D94646">
      <w:pPr>
        <w:spacing w:line="360" w:lineRule="auto"/>
        <w:rPr>
          <w:lang w:val="en-IN"/>
        </w:rPr>
      </w:pPr>
      <w:r w:rsidRPr="009B46C8">
        <w:rPr>
          <w:lang w:val="en-IN"/>
        </w:rPr>
        <w:t>Less: Increase in Receivables = $10,000</w:t>
      </w:r>
    </w:p>
    <w:p w14:paraId="76A5A3A9" w14:textId="77777777" w:rsidR="00D94646" w:rsidRPr="009B46C8" w:rsidRDefault="00D94646" w:rsidP="00D94646">
      <w:pPr>
        <w:spacing w:line="360" w:lineRule="auto"/>
        <w:rPr>
          <w:lang w:val="en-IN"/>
        </w:rPr>
      </w:pPr>
      <w:r w:rsidRPr="009B46C8">
        <w:rPr>
          <w:lang w:val="en-IN"/>
        </w:rPr>
        <w:t>Cash Flow from Operations = 80,000 + 15,000 − 10,000 = $85,000</w:t>
      </w:r>
    </w:p>
    <w:p w14:paraId="4B848D98" w14:textId="77777777" w:rsidR="00D94646" w:rsidRPr="009B46C8" w:rsidRDefault="00D94646" w:rsidP="00D94646">
      <w:pPr>
        <w:spacing w:line="360" w:lineRule="auto"/>
        <w:rPr>
          <w:lang w:val="en-IN"/>
        </w:rPr>
      </w:pPr>
      <w:r w:rsidRPr="009B46C8">
        <w:rPr>
          <w:lang w:val="en-IN"/>
        </w:rPr>
        <w:t>According to the net profit, then add the back of the non-cash depreciation which will boost it further with the improvement in the yield of the receivables which will give an operating cash flow of $85,000. This computation explains the reason why a firm, which is profitable on paper, might have been reported to generate different levels of cash since profit is calculated to incorporate all the non-cash items and timing differences that are corrected by cash flow statement</w:t>
      </w:r>
      <w:r>
        <w:rPr>
          <w:lang w:val="en-IN"/>
        </w:rPr>
        <w:t xml:space="preserve"> </w:t>
      </w:r>
      <w:r w:rsidRPr="00C723EE">
        <w:t>(Mohammad, 2024)</w:t>
      </w:r>
      <w:r w:rsidRPr="009B46C8">
        <w:rPr>
          <w:lang w:val="en-IN"/>
        </w:rPr>
        <w:t>.</w:t>
      </w:r>
    </w:p>
    <w:p w14:paraId="3738DC28" w14:textId="77777777" w:rsidR="00D94646" w:rsidRPr="009B46C8" w:rsidRDefault="00D94646" w:rsidP="00D94646">
      <w:pPr>
        <w:pStyle w:val="Heading2"/>
        <w:spacing w:line="360" w:lineRule="auto"/>
      </w:pPr>
      <w:bookmarkStart w:id="16" w:name="_Toc236918285"/>
      <w:r w:rsidRPr="009B46C8">
        <w:t>5.3 Integrated View</w:t>
      </w:r>
      <w:bookmarkEnd w:id="16"/>
    </w:p>
    <w:p w14:paraId="1B62BF81" w14:textId="77777777" w:rsidR="00D94646" w:rsidRPr="009B46C8" w:rsidRDefault="00D94646" w:rsidP="00D94646">
      <w:pPr>
        <w:spacing w:line="360" w:lineRule="auto"/>
        <w:rPr>
          <w:lang w:val="en-IN"/>
        </w:rPr>
      </w:pPr>
      <w:r w:rsidRPr="009B46C8">
        <w:rPr>
          <w:lang w:val="en-IN"/>
        </w:rPr>
        <w:t xml:space="preserve">Combining the three computations with one another indicate that the income statement measures performance over time floor, balance sheet determines the resultant financial position at a time, and the cash flow statement balances the reported profit with the actual cash flow. Good illustration is when General Electric was made to report high levels of profits in early </w:t>
      </w:r>
      <w:r w:rsidRPr="009B46C8">
        <w:rPr>
          <w:lang w:val="en-IN"/>
        </w:rPr>
        <w:lastRenderedPageBreak/>
        <w:t>2000s when operating cash flow low levels were reported, an early alarm system that would never be realized after examining the income statement only would have been reported</w:t>
      </w:r>
      <w:r>
        <w:rPr>
          <w:lang w:val="en-IN"/>
        </w:rPr>
        <w:t xml:space="preserve"> </w:t>
      </w:r>
      <w:r w:rsidRPr="00C723EE">
        <w:t>(Mohammad, 2024)</w:t>
      </w:r>
      <w:r w:rsidRPr="009B46C8">
        <w:rPr>
          <w:lang w:val="en-IN"/>
        </w:rPr>
        <w:t>.</w:t>
      </w:r>
    </w:p>
    <w:p w14:paraId="36596A97" w14:textId="77777777" w:rsidR="00D94646" w:rsidRPr="009B46C8" w:rsidRDefault="00D94646" w:rsidP="00D94646">
      <w:pPr>
        <w:pStyle w:val="Heading1"/>
        <w:spacing w:line="360" w:lineRule="auto"/>
      </w:pPr>
      <w:bookmarkStart w:id="17" w:name="_Toc236918286"/>
      <w:r w:rsidRPr="009B46C8">
        <w:t>6. Conclusion</w:t>
      </w:r>
      <w:bookmarkEnd w:id="17"/>
    </w:p>
    <w:p w14:paraId="1F5AFB93" w14:textId="77777777" w:rsidR="00D94646" w:rsidRDefault="00D94646" w:rsidP="00D94646">
      <w:pPr>
        <w:spacing w:line="360" w:lineRule="auto"/>
        <w:rPr>
          <w:lang w:val="en-IN"/>
        </w:rPr>
      </w:pPr>
      <w:r w:rsidRPr="009B46C8">
        <w:rPr>
          <w:lang w:val="en-IN"/>
        </w:rPr>
        <w:t>The theoretical cornerstone of accounting contains the basic foundations of accounting including the accrual accounting and the recognition expenditure as well as the intermingling nature of the three constructions of financial statements with each other. These are not the abstract rules as shown using the provided calculations via the Apple, Microsoft and Amazon but they are the technical instruments that are used by the investors, creditors and management to make a real life financial choice.</w:t>
      </w:r>
    </w:p>
    <w:p w14:paraId="0071EC48" w14:textId="77777777" w:rsidR="00D94646" w:rsidRDefault="00D94646" w:rsidP="00D94646">
      <w:pPr>
        <w:jc w:val="left"/>
        <w:rPr>
          <w:lang w:val="en-IN"/>
        </w:rPr>
      </w:pPr>
      <w:r>
        <w:rPr>
          <w:lang w:val="en-IN"/>
        </w:rPr>
        <w:br w:type="page"/>
      </w:r>
    </w:p>
    <w:p w14:paraId="2D822A46" w14:textId="77777777" w:rsidR="00D94646" w:rsidRDefault="00D94646" w:rsidP="00D94646">
      <w:pPr>
        <w:pStyle w:val="Heading1"/>
      </w:pPr>
      <w:bookmarkStart w:id="18" w:name="_Toc236918287"/>
      <w:r>
        <w:lastRenderedPageBreak/>
        <w:t>References</w:t>
      </w:r>
      <w:bookmarkEnd w:id="18"/>
      <w:r>
        <w:t xml:space="preserve"> </w:t>
      </w:r>
    </w:p>
    <w:p w14:paraId="759C8809" w14:textId="77777777" w:rsidR="00D94646" w:rsidRPr="00C723EE" w:rsidRDefault="00D94646" w:rsidP="00D94646">
      <w:pPr>
        <w:spacing w:line="360" w:lineRule="auto"/>
        <w:rPr>
          <w:lang w:val="en-IN"/>
        </w:rPr>
      </w:pPr>
      <w:r w:rsidRPr="00C723EE">
        <w:rPr>
          <w:lang w:val="en-IN"/>
        </w:rPr>
        <w:t xml:space="preserve">Al Arbed, E. (2025). Why did individual firms and economies choose double-entry bookkeeping? </w:t>
      </w:r>
      <w:r w:rsidRPr="00C723EE">
        <w:rPr>
          <w:i/>
          <w:iCs/>
          <w:lang w:val="en-IN"/>
        </w:rPr>
        <w:t>American Journal of Operations Research</w:t>
      </w:r>
      <w:r w:rsidRPr="00C723EE">
        <w:rPr>
          <w:lang w:val="en-IN"/>
        </w:rPr>
        <w:t xml:space="preserve">, [online] 15(3), pp.67–94. Doi: </w:t>
      </w:r>
      <w:hyperlink r:id="rId6" w:history="1">
        <w:r w:rsidRPr="00C723EE">
          <w:rPr>
            <w:rStyle w:val="Hyperlink"/>
            <w:lang w:val="en-IN"/>
          </w:rPr>
          <w:t>https://www.scirp.org/pdf/ajor2025153_11040914.pdf</w:t>
        </w:r>
      </w:hyperlink>
    </w:p>
    <w:p w14:paraId="111BA6FD" w14:textId="77777777" w:rsidR="00D94646" w:rsidRPr="00C723EE" w:rsidRDefault="00D94646" w:rsidP="00D94646">
      <w:pPr>
        <w:spacing w:line="360" w:lineRule="auto"/>
        <w:rPr>
          <w:lang w:val="en-IN"/>
        </w:rPr>
      </w:pPr>
      <w:r w:rsidRPr="00C723EE">
        <w:rPr>
          <w:lang w:val="en-IN"/>
        </w:rPr>
        <w:t xml:space="preserve">Blessing, H. and Sakouvogui, G. (2023). Impact of liquidity and solvency ratios on financial performance: a comprehensive analysis. </w:t>
      </w:r>
      <w:r w:rsidRPr="00C723EE">
        <w:rPr>
          <w:i/>
          <w:iCs/>
          <w:lang w:val="en-IN"/>
        </w:rPr>
        <w:t>Indonesia Auditing Research Journal</w:t>
      </w:r>
      <w:r w:rsidRPr="00C723EE">
        <w:rPr>
          <w:lang w:val="en-IN"/>
        </w:rPr>
        <w:t xml:space="preserve">, [online] 12(3), pp.102–115. Doi: </w:t>
      </w:r>
      <w:hyperlink r:id="rId7" w:history="1">
        <w:r w:rsidRPr="00C723EE">
          <w:rPr>
            <w:rStyle w:val="Hyperlink"/>
            <w:lang w:val="en-IN"/>
          </w:rPr>
          <w:t>https://journals.iarn.or.id/index.php/ARJ/article/download/208/141</w:t>
        </w:r>
      </w:hyperlink>
    </w:p>
    <w:p w14:paraId="6CE1EE61" w14:textId="77777777" w:rsidR="00D94646" w:rsidRPr="00C723EE" w:rsidRDefault="00D94646" w:rsidP="00D94646">
      <w:pPr>
        <w:spacing w:line="360" w:lineRule="auto"/>
        <w:rPr>
          <w:lang w:val="en-IN"/>
        </w:rPr>
      </w:pPr>
      <w:r w:rsidRPr="00C723EE">
        <w:rPr>
          <w:lang w:val="en-IN"/>
        </w:rPr>
        <w:t xml:space="preserve">Chumba, J.A. (2025). Impact of accrual basis of accounting system on the quality of financial reporting: accountant's perspective. </w:t>
      </w:r>
      <w:r w:rsidRPr="00C723EE">
        <w:rPr>
          <w:i/>
          <w:iCs/>
          <w:lang w:val="en-IN"/>
        </w:rPr>
        <w:t>IOSR Journal of Economics and Finance</w:t>
      </w:r>
      <w:r w:rsidRPr="00C723EE">
        <w:rPr>
          <w:lang w:val="en-IN"/>
        </w:rPr>
        <w:t xml:space="preserve">, [online] 16(5), pp.40–54. Doi: </w:t>
      </w:r>
      <w:hyperlink r:id="rId8" w:history="1">
        <w:r w:rsidRPr="00C723EE">
          <w:rPr>
            <w:rStyle w:val="Hyperlink"/>
            <w:lang w:val="en-IN"/>
          </w:rPr>
          <w:t>https://doi.org/10.9790/5933-1605044054</w:t>
        </w:r>
      </w:hyperlink>
    </w:p>
    <w:p w14:paraId="32830177" w14:textId="77777777" w:rsidR="00D94646" w:rsidRPr="00C723EE" w:rsidRDefault="00D94646" w:rsidP="00D94646">
      <w:pPr>
        <w:spacing w:line="360" w:lineRule="auto"/>
        <w:rPr>
          <w:lang w:val="en-IN"/>
        </w:rPr>
      </w:pPr>
      <w:r w:rsidRPr="00C723EE">
        <w:rPr>
          <w:lang w:val="en-IN"/>
        </w:rPr>
        <w:t xml:space="preserve">Kouaib, A. and Amara, I. (2022). Corporate social responsibility disclosure and investment decisions: evidence from Saudi indexed companies. </w:t>
      </w:r>
      <w:r w:rsidRPr="00C723EE">
        <w:rPr>
          <w:i/>
          <w:iCs/>
          <w:lang w:val="en-IN"/>
        </w:rPr>
        <w:t>Journal of Risk and Financial Management</w:t>
      </w:r>
      <w:r w:rsidRPr="00C723EE">
        <w:rPr>
          <w:lang w:val="en-IN"/>
        </w:rPr>
        <w:t xml:space="preserve">, [online] 15(11), p.495. Doi: </w:t>
      </w:r>
      <w:hyperlink r:id="rId9" w:history="1">
        <w:r w:rsidRPr="00C723EE">
          <w:rPr>
            <w:rStyle w:val="Hyperlink"/>
            <w:lang w:val="en-IN"/>
          </w:rPr>
          <w:t>https://doi.org/10.3390/jrfm15110495</w:t>
        </w:r>
      </w:hyperlink>
    </w:p>
    <w:p w14:paraId="66DC0061" w14:textId="77777777" w:rsidR="00D94646" w:rsidRPr="00C723EE" w:rsidRDefault="00D94646" w:rsidP="00D94646">
      <w:pPr>
        <w:spacing w:line="360" w:lineRule="auto"/>
        <w:rPr>
          <w:lang w:val="en-IN"/>
        </w:rPr>
      </w:pPr>
      <w:r w:rsidRPr="00C723EE">
        <w:rPr>
          <w:lang w:val="en-IN"/>
        </w:rPr>
        <w:t xml:space="preserve">Mohammad, T.J. (2024). The informational importance provided by the cash flow statement follows international standards in assessing financial liquidity. </w:t>
      </w:r>
      <w:r w:rsidRPr="00C723EE">
        <w:rPr>
          <w:i/>
          <w:iCs/>
          <w:lang w:val="en-IN"/>
        </w:rPr>
        <w:t>American Journal of Accounting</w:t>
      </w:r>
      <w:r w:rsidRPr="00C723EE">
        <w:rPr>
          <w:lang w:val="en-IN"/>
        </w:rPr>
        <w:t xml:space="preserve">, [online] 6(3), pp.19–32. Doi: </w:t>
      </w:r>
      <w:hyperlink r:id="rId10" w:history="1">
        <w:r w:rsidRPr="00C723EE">
          <w:rPr>
            <w:rStyle w:val="Hyperlink"/>
            <w:lang w:val="en-IN"/>
          </w:rPr>
          <w:t>https://ajpojournals.org/journals/AJACC/article/view/2544</w:t>
        </w:r>
      </w:hyperlink>
    </w:p>
    <w:p w14:paraId="21077463" w14:textId="77777777" w:rsidR="00D94646" w:rsidRPr="00C723EE" w:rsidRDefault="00D94646" w:rsidP="00D94646">
      <w:pPr>
        <w:spacing w:line="360" w:lineRule="auto"/>
        <w:rPr>
          <w:lang w:val="en-IN"/>
        </w:rPr>
      </w:pPr>
      <w:r w:rsidRPr="00C723EE">
        <w:rPr>
          <w:lang w:val="en-IN"/>
        </w:rPr>
        <w:t xml:space="preserve">Olayinka, A.A. (2022). Financial statement analysis as a tool for investment decisions and assessment of companies' performance. </w:t>
      </w:r>
      <w:r w:rsidRPr="00C723EE">
        <w:rPr>
          <w:i/>
          <w:iCs/>
          <w:lang w:val="en-IN"/>
        </w:rPr>
        <w:t>International Journal of Financial, Accounting, and Management</w:t>
      </w:r>
      <w:r w:rsidRPr="00C723EE">
        <w:rPr>
          <w:lang w:val="en-IN"/>
        </w:rPr>
        <w:t xml:space="preserve">, [online] 4(1), pp.49–66. Doi: </w:t>
      </w:r>
      <w:hyperlink r:id="rId11" w:history="1">
        <w:r w:rsidRPr="00C723EE">
          <w:rPr>
            <w:rStyle w:val="Hyperlink"/>
            <w:lang w:val="en-IN"/>
          </w:rPr>
          <w:t>https://doi.org/10.35912/ijfam.v4i1.852</w:t>
        </w:r>
      </w:hyperlink>
    </w:p>
    <w:p w14:paraId="3608CA10" w14:textId="77777777" w:rsidR="00D94646" w:rsidRPr="00C723EE" w:rsidRDefault="00D94646" w:rsidP="00D94646">
      <w:pPr>
        <w:spacing w:line="360" w:lineRule="auto"/>
        <w:rPr>
          <w:lang w:val="en-IN"/>
        </w:rPr>
      </w:pPr>
      <w:r w:rsidRPr="00C723EE">
        <w:rPr>
          <w:lang w:val="en-IN"/>
        </w:rPr>
        <w:t xml:space="preserve">Toudas, K., Goula, A. and others (2022). Cash flow analysis based on International Accounting Standards (IAS): a critical evaluation. </w:t>
      </w:r>
      <w:r w:rsidRPr="00C723EE">
        <w:rPr>
          <w:i/>
          <w:iCs/>
          <w:lang w:val="en-IN"/>
        </w:rPr>
        <w:t>Theoretical Economics Letters</w:t>
      </w:r>
      <w:r w:rsidRPr="00C723EE">
        <w:rPr>
          <w:lang w:val="en-IN"/>
        </w:rPr>
        <w:t xml:space="preserve">, [online] 12, pp.1362–1377. Doi: </w:t>
      </w:r>
      <w:hyperlink r:id="rId12" w:history="1">
        <w:r w:rsidRPr="00C723EE">
          <w:rPr>
            <w:rStyle w:val="Hyperlink"/>
            <w:lang w:val="en-IN"/>
          </w:rPr>
          <w:t>https://doi.org/10.4236/tel.2022.125075</w:t>
        </w:r>
      </w:hyperlink>
    </w:p>
    <w:p w14:paraId="0A3CA853" w14:textId="77777777" w:rsidR="00D94646" w:rsidRPr="00C723EE" w:rsidRDefault="00D94646" w:rsidP="00D94646">
      <w:pPr>
        <w:spacing w:line="360" w:lineRule="auto"/>
        <w:rPr>
          <w:lang w:val="en-IN"/>
        </w:rPr>
      </w:pPr>
      <w:r w:rsidRPr="00C723EE">
        <w:rPr>
          <w:lang w:val="en-IN"/>
        </w:rPr>
        <w:t xml:space="preserve">Yoon, S.M. and Jiang, E.L. (2021). The effects of financial market shocks on revenue–expense matching: the case of Chinese companies. </w:t>
      </w:r>
      <w:r w:rsidRPr="00C723EE">
        <w:rPr>
          <w:i/>
          <w:iCs/>
          <w:lang w:val="en-IN"/>
        </w:rPr>
        <w:t>Asian Economic and Financial Review</w:t>
      </w:r>
      <w:r w:rsidRPr="00C723EE">
        <w:rPr>
          <w:lang w:val="en-IN"/>
        </w:rPr>
        <w:t xml:space="preserve">, [online] 11(6), pp.1–20. Doi: </w:t>
      </w:r>
      <w:hyperlink r:id="rId13" w:history="1">
        <w:r w:rsidRPr="00C723EE">
          <w:rPr>
            <w:rStyle w:val="Hyperlink"/>
            <w:lang w:val="en-IN"/>
          </w:rPr>
          <w:t>https://archive.aessweb.com/index.php/5002/article/download/2105/7408</w:t>
        </w:r>
      </w:hyperlink>
    </w:p>
    <w:p w14:paraId="2D90EF1E" w14:textId="694B8A98" w:rsidR="00F14974" w:rsidRPr="00D94646" w:rsidRDefault="00D94646" w:rsidP="00D94646">
      <w:pPr>
        <w:spacing w:line="360" w:lineRule="auto"/>
        <w:rPr>
          <w:lang w:val="en-IN"/>
        </w:rPr>
      </w:pPr>
      <w:r w:rsidRPr="00C723EE">
        <w:rPr>
          <w:lang w:val="en-IN"/>
        </w:rPr>
        <w:t xml:space="preserve">Zhou, S. (2021). Current income recognition principle analysis of IFRS 15, ASC 606 and CAS 14. </w:t>
      </w:r>
      <w:r w:rsidRPr="00C723EE">
        <w:rPr>
          <w:i/>
          <w:iCs/>
          <w:lang w:val="en-IN"/>
        </w:rPr>
        <w:t>Proceedings of the 6th International Conference on Financial Innovation and Economic Development (ICFIED 2021)</w:t>
      </w:r>
      <w:r w:rsidRPr="00C723EE">
        <w:rPr>
          <w:lang w:val="en-IN"/>
        </w:rPr>
        <w:t xml:space="preserve">, [online] pp.38–44. Doi: </w:t>
      </w:r>
      <w:hyperlink r:id="rId14" w:history="1">
        <w:r w:rsidRPr="00C723EE">
          <w:rPr>
            <w:rStyle w:val="Hyperlink"/>
            <w:lang w:val="en-IN"/>
          </w:rPr>
          <w:t>https://doi.org/10.2991/aebmr.k.210319.008</w:t>
        </w:r>
      </w:hyperlink>
    </w:p>
    <w:sectPr w:rsidR="00F14974" w:rsidRPr="00D94646" w:rsidSect="00D94646">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6064D" w14:textId="77777777" w:rsidR="00B816D6" w:rsidRDefault="00B816D6">
      <w:pPr>
        <w:spacing w:after="0" w:line="240" w:lineRule="auto"/>
      </w:pPr>
      <w:r>
        <w:separator/>
      </w:r>
    </w:p>
  </w:endnote>
  <w:endnote w:type="continuationSeparator" w:id="0">
    <w:p w14:paraId="6C847663" w14:textId="77777777" w:rsidR="00B816D6" w:rsidRDefault="00B81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009551"/>
      <w:docPartObj>
        <w:docPartGallery w:val="Page Numbers (Bottom of Page)"/>
        <w:docPartUnique/>
      </w:docPartObj>
    </w:sdtPr>
    <w:sdtContent>
      <w:p w14:paraId="57DB9443" w14:textId="77777777" w:rsidR="00D94646" w:rsidRDefault="00D94646">
        <w:pPr>
          <w:pStyle w:val="Footer"/>
          <w:jc w:val="center"/>
        </w:pPr>
        <w:r>
          <w:fldChar w:fldCharType="begin"/>
        </w:r>
        <w:r>
          <w:instrText>PAGE   \* MERGEFORMAT</w:instrText>
        </w:r>
        <w:r>
          <w:fldChar w:fldCharType="separate"/>
        </w:r>
        <w:r>
          <w:rPr>
            <w:lang w:val="en-GB"/>
          </w:rPr>
          <w:t>2</w:t>
        </w:r>
        <w:r>
          <w:fldChar w:fldCharType="end"/>
        </w:r>
      </w:p>
    </w:sdtContent>
  </w:sdt>
  <w:p w14:paraId="1DD3BDE9" w14:textId="77777777" w:rsidR="00D94646" w:rsidRDefault="00D94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7F568" w14:textId="77777777" w:rsidR="00B816D6" w:rsidRDefault="00B816D6">
      <w:pPr>
        <w:spacing w:after="0" w:line="240" w:lineRule="auto"/>
      </w:pPr>
      <w:r>
        <w:separator/>
      </w:r>
    </w:p>
  </w:footnote>
  <w:footnote w:type="continuationSeparator" w:id="0">
    <w:p w14:paraId="08CD95B2" w14:textId="77777777" w:rsidR="00B816D6" w:rsidRDefault="00B816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646"/>
    <w:rsid w:val="00092D5D"/>
    <w:rsid w:val="000D18A1"/>
    <w:rsid w:val="00197732"/>
    <w:rsid w:val="00253274"/>
    <w:rsid w:val="002828A8"/>
    <w:rsid w:val="00320727"/>
    <w:rsid w:val="004E4AC3"/>
    <w:rsid w:val="004F7994"/>
    <w:rsid w:val="005F38DB"/>
    <w:rsid w:val="00675715"/>
    <w:rsid w:val="007A2B41"/>
    <w:rsid w:val="00867727"/>
    <w:rsid w:val="00973DCB"/>
    <w:rsid w:val="00B816D6"/>
    <w:rsid w:val="00C846C6"/>
    <w:rsid w:val="00CD5579"/>
    <w:rsid w:val="00CF7349"/>
    <w:rsid w:val="00D2479A"/>
    <w:rsid w:val="00D94646"/>
    <w:rsid w:val="00E5463A"/>
    <w:rsid w:val="00ED1565"/>
    <w:rsid w:val="00F00F90"/>
    <w:rsid w:val="00F149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9857B"/>
  <w15:chartTrackingRefBased/>
  <w15:docId w15:val="{5396BE80-F9B1-44AF-A5C7-BED4B9C64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646"/>
    <w:pPr>
      <w:jc w:val="both"/>
    </w:pPr>
    <w:rPr>
      <w:rFonts w:ascii="Times New Roman" w:hAnsi="Times New Roman"/>
      <w:szCs w:val="30"/>
      <w:lang w:val="en-US" w:bidi="th-TH"/>
    </w:rPr>
  </w:style>
  <w:style w:type="paragraph" w:styleId="Heading1">
    <w:name w:val="heading 1"/>
    <w:basedOn w:val="Normal"/>
    <w:next w:val="Normal"/>
    <w:link w:val="Heading1Char"/>
    <w:uiPriority w:val="9"/>
    <w:qFormat/>
    <w:rsid w:val="00CF7349"/>
    <w:pPr>
      <w:keepNext/>
      <w:keepLines/>
      <w:spacing w:before="400" w:after="120" w:line="276" w:lineRule="auto"/>
      <w:outlineLvl w:val="0"/>
    </w:pPr>
    <w:rPr>
      <w:rFonts w:eastAsia="Arial" w:cs="Arial"/>
      <w:b/>
      <w:color w:val="000000" w:themeColor="text1"/>
      <w:kern w:val="0"/>
      <w:szCs w:val="40"/>
      <w:lang w:val="en" w:eastAsia="en-IN" w:bidi="ar-SA"/>
      <w14:ligatures w14:val="none"/>
    </w:rPr>
  </w:style>
  <w:style w:type="paragraph" w:styleId="Heading2">
    <w:name w:val="heading 2"/>
    <w:basedOn w:val="Normal"/>
    <w:next w:val="Normal"/>
    <w:link w:val="Heading2Char"/>
    <w:uiPriority w:val="9"/>
    <w:unhideWhenUsed/>
    <w:qFormat/>
    <w:rsid w:val="004E4AC3"/>
    <w:pPr>
      <w:keepNext/>
      <w:keepLines/>
      <w:spacing w:before="160" w:after="80"/>
      <w:outlineLvl w:val="1"/>
    </w:pPr>
    <w:rPr>
      <w:rFonts w:eastAsiaTheme="majorEastAsia" w:cstheme="majorBidi"/>
      <w:b/>
      <w:color w:val="000000" w:themeColor="text1"/>
      <w:szCs w:val="40"/>
      <w:lang w:val="en-IN" w:bidi="ar-SA"/>
    </w:rPr>
  </w:style>
  <w:style w:type="paragraph" w:styleId="Heading3">
    <w:name w:val="heading 3"/>
    <w:basedOn w:val="Normal"/>
    <w:next w:val="Normal"/>
    <w:link w:val="Heading3Char"/>
    <w:uiPriority w:val="9"/>
    <w:semiHidden/>
    <w:unhideWhenUsed/>
    <w:qFormat/>
    <w:rsid w:val="00D2479A"/>
    <w:pPr>
      <w:keepNext/>
      <w:keepLines/>
      <w:spacing w:before="160" w:after="80"/>
      <w:outlineLvl w:val="2"/>
    </w:pPr>
    <w:rPr>
      <w:rFonts w:eastAsiaTheme="majorEastAsia" w:cs="Angsana New"/>
      <w:b/>
      <w:color w:val="000000" w:themeColor="text1"/>
      <w:szCs w:val="35"/>
    </w:rPr>
  </w:style>
  <w:style w:type="paragraph" w:styleId="Heading4">
    <w:name w:val="heading 4"/>
    <w:basedOn w:val="Normal"/>
    <w:next w:val="Normal"/>
    <w:link w:val="Heading4Char"/>
    <w:uiPriority w:val="9"/>
    <w:semiHidden/>
    <w:unhideWhenUsed/>
    <w:qFormat/>
    <w:rsid w:val="00D94646"/>
    <w:pPr>
      <w:keepNext/>
      <w:keepLines/>
      <w:spacing w:before="80" w:after="40"/>
      <w:outlineLvl w:val="3"/>
    </w:pPr>
    <w:rPr>
      <w:rFonts w:asciiTheme="minorHAnsi" w:eastAsiaTheme="majorEastAsia" w:hAnsiTheme="minorHAnsi" w:cs="Angsana New"/>
      <w:i/>
      <w:iCs/>
      <w:color w:val="0F4761" w:themeColor="accent1" w:themeShade="BF"/>
    </w:rPr>
  </w:style>
  <w:style w:type="paragraph" w:styleId="Heading5">
    <w:name w:val="heading 5"/>
    <w:basedOn w:val="Normal"/>
    <w:next w:val="Normal"/>
    <w:link w:val="Heading5Char"/>
    <w:uiPriority w:val="9"/>
    <w:semiHidden/>
    <w:unhideWhenUsed/>
    <w:qFormat/>
    <w:rsid w:val="00D94646"/>
    <w:pPr>
      <w:keepNext/>
      <w:keepLines/>
      <w:spacing w:before="80" w:after="40"/>
      <w:outlineLvl w:val="4"/>
    </w:pPr>
    <w:rPr>
      <w:rFonts w:asciiTheme="minorHAnsi" w:eastAsiaTheme="majorEastAsia" w:hAnsiTheme="minorHAnsi" w:cs="Angsana New"/>
      <w:color w:val="0F4761" w:themeColor="accent1" w:themeShade="BF"/>
    </w:rPr>
  </w:style>
  <w:style w:type="paragraph" w:styleId="Heading6">
    <w:name w:val="heading 6"/>
    <w:basedOn w:val="Normal"/>
    <w:next w:val="Normal"/>
    <w:link w:val="Heading6Char"/>
    <w:uiPriority w:val="9"/>
    <w:semiHidden/>
    <w:unhideWhenUsed/>
    <w:qFormat/>
    <w:rsid w:val="00D94646"/>
    <w:pPr>
      <w:keepNext/>
      <w:keepLines/>
      <w:spacing w:before="40" w:after="0"/>
      <w:outlineLvl w:val="5"/>
    </w:pPr>
    <w:rPr>
      <w:rFonts w:asciiTheme="minorHAnsi" w:eastAsiaTheme="majorEastAsia" w:hAnsiTheme="minorHAnsi" w:cs="Angsana New"/>
      <w:i/>
      <w:iCs/>
      <w:color w:val="595959" w:themeColor="text1" w:themeTint="A6"/>
    </w:rPr>
  </w:style>
  <w:style w:type="paragraph" w:styleId="Heading7">
    <w:name w:val="heading 7"/>
    <w:basedOn w:val="Normal"/>
    <w:next w:val="Normal"/>
    <w:link w:val="Heading7Char"/>
    <w:uiPriority w:val="9"/>
    <w:semiHidden/>
    <w:unhideWhenUsed/>
    <w:qFormat/>
    <w:rsid w:val="00D94646"/>
    <w:pPr>
      <w:keepNext/>
      <w:keepLines/>
      <w:spacing w:before="40" w:after="0"/>
      <w:outlineLvl w:val="6"/>
    </w:pPr>
    <w:rPr>
      <w:rFonts w:asciiTheme="minorHAnsi" w:eastAsiaTheme="majorEastAsia" w:hAnsiTheme="minorHAnsi" w:cs="Angsana New"/>
      <w:color w:val="595959" w:themeColor="text1" w:themeTint="A6"/>
    </w:rPr>
  </w:style>
  <w:style w:type="paragraph" w:styleId="Heading8">
    <w:name w:val="heading 8"/>
    <w:basedOn w:val="Normal"/>
    <w:next w:val="Normal"/>
    <w:link w:val="Heading8Char"/>
    <w:uiPriority w:val="9"/>
    <w:semiHidden/>
    <w:unhideWhenUsed/>
    <w:qFormat/>
    <w:rsid w:val="00D94646"/>
    <w:pPr>
      <w:keepNext/>
      <w:keepLines/>
      <w:spacing w:after="0"/>
      <w:outlineLvl w:val="7"/>
    </w:pPr>
    <w:rPr>
      <w:rFonts w:asciiTheme="minorHAnsi" w:eastAsiaTheme="majorEastAsia" w:hAnsiTheme="minorHAnsi" w:cs="Angsana New"/>
      <w:i/>
      <w:iCs/>
      <w:color w:val="272727" w:themeColor="text1" w:themeTint="D8"/>
    </w:rPr>
  </w:style>
  <w:style w:type="paragraph" w:styleId="Heading9">
    <w:name w:val="heading 9"/>
    <w:basedOn w:val="Normal"/>
    <w:next w:val="Normal"/>
    <w:link w:val="Heading9Char"/>
    <w:uiPriority w:val="9"/>
    <w:semiHidden/>
    <w:unhideWhenUsed/>
    <w:qFormat/>
    <w:rsid w:val="00D94646"/>
    <w:pPr>
      <w:keepNext/>
      <w:keepLines/>
      <w:spacing w:after="0"/>
      <w:outlineLvl w:val="8"/>
    </w:pPr>
    <w:rPr>
      <w:rFonts w:asciiTheme="minorHAnsi" w:eastAsiaTheme="majorEastAsia" w:hAnsiTheme="minorHAnsi" w:cs="Angsana New"/>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349"/>
    <w:rPr>
      <w:rFonts w:ascii="Times New Roman" w:eastAsia="Arial" w:hAnsi="Times New Roman" w:cs="Arial"/>
      <w:b/>
      <w:color w:val="000000" w:themeColor="text1"/>
      <w:kern w:val="0"/>
      <w:szCs w:val="40"/>
      <w:lang w:val="en" w:eastAsia="en-IN"/>
      <w14:ligatures w14:val="none"/>
    </w:rPr>
  </w:style>
  <w:style w:type="character" w:customStyle="1" w:styleId="Heading2Char">
    <w:name w:val="Heading 2 Char"/>
    <w:basedOn w:val="DefaultParagraphFont"/>
    <w:link w:val="Heading2"/>
    <w:uiPriority w:val="9"/>
    <w:rsid w:val="004E4AC3"/>
    <w:rPr>
      <w:rFonts w:ascii="Times New Roman" w:eastAsiaTheme="majorEastAsia" w:hAnsi="Times New Roman" w:cstheme="majorBidi"/>
      <w:b/>
      <w:color w:val="000000" w:themeColor="text1"/>
      <w:szCs w:val="40"/>
    </w:rPr>
  </w:style>
  <w:style w:type="character" w:customStyle="1" w:styleId="Heading3Char">
    <w:name w:val="Heading 3 Char"/>
    <w:basedOn w:val="DefaultParagraphFont"/>
    <w:link w:val="Heading3"/>
    <w:uiPriority w:val="9"/>
    <w:semiHidden/>
    <w:rsid w:val="00D2479A"/>
    <w:rPr>
      <w:rFonts w:ascii="Times New Roman" w:eastAsiaTheme="majorEastAsia" w:hAnsi="Times New Roman" w:cs="Angsana New"/>
      <w:b/>
      <w:color w:val="000000" w:themeColor="text1"/>
      <w:szCs w:val="35"/>
      <w:lang w:val="en-US" w:bidi="th-TH"/>
    </w:rPr>
  </w:style>
  <w:style w:type="character" w:customStyle="1" w:styleId="Heading4Char">
    <w:name w:val="Heading 4 Char"/>
    <w:basedOn w:val="DefaultParagraphFont"/>
    <w:link w:val="Heading4"/>
    <w:uiPriority w:val="9"/>
    <w:semiHidden/>
    <w:rsid w:val="00D94646"/>
    <w:rPr>
      <w:rFonts w:eastAsiaTheme="majorEastAsia" w:cs="Angsana New"/>
      <w:i/>
      <w:iCs/>
      <w:color w:val="0F4761" w:themeColor="accent1" w:themeShade="BF"/>
      <w:szCs w:val="30"/>
      <w:lang w:val="en-US" w:bidi="th-TH"/>
    </w:rPr>
  </w:style>
  <w:style w:type="character" w:customStyle="1" w:styleId="Heading5Char">
    <w:name w:val="Heading 5 Char"/>
    <w:basedOn w:val="DefaultParagraphFont"/>
    <w:link w:val="Heading5"/>
    <w:uiPriority w:val="9"/>
    <w:semiHidden/>
    <w:rsid w:val="00D94646"/>
    <w:rPr>
      <w:rFonts w:eastAsiaTheme="majorEastAsia" w:cs="Angsana New"/>
      <w:color w:val="0F4761" w:themeColor="accent1" w:themeShade="BF"/>
      <w:szCs w:val="30"/>
      <w:lang w:val="en-US" w:bidi="th-TH"/>
    </w:rPr>
  </w:style>
  <w:style w:type="character" w:customStyle="1" w:styleId="Heading6Char">
    <w:name w:val="Heading 6 Char"/>
    <w:basedOn w:val="DefaultParagraphFont"/>
    <w:link w:val="Heading6"/>
    <w:uiPriority w:val="9"/>
    <w:semiHidden/>
    <w:rsid w:val="00D94646"/>
    <w:rPr>
      <w:rFonts w:eastAsiaTheme="majorEastAsia" w:cs="Angsana New"/>
      <w:i/>
      <w:iCs/>
      <w:color w:val="595959" w:themeColor="text1" w:themeTint="A6"/>
      <w:szCs w:val="30"/>
      <w:lang w:val="en-US" w:bidi="th-TH"/>
    </w:rPr>
  </w:style>
  <w:style w:type="character" w:customStyle="1" w:styleId="Heading7Char">
    <w:name w:val="Heading 7 Char"/>
    <w:basedOn w:val="DefaultParagraphFont"/>
    <w:link w:val="Heading7"/>
    <w:uiPriority w:val="9"/>
    <w:semiHidden/>
    <w:rsid w:val="00D94646"/>
    <w:rPr>
      <w:rFonts w:eastAsiaTheme="majorEastAsia" w:cs="Angsana New"/>
      <w:color w:val="595959" w:themeColor="text1" w:themeTint="A6"/>
      <w:szCs w:val="30"/>
      <w:lang w:val="en-US" w:bidi="th-TH"/>
    </w:rPr>
  </w:style>
  <w:style w:type="character" w:customStyle="1" w:styleId="Heading8Char">
    <w:name w:val="Heading 8 Char"/>
    <w:basedOn w:val="DefaultParagraphFont"/>
    <w:link w:val="Heading8"/>
    <w:uiPriority w:val="9"/>
    <w:semiHidden/>
    <w:rsid w:val="00D94646"/>
    <w:rPr>
      <w:rFonts w:eastAsiaTheme="majorEastAsia" w:cs="Angsana New"/>
      <w:i/>
      <w:iCs/>
      <w:color w:val="272727" w:themeColor="text1" w:themeTint="D8"/>
      <w:szCs w:val="30"/>
      <w:lang w:val="en-US" w:bidi="th-TH"/>
    </w:rPr>
  </w:style>
  <w:style w:type="character" w:customStyle="1" w:styleId="Heading9Char">
    <w:name w:val="Heading 9 Char"/>
    <w:basedOn w:val="DefaultParagraphFont"/>
    <w:link w:val="Heading9"/>
    <w:uiPriority w:val="9"/>
    <w:semiHidden/>
    <w:rsid w:val="00D94646"/>
    <w:rPr>
      <w:rFonts w:eastAsiaTheme="majorEastAsia" w:cs="Angsana New"/>
      <w:color w:val="272727" w:themeColor="text1" w:themeTint="D8"/>
      <w:szCs w:val="30"/>
      <w:lang w:val="en-US" w:bidi="th-TH"/>
    </w:rPr>
  </w:style>
  <w:style w:type="paragraph" w:styleId="Title">
    <w:name w:val="Title"/>
    <w:basedOn w:val="Normal"/>
    <w:next w:val="Normal"/>
    <w:link w:val="TitleChar"/>
    <w:uiPriority w:val="10"/>
    <w:qFormat/>
    <w:rsid w:val="00D94646"/>
    <w:pPr>
      <w:spacing w:after="80" w:line="240" w:lineRule="auto"/>
      <w:contextualSpacing/>
    </w:pPr>
    <w:rPr>
      <w:rFonts w:asciiTheme="majorHAnsi" w:eastAsiaTheme="majorEastAsia" w:hAnsiTheme="majorHAnsi" w:cs="Angsana New"/>
      <w:spacing w:val="-10"/>
      <w:kern w:val="28"/>
      <w:sz w:val="56"/>
      <w:szCs w:val="71"/>
    </w:rPr>
  </w:style>
  <w:style w:type="character" w:customStyle="1" w:styleId="TitleChar">
    <w:name w:val="Title Char"/>
    <w:basedOn w:val="DefaultParagraphFont"/>
    <w:link w:val="Title"/>
    <w:uiPriority w:val="10"/>
    <w:rsid w:val="00D94646"/>
    <w:rPr>
      <w:rFonts w:asciiTheme="majorHAnsi" w:eastAsiaTheme="majorEastAsia" w:hAnsiTheme="majorHAnsi" w:cs="Angsana New"/>
      <w:spacing w:val="-10"/>
      <w:kern w:val="28"/>
      <w:sz w:val="56"/>
      <w:szCs w:val="71"/>
      <w:lang w:val="en-US" w:bidi="th-TH"/>
    </w:rPr>
  </w:style>
  <w:style w:type="paragraph" w:styleId="Subtitle">
    <w:name w:val="Subtitle"/>
    <w:basedOn w:val="Normal"/>
    <w:next w:val="Normal"/>
    <w:link w:val="SubtitleChar"/>
    <w:uiPriority w:val="11"/>
    <w:qFormat/>
    <w:rsid w:val="00D94646"/>
    <w:pPr>
      <w:numPr>
        <w:ilvl w:val="1"/>
      </w:numPr>
    </w:pPr>
    <w:rPr>
      <w:rFonts w:asciiTheme="minorHAnsi" w:eastAsiaTheme="majorEastAsia" w:hAnsiTheme="minorHAnsi" w:cs="Angsana New"/>
      <w:color w:val="595959" w:themeColor="text1" w:themeTint="A6"/>
      <w:spacing w:val="15"/>
      <w:sz w:val="28"/>
      <w:szCs w:val="35"/>
    </w:rPr>
  </w:style>
  <w:style w:type="character" w:customStyle="1" w:styleId="SubtitleChar">
    <w:name w:val="Subtitle Char"/>
    <w:basedOn w:val="DefaultParagraphFont"/>
    <w:link w:val="Subtitle"/>
    <w:uiPriority w:val="11"/>
    <w:rsid w:val="00D94646"/>
    <w:rPr>
      <w:rFonts w:eastAsiaTheme="majorEastAsia" w:cs="Angsana New"/>
      <w:color w:val="595959" w:themeColor="text1" w:themeTint="A6"/>
      <w:spacing w:val="15"/>
      <w:sz w:val="28"/>
      <w:szCs w:val="35"/>
      <w:lang w:val="en-US" w:bidi="th-TH"/>
    </w:rPr>
  </w:style>
  <w:style w:type="paragraph" w:styleId="Quote">
    <w:name w:val="Quote"/>
    <w:basedOn w:val="Normal"/>
    <w:next w:val="Normal"/>
    <w:link w:val="QuoteChar"/>
    <w:uiPriority w:val="29"/>
    <w:qFormat/>
    <w:rsid w:val="00D94646"/>
    <w:pPr>
      <w:spacing w:before="160"/>
      <w:jc w:val="center"/>
    </w:pPr>
    <w:rPr>
      <w:rFonts w:cs="Angsana New"/>
      <w:i/>
      <w:iCs/>
      <w:color w:val="404040" w:themeColor="text1" w:themeTint="BF"/>
    </w:rPr>
  </w:style>
  <w:style w:type="character" w:customStyle="1" w:styleId="QuoteChar">
    <w:name w:val="Quote Char"/>
    <w:basedOn w:val="DefaultParagraphFont"/>
    <w:link w:val="Quote"/>
    <w:uiPriority w:val="29"/>
    <w:rsid w:val="00D94646"/>
    <w:rPr>
      <w:rFonts w:ascii="Times New Roman" w:hAnsi="Times New Roman" w:cs="Angsana New"/>
      <w:i/>
      <w:iCs/>
      <w:color w:val="404040" w:themeColor="text1" w:themeTint="BF"/>
      <w:szCs w:val="30"/>
      <w:lang w:val="en-US" w:bidi="th-TH"/>
    </w:rPr>
  </w:style>
  <w:style w:type="paragraph" w:styleId="ListParagraph">
    <w:name w:val="List Paragraph"/>
    <w:basedOn w:val="Normal"/>
    <w:uiPriority w:val="34"/>
    <w:qFormat/>
    <w:rsid w:val="00D94646"/>
    <w:pPr>
      <w:ind w:left="720"/>
      <w:contextualSpacing/>
    </w:pPr>
    <w:rPr>
      <w:rFonts w:cs="Angsana New"/>
    </w:rPr>
  </w:style>
  <w:style w:type="character" w:styleId="IntenseEmphasis">
    <w:name w:val="Intense Emphasis"/>
    <w:basedOn w:val="DefaultParagraphFont"/>
    <w:uiPriority w:val="21"/>
    <w:qFormat/>
    <w:rsid w:val="00D94646"/>
    <w:rPr>
      <w:i/>
      <w:iCs/>
      <w:color w:val="0F4761" w:themeColor="accent1" w:themeShade="BF"/>
    </w:rPr>
  </w:style>
  <w:style w:type="paragraph" w:styleId="IntenseQuote">
    <w:name w:val="Intense Quote"/>
    <w:basedOn w:val="Normal"/>
    <w:next w:val="Normal"/>
    <w:link w:val="IntenseQuoteChar"/>
    <w:uiPriority w:val="30"/>
    <w:qFormat/>
    <w:rsid w:val="00D94646"/>
    <w:pPr>
      <w:pBdr>
        <w:top w:val="single" w:sz="4" w:space="10" w:color="0F4761" w:themeColor="accent1" w:themeShade="BF"/>
        <w:bottom w:val="single" w:sz="4" w:space="10" w:color="0F4761" w:themeColor="accent1" w:themeShade="BF"/>
      </w:pBdr>
      <w:spacing w:before="360" w:after="360"/>
      <w:ind w:left="864" w:right="864"/>
      <w:jc w:val="center"/>
    </w:pPr>
    <w:rPr>
      <w:rFonts w:cs="Angsana New"/>
      <w:i/>
      <w:iCs/>
      <w:color w:val="0F4761" w:themeColor="accent1" w:themeShade="BF"/>
    </w:rPr>
  </w:style>
  <w:style w:type="character" w:customStyle="1" w:styleId="IntenseQuoteChar">
    <w:name w:val="Intense Quote Char"/>
    <w:basedOn w:val="DefaultParagraphFont"/>
    <w:link w:val="IntenseQuote"/>
    <w:uiPriority w:val="30"/>
    <w:rsid w:val="00D94646"/>
    <w:rPr>
      <w:rFonts w:ascii="Times New Roman" w:hAnsi="Times New Roman" w:cs="Angsana New"/>
      <w:i/>
      <w:iCs/>
      <w:color w:val="0F4761" w:themeColor="accent1" w:themeShade="BF"/>
      <w:szCs w:val="30"/>
      <w:lang w:val="en-US" w:bidi="th-TH"/>
    </w:rPr>
  </w:style>
  <w:style w:type="character" w:styleId="IntenseReference">
    <w:name w:val="Intense Reference"/>
    <w:basedOn w:val="DefaultParagraphFont"/>
    <w:uiPriority w:val="32"/>
    <w:qFormat/>
    <w:rsid w:val="00D94646"/>
    <w:rPr>
      <w:b/>
      <w:bCs/>
      <w:smallCaps/>
      <w:color w:val="0F4761" w:themeColor="accent1" w:themeShade="BF"/>
      <w:spacing w:val="5"/>
    </w:rPr>
  </w:style>
  <w:style w:type="character" w:styleId="Hyperlink">
    <w:name w:val="Hyperlink"/>
    <w:basedOn w:val="DefaultParagraphFont"/>
    <w:uiPriority w:val="99"/>
    <w:unhideWhenUsed/>
    <w:rsid w:val="00D94646"/>
    <w:rPr>
      <w:color w:val="467886" w:themeColor="hyperlink"/>
      <w:u w:val="single"/>
    </w:rPr>
  </w:style>
  <w:style w:type="paragraph" w:styleId="TOCHeading">
    <w:name w:val="TOC Heading"/>
    <w:basedOn w:val="Heading1"/>
    <w:next w:val="Normal"/>
    <w:uiPriority w:val="39"/>
    <w:unhideWhenUsed/>
    <w:qFormat/>
    <w:rsid w:val="00D94646"/>
    <w:pPr>
      <w:spacing w:before="240" w:after="0" w:line="259" w:lineRule="auto"/>
      <w:jc w:val="left"/>
      <w:outlineLvl w:val="9"/>
    </w:pPr>
    <w:rPr>
      <w:rFonts w:asciiTheme="majorHAnsi" w:eastAsiaTheme="majorEastAsia" w:hAnsiTheme="majorHAnsi" w:cstheme="majorBidi"/>
      <w:b w:val="0"/>
      <w:color w:val="0F4761" w:themeColor="accent1" w:themeShade="BF"/>
      <w:sz w:val="32"/>
      <w:szCs w:val="32"/>
      <w:lang w:val="en-IN"/>
    </w:rPr>
  </w:style>
  <w:style w:type="paragraph" w:styleId="TOC1">
    <w:name w:val="toc 1"/>
    <w:basedOn w:val="Normal"/>
    <w:next w:val="Normal"/>
    <w:autoRedefine/>
    <w:uiPriority w:val="39"/>
    <w:unhideWhenUsed/>
    <w:rsid w:val="00D94646"/>
    <w:pPr>
      <w:spacing w:after="100"/>
    </w:pPr>
    <w:rPr>
      <w:rFonts w:cs="Angsana New"/>
    </w:rPr>
  </w:style>
  <w:style w:type="paragraph" w:styleId="TOC2">
    <w:name w:val="toc 2"/>
    <w:basedOn w:val="Normal"/>
    <w:next w:val="Normal"/>
    <w:autoRedefine/>
    <w:uiPriority w:val="39"/>
    <w:unhideWhenUsed/>
    <w:rsid w:val="00D94646"/>
    <w:pPr>
      <w:spacing w:after="100"/>
      <w:ind w:left="240"/>
    </w:pPr>
    <w:rPr>
      <w:rFonts w:cs="Angsana New"/>
    </w:rPr>
  </w:style>
  <w:style w:type="paragraph" w:styleId="Footer">
    <w:name w:val="footer"/>
    <w:basedOn w:val="Normal"/>
    <w:link w:val="FooterChar"/>
    <w:uiPriority w:val="99"/>
    <w:unhideWhenUsed/>
    <w:rsid w:val="00D94646"/>
    <w:pPr>
      <w:tabs>
        <w:tab w:val="center" w:pos="4513"/>
        <w:tab w:val="right" w:pos="9026"/>
      </w:tabs>
      <w:spacing w:after="0" w:line="240" w:lineRule="auto"/>
    </w:pPr>
    <w:rPr>
      <w:rFonts w:cs="Angsana New"/>
    </w:rPr>
  </w:style>
  <w:style w:type="character" w:customStyle="1" w:styleId="FooterChar">
    <w:name w:val="Footer Char"/>
    <w:basedOn w:val="DefaultParagraphFont"/>
    <w:link w:val="Footer"/>
    <w:uiPriority w:val="99"/>
    <w:rsid w:val="00D94646"/>
    <w:rPr>
      <w:rFonts w:ascii="Times New Roman" w:hAnsi="Times New Roman" w:cs="Angsana New"/>
      <w:szCs w:val="30"/>
      <w:lang w:val="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9790/5933-1605044054" TargetMode="External"/><Relationship Id="rId13" Type="http://schemas.openxmlformats.org/officeDocument/2006/relationships/hyperlink" Target="https://archive.aessweb.com/index.php/5002/article/download/2105/7408" TargetMode="External"/><Relationship Id="rId3" Type="http://schemas.openxmlformats.org/officeDocument/2006/relationships/webSettings" Target="webSettings.xml"/><Relationship Id="rId7" Type="http://schemas.openxmlformats.org/officeDocument/2006/relationships/hyperlink" Target="https://journals.iarn.or.id/index.php/ARJ/article/download/208/141" TargetMode="External"/><Relationship Id="rId12" Type="http://schemas.openxmlformats.org/officeDocument/2006/relationships/hyperlink" Target="https://doi.org/10.4236/tel.2022.125075"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cirp.org/pdf/ajor2025153_11040914.pdf" TargetMode="External"/><Relationship Id="rId11" Type="http://schemas.openxmlformats.org/officeDocument/2006/relationships/hyperlink" Target="https://doi.org/10.35912/ijfam.v4i1.852"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ajpojournals.org/journals/AJACC/article/view/2544" TargetMode="External"/><Relationship Id="rId4" Type="http://schemas.openxmlformats.org/officeDocument/2006/relationships/footnotes" Target="footnotes.xml"/><Relationship Id="rId9" Type="http://schemas.openxmlformats.org/officeDocument/2006/relationships/hyperlink" Target="https://doi.org/10.3390/jrfm15110495" TargetMode="External"/><Relationship Id="rId14" Type="http://schemas.openxmlformats.org/officeDocument/2006/relationships/hyperlink" Target="https://doi.org/10.2991/aebmr.k.21031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10</Pages>
  <Words>2334</Words>
  <Characters>13307</Characters>
  <Application>Microsoft Office Word</Application>
  <DocSecurity>0</DocSecurity>
  <Lines>110</Lines>
  <Paragraphs>31</Paragraphs>
  <ScaleCrop>false</ScaleCrop>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Roronoa Zoro</cp:lastModifiedBy>
  <cp:revision>4</cp:revision>
  <dcterms:created xsi:type="dcterms:W3CDTF">2026-08-07T04:57:00Z</dcterms:created>
  <dcterms:modified xsi:type="dcterms:W3CDTF">2026-08-07T09:35:00Z</dcterms:modified>
</cp:coreProperties>
</file>