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CB16598" w:rsidR="000D12EF" w:rsidRPr="008B097C" w:rsidRDefault="008F64CE" w:rsidP="00013DBD">
      <w:pPr>
        <w:spacing w:line="480" w:lineRule="auto"/>
        <w:rPr>
          <w:rFonts w:ascii="Times New Roman" w:hAnsi="Times New Roman" w:cs="Times New Roman"/>
          <w:color w:val="000000" w:themeColor="text1"/>
          <w:szCs w:val="24"/>
          <w:lang w:val="en-US"/>
        </w:rPr>
      </w:pPr>
      <w:bookmarkStart w:id="0" w:name="_Hlk215311086"/>
      <w:r w:rsidRPr="008B097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6EE01A28">
            <wp:simplePos x="0" y="0"/>
            <wp:positionH relativeFrom="margin">
              <wp:posOffset>2409190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512612F0" w:rsidR="00D33052" w:rsidRPr="008B097C" w:rsidRDefault="00D33052" w:rsidP="00013DBD">
      <w:pPr>
        <w:spacing w:line="480" w:lineRule="auto"/>
        <w:rPr>
          <w:rFonts w:ascii="Times New Roman" w:hAnsi="Times New Roman" w:cs="Times New Roman"/>
          <w:color w:val="000000" w:themeColor="text1"/>
          <w:szCs w:val="24"/>
          <w:lang w:val="en-US"/>
        </w:rPr>
      </w:pPr>
    </w:p>
    <w:p w14:paraId="0C7555A9" w14:textId="77777777" w:rsidR="004A1F6F" w:rsidRPr="008B097C" w:rsidRDefault="004A1F6F" w:rsidP="008F64CE">
      <w:pPr>
        <w:spacing w:line="480" w:lineRule="auto"/>
        <w:rPr>
          <w:rFonts w:ascii="Times New Roman" w:hAnsi="Times New Roman" w:cs="Times New Roman"/>
          <w:color w:val="000000" w:themeColor="text1"/>
          <w:szCs w:val="24"/>
        </w:rPr>
      </w:pPr>
    </w:p>
    <w:p w14:paraId="1EA74B89" w14:textId="433FAF73" w:rsidR="00CC17BF" w:rsidRPr="008B097C" w:rsidRDefault="00616AFE" w:rsidP="008F64CE">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00F72ED2" w:rsidRPr="008B097C">
        <w:rPr>
          <w:rFonts w:ascii="Times New Roman" w:hAnsi="Times New Roman" w:cs="Times New Roman"/>
          <w:b/>
          <w:bCs/>
          <w:color w:val="000000" w:themeColor="text1"/>
          <w:szCs w:val="24"/>
        </w:rPr>
        <w:t>in Tourism and Recreation</w:t>
      </w:r>
      <w:r w:rsidR="009E4B24" w:rsidRPr="008B097C">
        <w:rPr>
          <w:rFonts w:ascii="Times New Roman" w:hAnsi="Times New Roman" w:cs="Times New Roman"/>
          <w:b/>
          <w:bCs/>
          <w:color w:val="000000" w:themeColor="text1"/>
          <w:szCs w:val="24"/>
        </w:rPr>
        <w:br/>
      </w:r>
      <w:r w:rsidR="00D977B3" w:rsidRPr="008B097C">
        <w:rPr>
          <w:rFonts w:ascii="Times New Roman" w:hAnsi="Times New Roman" w:cs="Times New Roman"/>
          <w:b/>
          <w:bCs/>
          <w:color w:val="000000" w:themeColor="text1"/>
          <w:szCs w:val="24"/>
        </w:rPr>
        <w:t>M08 – Business Ethics &amp; CSR</w:t>
      </w:r>
    </w:p>
    <w:p w14:paraId="0C810455"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bookmarkStart w:id="1" w:name="_Toc215315556"/>
      <w:bookmarkEnd w:id="0"/>
      <w:r w:rsidRPr="008B097C">
        <w:rPr>
          <w:rStyle w:val="Heading1Char"/>
          <w:rFonts w:ascii="Times New Roman" w:hAnsi="Times New Roman" w:cs="Times New Roman"/>
          <w:b/>
          <w:bCs/>
          <w:noProof/>
          <w:color w:val="000000" w:themeColor="text1"/>
          <w:sz w:val="24"/>
          <w:szCs w:val="24"/>
        </w:rPr>
        <w:drawing>
          <wp:inline distT="0" distB="0" distL="0" distR="0" wp14:anchorId="2864E0B6" wp14:editId="734EB5B2">
            <wp:extent cx="5943600" cy="4199255"/>
            <wp:effectExtent l="0" t="0" r="0" b="0"/>
            <wp:docPr id="1807163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163548" name=""/>
                    <pic:cNvPicPr/>
                  </pic:nvPicPr>
                  <pic:blipFill>
                    <a:blip r:embed="rId7"/>
                    <a:stretch>
                      <a:fillRect/>
                    </a:stretch>
                  </pic:blipFill>
                  <pic:spPr>
                    <a:xfrm>
                      <a:off x="0" y="0"/>
                      <a:ext cx="5943600" cy="4199255"/>
                    </a:xfrm>
                    <a:prstGeom prst="rect">
                      <a:avLst/>
                    </a:prstGeom>
                  </pic:spPr>
                </pic:pic>
              </a:graphicData>
            </a:graphic>
          </wp:inline>
        </w:drawing>
      </w:r>
    </w:p>
    <w:p w14:paraId="4666722C"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49A1EA93"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15F61D15"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623DAE7B"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400F80C5" w14:textId="1DC679DC" w:rsidR="00B8708C" w:rsidRPr="008B097C" w:rsidRDefault="00D33052" w:rsidP="00B8708C">
      <w:pPr>
        <w:spacing w:line="480" w:lineRule="auto"/>
        <w:rPr>
          <w:rFonts w:ascii="Times New Roman" w:hAnsi="Times New Roman" w:cs="Times New Roman"/>
          <w:color w:val="000000" w:themeColor="text1"/>
          <w:szCs w:val="24"/>
        </w:rPr>
      </w:pPr>
      <w:r w:rsidRPr="008B097C">
        <w:rPr>
          <w:rStyle w:val="Heading1Char"/>
          <w:rFonts w:ascii="Times New Roman" w:hAnsi="Times New Roman" w:cs="Times New Roman"/>
          <w:b/>
          <w:bCs/>
          <w:color w:val="000000" w:themeColor="text1"/>
          <w:sz w:val="24"/>
          <w:szCs w:val="24"/>
        </w:rPr>
        <w:lastRenderedPageBreak/>
        <w:t>Abstract</w:t>
      </w:r>
      <w:bookmarkEnd w:id="1"/>
    </w:p>
    <w:p w14:paraId="7525E031" w14:textId="77777777" w:rsidR="00D977B3" w:rsidRPr="008B097C" w:rsidRDefault="00D977B3" w:rsidP="00D977B3">
      <w:pPr>
        <w:spacing w:line="480" w:lineRule="auto"/>
        <w:rPr>
          <w:rFonts w:ascii="Times New Roman" w:eastAsia="Times New Roman" w:hAnsi="Times New Roman" w:cs="Times New Roman"/>
          <w:kern w:val="0"/>
          <w:szCs w:val="24"/>
          <w:lang w:eastAsia="en-GB"/>
          <w14:ligatures w14:val="none"/>
        </w:rPr>
      </w:pPr>
      <w:r w:rsidRPr="008B097C">
        <w:rPr>
          <w:rFonts w:ascii="Times New Roman" w:eastAsia="Times New Roman" w:hAnsi="Times New Roman" w:cs="Times New Roman"/>
          <w:kern w:val="0"/>
          <w:szCs w:val="24"/>
          <w:lang w:eastAsia="en-GB"/>
          <w14:ligatures w14:val="none"/>
        </w:rPr>
        <w:t xml:space="preserve">Business ethics and corporate social responsibility (CSR) have become central to organisational decision-making as firms face growing scrutiny from employees, consumers, investors, regulators and wider society. This report critically examines how organisations can integrate ethical principles into strategic and operational decisions and evaluates the implications of such integration for corporate responsibility. Particular attention is given to stakeholder theory, utilitarian ethics, deontological ethics and virtue ethics as complementary frameworks for evaluating organisational conduct. The report also examines ethical leadership because formal codes and CSR commitments are unlikely to influence organisational behaviour unless leaders establish accountability, encourage employee voice and align incentives with ethical expectations. Contemporary research suggests that ethical leadership can strengthen organisational trust, ethical climate and sustainable employee behaviour, while unethical leadership can normalise misconduct and increase organisational risk (Dey et al., 2022; Eisenbeiß &amp; Brodbeck, 2014; Ünal et al., 2022). The Volkswagen emissions scandal is employed as the principal real-world case because it illustrates the conflict that can arise between commercial objectives, regulatory compliance, environmental responsibility and stakeholder interests. Volkswagen’s use of emissions-defeating software demonstrates how organisational pressures and governance weaknesses can transform an operational problem into a major ethical failure affecting customers, regulators, investors, employees and society (Zhang, 2021). Using a qualitative secondary-research methodology, the report integrates academic literature, theoretical frameworks and case evidence. The findings indicate that sustainable ethical performance requires more than compliance: organisations must embed ethical reasoning into governance, leadership, performance measurement, risk management and stakeholder engagement. The report </w:t>
      </w:r>
      <w:r w:rsidRPr="008B097C">
        <w:rPr>
          <w:rFonts w:ascii="Times New Roman" w:eastAsia="Times New Roman" w:hAnsi="Times New Roman" w:cs="Times New Roman"/>
          <w:kern w:val="0"/>
          <w:szCs w:val="24"/>
          <w:lang w:eastAsia="en-GB"/>
          <w14:ligatures w14:val="none"/>
        </w:rPr>
        <w:lastRenderedPageBreak/>
        <w:t>consequently recommends ethics-based decision protocols, stronger board oversight, protected employee voice, responsible incentive structures and transparent stakeholder accountability.</w:t>
      </w:r>
    </w:p>
    <w:p w14:paraId="49169FBA" w14:textId="77777777" w:rsidR="00D977B3" w:rsidRPr="008B097C" w:rsidRDefault="00D977B3" w:rsidP="00D977B3">
      <w:pPr>
        <w:spacing w:line="480" w:lineRule="auto"/>
        <w:rPr>
          <w:rFonts w:ascii="Times New Roman" w:eastAsia="Times New Roman" w:hAnsi="Times New Roman" w:cs="Times New Roman"/>
          <w:kern w:val="0"/>
          <w:szCs w:val="24"/>
          <w:lang w:eastAsia="en-GB"/>
          <w14:ligatures w14:val="none"/>
        </w:rPr>
      </w:pPr>
      <w:r w:rsidRPr="008B097C">
        <w:rPr>
          <w:rFonts w:ascii="Times New Roman" w:eastAsia="Times New Roman" w:hAnsi="Times New Roman" w:cs="Times New Roman"/>
          <w:b/>
          <w:bCs/>
          <w:kern w:val="0"/>
          <w:szCs w:val="24"/>
          <w:lang w:eastAsia="en-GB"/>
          <w14:ligatures w14:val="none"/>
        </w:rPr>
        <w:t>Keywords:</w:t>
      </w:r>
      <w:r w:rsidRPr="008B097C">
        <w:rPr>
          <w:rFonts w:ascii="Times New Roman" w:eastAsia="Times New Roman" w:hAnsi="Times New Roman" w:cs="Times New Roman"/>
          <w:kern w:val="0"/>
          <w:szCs w:val="24"/>
          <w:lang w:eastAsia="en-GB"/>
          <w14:ligatures w14:val="none"/>
        </w:rPr>
        <w:t xml:space="preserve"> business ethics, corporate social responsibility, ethical decision-making, stakeholder theory, ethical leadership, Volkswagen, sustainability</w:t>
      </w:r>
    </w:p>
    <w:p w14:paraId="26E0929E" w14:textId="77777777" w:rsidR="00D558A7" w:rsidRPr="008B097C"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8B097C" w:rsidRDefault="004D7D13" w:rsidP="00C03804">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Contents</w:t>
          </w:r>
        </w:p>
        <w:p w14:paraId="664EA801" w14:textId="696B60AA" w:rsidR="003D3D21" w:rsidRPr="008B097C"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8B097C">
            <w:rPr>
              <w:rFonts w:ascii="Times New Roman" w:hAnsi="Times New Roman"/>
              <w:color w:val="000000" w:themeColor="text1"/>
              <w:sz w:val="24"/>
              <w:szCs w:val="24"/>
            </w:rPr>
            <w:fldChar w:fldCharType="begin"/>
          </w:r>
          <w:r w:rsidRPr="008B097C">
            <w:rPr>
              <w:rFonts w:ascii="Times New Roman" w:hAnsi="Times New Roman"/>
              <w:color w:val="000000" w:themeColor="text1"/>
              <w:sz w:val="24"/>
              <w:szCs w:val="24"/>
            </w:rPr>
            <w:instrText xml:space="preserve"> TOC \o "1-3" \h \z \u </w:instrText>
          </w:r>
          <w:r w:rsidRPr="008B097C">
            <w:rPr>
              <w:rFonts w:ascii="Times New Roman" w:hAnsi="Times New Roman"/>
              <w:color w:val="000000" w:themeColor="text1"/>
              <w:sz w:val="24"/>
              <w:szCs w:val="24"/>
            </w:rPr>
            <w:fldChar w:fldCharType="separate"/>
          </w:r>
          <w:hyperlink w:anchor="_Toc215315556" w:history="1">
            <w:r w:rsidR="003D3D21" w:rsidRPr="008B097C">
              <w:rPr>
                <w:rStyle w:val="Hyperlink"/>
                <w:rFonts w:ascii="Times New Roman" w:hAnsi="Times New Roman"/>
                <w:b/>
                <w:noProof/>
              </w:rPr>
              <w:t>1.</w:t>
            </w:r>
            <w:r w:rsidR="003D3D21" w:rsidRPr="008B097C">
              <w:rPr>
                <w:rStyle w:val="Hyperlink"/>
                <w:rFonts w:ascii="Times New Roman" w:hAnsi="Times New Roman"/>
                <w:b/>
                <w:bCs/>
                <w:noProof/>
              </w:rPr>
              <w:t>Abstract</w:t>
            </w:r>
            <w:r w:rsidR="003D3D21" w:rsidRPr="008B097C">
              <w:rPr>
                <w:rFonts w:ascii="Times New Roman" w:hAnsi="Times New Roman"/>
                <w:noProof/>
                <w:webHidden/>
              </w:rPr>
              <w:tab/>
            </w:r>
            <w:r w:rsidR="003D3D21" w:rsidRPr="008B097C">
              <w:rPr>
                <w:rFonts w:ascii="Times New Roman" w:hAnsi="Times New Roman"/>
                <w:noProof/>
                <w:webHidden/>
              </w:rPr>
              <w:fldChar w:fldCharType="begin"/>
            </w:r>
            <w:r w:rsidR="003D3D21" w:rsidRPr="008B097C">
              <w:rPr>
                <w:rFonts w:ascii="Times New Roman" w:hAnsi="Times New Roman"/>
                <w:noProof/>
                <w:webHidden/>
              </w:rPr>
              <w:instrText xml:space="preserve"> PAGEREF _Toc215315556 \h </w:instrText>
            </w:r>
            <w:r w:rsidR="003D3D21" w:rsidRPr="008B097C">
              <w:rPr>
                <w:rFonts w:ascii="Times New Roman" w:hAnsi="Times New Roman"/>
                <w:noProof/>
                <w:webHidden/>
              </w:rPr>
            </w:r>
            <w:r w:rsidR="003D3D21" w:rsidRPr="008B097C">
              <w:rPr>
                <w:rFonts w:ascii="Times New Roman" w:hAnsi="Times New Roman"/>
                <w:noProof/>
                <w:webHidden/>
              </w:rPr>
              <w:fldChar w:fldCharType="separate"/>
            </w:r>
            <w:r w:rsidR="003D3D21" w:rsidRPr="008B097C">
              <w:rPr>
                <w:rFonts w:ascii="Times New Roman" w:hAnsi="Times New Roman"/>
                <w:noProof/>
                <w:webHidden/>
              </w:rPr>
              <w:t>2</w:t>
            </w:r>
            <w:r w:rsidR="003D3D21" w:rsidRPr="008B097C">
              <w:rPr>
                <w:rFonts w:ascii="Times New Roman" w:hAnsi="Times New Roman"/>
                <w:noProof/>
                <w:webHidden/>
              </w:rPr>
              <w:fldChar w:fldCharType="end"/>
            </w:r>
          </w:hyperlink>
        </w:p>
        <w:p w14:paraId="72901DDB" w14:textId="72B6E44E"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8B097C">
              <w:rPr>
                <w:rStyle w:val="Hyperlink"/>
                <w:rFonts w:ascii="Times New Roman" w:hAnsi="Times New Roman"/>
                <w:b/>
                <w:bCs/>
                <w:noProof/>
              </w:rPr>
              <w:t>2.Introduction</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_Toc215315557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4</w:t>
            </w:r>
            <w:r w:rsidRPr="008B097C">
              <w:rPr>
                <w:rFonts w:ascii="Times New Roman" w:hAnsi="Times New Roman"/>
                <w:noProof/>
                <w:webHidden/>
              </w:rPr>
              <w:fldChar w:fldCharType="end"/>
            </w:r>
          </w:hyperlink>
        </w:p>
        <w:p w14:paraId="1DD63F31" w14:textId="4FD902E1"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8B097C">
              <w:rPr>
                <w:rStyle w:val="Hyperlink"/>
                <w:rFonts w:ascii="Times New Roman" w:hAnsi="Times New Roman"/>
                <w:b/>
                <w:bCs/>
                <w:noProof/>
              </w:rPr>
              <w:t>3. Literature Review</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_Toc215315558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7</w:t>
            </w:r>
            <w:r w:rsidRPr="008B097C">
              <w:rPr>
                <w:rFonts w:ascii="Times New Roman" w:hAnsi="Times New Roman"/>
                <w:noProof/>
                <w:webHidden/>
              </w:rPr>
              <w:fldChar w:fldCharType="end"/>
            </w:r>
          </w:hyperlink>
        </w:p>
        <w:p w14:paraId="3F42EC2E" w14:textId="4E139489"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8B097C">
              <w:rPr>
                <w:rStyle w:val="Hyperlink"/>
                <w:rFonts w:ascii="Times New Roman" w:hAnsi="Times New Roman"/>
                <w:b/>
                <w:bCs/>
                <w:noProof/>
              </w:rPr>
              <w:t>3 Methodology</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_Toc215315559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13</w:t>
            </w:r>
            <w:r w:rsidRPr="008B097C">
              <w:rPr>
                <w:rFonts w:ascii="Times New Roman" w:hAnsi="Times New Roman"/>
                <w:noProof/>
                <w:webHidden/>
              </w:rPr>
              <w:fldChar w:fldCharType="end"/>
            </w:r>
          </w:hyperlink>
        </w:p>
        <w:p w14:paraId="056B6F17" w14:textId="195BD731"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8B097C">
              <w:rPr>
                <w:rStyle w:val="Hyperlink"/>
                <w:rFonts w:ascii="Times New Roman" w:hAnsi="Times New Roman"/>
                <w:b/>
                <w:bCs/>
                <w:noProof/>
              </w:rPr>
              <w:t>4 Finding</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_Toc215315560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16</w:t>
            </w:r>
            <w:r w:rsidRPr="008B097C">
              <w:rPr>
                <w:rFonts w:ascii="Times New Roman" w:hAnsi="Times New Roman"/>
                <w:noProof/>
                <w:webHidden/>
              </w:rPr>
              <w:fldChar w:fldCharType="end"/>
            </w:r>
          </w:hyperlink>
        </w:p>
        <w:p w14:paraId="059178AF" w14:textId="0A374AB6"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8B097C">
              <w:rPr>
                <w:rStyle w:val="Hyperlink"/>
                <w:rFonts w:ascii="Times New Roman" w:hAnsi="Times New Roman"/>
                <w:b/>
                <w:bCs/>
                <w:noProof/>
              </w:rPr>
              <w:t>5. Discussion</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_Toc215315561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22</w:t>
            </w:r>
            <w:r w:rsidRPr="008B097C">
              <w:rPr>
                <w:rFonts w:ascii="Times New Roman" w:hAnsi="Times New Roman"/>
                <w:noProof/>
                <w:webHidden/>
              </w:rPr>
              <w:fldChar w:fldCharType="end"/>
            </w:r>
          </w:hyperlink>
        </w:p>
        <w:p w14:paraId="38CF954F" w14:textId="74B5A75F"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8B097C">
              <w:rPr>
                <w:rStyle w:val="Hyperlink"/>
                <w:rFonts w:ascii="Times New Roman" w:hAnsi="Times New Roman"/>
                <w:b/>
                <w:bCs/>
                <w:noProof/>
              </w:rPr>
              <w:t>7. Conclusion</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_Toc215315562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26</w:t>
            </w:r>
            <w:r w:rsidRPr="008B097C">
              <w:rPr>
                <w:rFonts w:ascii="Times New Roman" w:hAnsi="Times New Roman"/>
                <w:noProof/>
                <w:webHidden/>
              </w:rPr>
              <w:fldChar w:fldCharType="end"/>
            </w:r>
          </w:hyperlink>
        </w:p>
        <w:p w14:paraId="0E9FD956" w14:textId="54568674"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8B097C">
              <w:rPr>
                <w:rStyle w:val="Hyperlink"/>
                <w:rFonts w:ascii="Times New Roman" w:hAnsi="Times New Roman"/>
                <w:b/>
                <w:bCs/>
                <w:noProof/>
              </w:rPr>
              <w:t>Reference List</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_Toc215315563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28</w:t>
            </w:r>
            <w:r w:rsidRPr="008B097C">
              <w:rPr>
                <w:rFonts w:ascii="Times New Roman" w:hAnsi="Times New Roman"/>
                <w:noProof/>
                <w:webHidden/>
              </w:rPr>
              <w:fldChar w:fldCharType="end"/>
            </w:r>
          </w:hyperlink>
        </w:p>
        <w:p w14:paraId="646EF9D8" w14:textId="25615F5B" w:rsidR="004D7D13" w:rsidRPr="008B097C" w:rsidRDefault="004D7D13" w:rsidP="00013DBD">
          <w:pPr>
            <w:spacing w:line="480" w:lineRule="auto"/>
            <w:rPr>
              <w:rFonts w:ascii="Times New Roman" w:hAnsi="Times New Roman" w:cs="Times New Roman"/>
              <w:color w:val="000000" w:themeColor="text1"/>
              <w:szCs w:val="24"/>
            </w:rPr>
          </w:pPr>
          <w:r w:rsidRPr="008B097C">
            <w:rPr>
              <w:rFonts w:ascii="Times New Roman" w:hAnsi="Times New Roman" w:cs="Times New Roman"/>
              <w:b/>
              <w:bCs/>
              <w:noProof/>
              <w:color w:val="000000" w:themeColor="text1"/>
              <w:szCs w:val="24"/>
            </w:rPr>
            <w:fldChar w:fldCharType="end"/>
          </w:r>
        </w:p>
      </w:sdtContent>
    </w:sdt>
    <w:p w14:paraId="1EDA022C" w14:textId="77777777" w:rsidR="004D7D13" w:rsidRPr="008B097C"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8B097C" w:rsidRDefault="0095171B" w:rsidP="00013DBD">
      <w:pPr>
        <w:spacing w:line="480" w:lineRule="auto"/>
        <w:rPr>
          <w:rFonts w:ascii="Times New Roman" w:hAnsi="Times New Roman" w:cs="Times New Roman"/>
          <w:color w:val="000000" w:themeColor="text1"/>
          <w:szCs w:val="24"/>
        </w:rPr>
      </w:pPr>
    </w:p>
    <w:p w14:paraId="73636B03" w14:textId="77777777" w:rsidR="0095171B" w:rsidRPr="008B097C" w:rsidRDefault="0095171B" w:rsidP="00013DBD">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br w:type="page"/>
      </w:r>
    </w:p>
    <w:p w14:paraId="48512045" w14:textId="4336A43D" w:rsidR="00B06124" w:rsidRPr="008B097C" w:rsidRDefault="003D3D21" w:rsidP="00B06124">
      <w:pPr>
        <w:spacing w:line="480" w:lineRule="auto"/>
        <w:rPr>
          <w:rFonts w:ascii="Times New Roman" w:hAnsi="Times New Roman" w:cs="Times New Roman"/>
          <w:color w:val="000000" w:themeColor="text1"/>
          <w:szCs w:val="24"/>
        </w:rPr>
      </w:pPr>
      <w:bookmarkStart w:id="3" w:name="_Toc215315557"/>
      <w:r w:rsidRPr="008B097C">
        <w:rPr>
          <w:rStyle w:val="Heading1Char"/>
          <w:rFonts w:ascii="Times New Roman" w:hAnsi="Times New Roman" w:cs="Times New Roman"/>
          <w:b/>
          <w:bCs/>
          <w:color w:val="000000" w:themeColor="text1"/>
          <w:sz w:val="24"/>
          <w:szCs w:val="24"/>
        </w:rPr>
        <w:lastRenderedPageBreak/>
        <w:t>2</w:t>
      </w:r>
      <w:r w:rsidR="004D7D13" w:rsidRPr="008B097C">
        <w:rPr>
          <w:rStyle w:val="Heading1Char"/>
          <w:rFonts w:ascii="Times New Roman" w:hAnsi="Times New Roman" w:cs="Times New Roman"/>
          <w:b/>
          <w:bCs/>
          <w:color w:val="000000" w:themeColor="text1"/>
          <w:sz w:val="24"/>
          <w:szCs w:val="24"/>
        </w:rPr>
        <w:t>.</w:t>
      </w:r>
      <w:r w:rsidR="0095171B" w:rsidRPr="008B097C">
        <w:rPr>
          <w:rStyle w:val="Heading1Char"/>
          <w:rFonts w:ascii="Times New Roman" w:hAnsi="Times New Roman" w:cs="Times New Roman"/>
          <w:b/>
          <w:bCs/>
          <w:color w:val="000000" w:themeColor="text1"/>
          <w:sz w:val="24"/>
          <w:szCs w:val="24"/>
        </w:rPr>
        <w:t>Introduction</w:t>
      </w:r>
      <w:bookmarkEnd w:id="3"/>
      <w:r w:rsidR="0095171B" w:rsidRPr="008B097C">
        <w:rPr>
          <w:rStyle w:val="Heading1Char"/>
          <w:rFonts w:ascii="Times New Roman" w:hAnsi="Times New Roman" w:cs="Times New Roman"/>
          <w:color w:val="000000" w:themeColor="text1"/>
          <w:sz w:val="24"/>
          <w:szCs w:val="24"/>
        </w:rPr>
        <w:t xml:space="preserve"> </w:t>
      </w:r>
    </w:p>
    <w:p w14:paraId="0F2911A3" w14:textId="77777777" w:rsidR="00D977B3" w:rsidRPr="008B097C" w:rsidRDefault="00D977B3" w:rsidP="00D977B3">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Business decisions increasingly generate consequences that extend beyond shareholders and financial performance. Organisations influence employees' livelihoods, consumer welfare, communities, environmental sustainability and public trust. Globalisation, climate concerns, digital transparency and stronger stakeholder expectations have therefore made business ethics and corporate social responsibility strategic rather than peripheral considerations. CSR can broadly be understood as the responsibility of organisations to consider their economic, legal, ethical and social obligations when conducting business. Carroll's (1991) influential framework illustrates that corporate responsibility involves economic and legal duties alongside ethical and philanthropic expectations.</w:t>
      </w:r>
    </w:p>
    <w:p w14:paraId="3596527D" w14:textId="77777777" w:rsidR="00D977B3" w:rsidRPr="008B097C" w:rsidRDefault="00D977B3" w:rsidP="00D977B3">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decision-making becomes particularly important when commercial objectives conflict with stakeholder interests. Managers may face pressure to achieve ambitious performance targets while simultaneously complying with regulations, protecting employees, satisfying customers and reducing environmental harm. Ethical theories provide systematic ways of resolving such conflicts. Stakeholder theory considers obligations toward parties affected by corporate conduct, utilitarianism evaluates consequences, deontology emphasises duties and rights, while virtue ethics focuses on organisational and individual character (Freeman, 1984; Treviño et al., 2006).</w:t>
      </w:r>
    </w:p>
    <w:p w14:paraId="62E748B2" w14:textId="77777777" w:rsidR="00D977B3" w:rsidRPr="008B097C" w:rsidRDefault="00D977B3" w:rsidP="00D977B3">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This report critically assesses how ethical principles can be incorporated into organisational decision-making and corporate practice. It evaluates the relationship between ethical leadership, organisational culture, employee behaviour and stakeholder trust before applying ethical frameworks to the Volkswagen emissions scandal. Dieselgate is particularly relevant because research identifies failures involving governance, leadership, accountability and environmental responsibility rather than merely isolated employee misconduct (Mujkic &amp; Klingner, 2019; </w:t>
      </w:r>
      <w:r w:rsidRPr="008B097C">
        <w:rPr>
          <w:rFonts w:ascii="Times New Roman" w:hAnsi="Times New Roman" w:cs="Times New Roman"/>
          <w:color w:val="000000" w:themeColor="text1"/>
          <w:szCs w:val="24"/>
        </w:rPr>
        <w:lastRenderedPageBreak/>
        <w:t>Zhang, 2021). The report ultimately develops evidence-based recommendations for strengthening responsible and sustainable organisational conduct.</w:t>
      </w:r>
    </w:p>
    <w:p w14:paraId="744ACDA6" w14:textId="77777777" w:rsidR="00C442BD" w:rsidRPr="008B097C" w:rsidRDefault="00C442BD" w:rsidP="00257256">
      <w:pPr>
        <w:spacing w:line="480" w:lineRule="auto"/>
        <w:rPr>
          <w:rFonts w:ascii="Times New Roman" w:hAnsi="Times New Roman" w:cs="Times New Roman"/>
          <w:color w:val="000000" w:themeColor="text1"/>
          <w:szCs w:val="24"/>
        </w:rPr>
      </w:pPr>
    </w:p>
    <w:p w14:paraId="633F9438" w14:textId="77777777" w:rsidR="00D977B3" w:rsidRPr="008B097C" w:rsidRDefault="00D977B3" w:rsidP="00257256">
      <w:pPr>
        <w:spacing w:line="480" w:lineRule="auto"/>
        <w:rPr>
          <w:rFonts w:ascii="Times New Roman" w:hAnsi="Times New Roman" w:cs="Times New Roman"/>
          <w:color w:val="000000" w:themeColor="text1"/>
          <w:szCs w:val="24"/>
        </w:rPr>
      </w:pPr>
    </w:p>
    <w:p w14:paraId="64705CC0" w14:textId="77777777" w:rsidR="00D977B3" w:rsidRPr="008B097C" w:rsidRDefault="00D977B3" w:rsidP="00257256">
      <w:pPr>
        <w:spacing w:line="480" w:lineRule="auto"/>
        <w:rPr>
          <w:rFonts w:ascii="Times New Roman" w:hAnsi="Times New Roman" w:cs="Times New Roman"/>
          <w:color w:val="000000" w:themeColor="text1"/>
          <w:szCs w:val="24"/>
        </w:rPr>
      </w:pPr>
    </w:p>
    <w:p w14:paraId="1D47F747" w14:textId="77777777" w:rsidR="00D977B3" w:rsidRPr="008B097C" w:rsidRDefault="00D977B3" w:rsidP="00257256">
      <w:pPr>
        <w:spacing w:line="480" w:lineRule="auto"/>
        <w:rPr>
          <w:rFonts w:ascii="Times New Roman" w:hAnsi="Times New Roman" w:cs="Times New Roman"/>
          <w:color w:val="000000" w:themeColor="text1"/>
          <w:szCs w:val="24"/>
        </w:rPr>
      </w:pPr>
    </w:p>
    <w:p w14:paraId="526306B6" w14:textId="77777777" w:rsidR="00D977B3" w:rsidRPr="008B097C" w:rsidRDefault="00D977B3" w:rsidP="00257256">
      <w:pPr>
        <w:spacing w:line="480" w:lineRule="auto"/>
        <w:rPr>
          <w:rFonts w:ascii="Times New Roman" w:hAnsi="Times New Roman" w:cs="Times New Roman"/>
          <w:color w:val="000000" w:themeColor="text1"/>
          <w:szCs w:val="24"/>
        </w:rPr>
      </w:pPr>
    </w:p>
    <w:p w14:paraId="328C81AD" w14:textId="77777777" w:rsidR="00D977B3" w:rsidRPr="008B097C" w:rsidRDefault="00D977B3" w:rsidP="00257256">
      <w:pPr>
        <w:spacing w:line="480" w:lineRule="auto"/>
        <w:rPr>
          <w:rFonts w:ascii="Times New Roman" w:hAnsi="Times New Roman" w:cs="Times New Roman"/>
          <w:color w:val="000000" w:themeColor="text1"/>
          <w:szCs w:val="24"/>
        </w:rPr>
      </w:pPr>
    </w:p>
    <w:p w14:paraId="5DD184AC" w14:textId="77777777" w:rsidR="00781A04" w:rsidRPr="008B097C" w:rsidRDefault="00781A04" w:rsidP="00257256">
      <w:pPr>
        <w:spacing w:line="480" w:lineRule="auto"/>
        <w:rPr>
          <w:rFonts w:ascii="Times New Roman" w:hAnsi="Times New Roman" w:cs="Times New Roman"/>
          <w:color w:val="000000" w:themeColor="text1"/>
          <w:szCs w:val="24"/>
        </w:rPr>
      </w:pPr>
    </w:p>
    <w:p w14:paraId="0CBE2D50" w14:textId="77777777" w:rsidR="00781A04" w:rsidRPr="008B097C" w:rsidRDefault="00781A04" w:rsidP="00257256">
      <w:pPr>
        <w:spacing w:line="480" w:lineRule="auto"/>
        <w:rPr>
          <w:rFonts w:ascii="Times New Roman" w:hAnsi="Times New Roman" w:cs="Times New Roman"/>
          <w:color w:val="000000" w:themeColor="text1"/>
          <w:szCs w:val="24"/>
        </w:rPr>
      </w:pPr>
    </w:p>
    <w:p w14:paraId="1905E1D5" w14:textId="77777777" w:rsidR="00781A04" w:rsidRPr="008B097C" w:rsidRDefault="00781A04" w:rsidP="00257256">
      <w:pPr>
        <w:spacing w:line="480" w:lineRule="auto"/>
        <w:rPr>
          <w:rFonts w:ascii="Times New Roman" w:hAnsi="Times New Roman" w:cs="Times New Roman"/>
          <w:color w:val="000000" w:themeColor="text1"/>
          <w:szCs w:val="24"/>
        </w:rPr>
      </w:pPr>
    </w:p>
    <w:p w14:paraId="788E4FD4" w14:textId="77777777" w:rsidR="00781A04" w:rsidRPr="008B097C" w:rsidRDefault="00781A04" w:rsidP="00257256">
      <w:pPr>
        <w:spacing w:line="480" w:lineRule="auto"/>
        <w:rPr>
          <w:rFonts w:ascii="Times New Roman" w:hAnsi="Times New Roman" w:cs="Times New Roman"/>
          <w:color w:val="000000" w:themeColor="text1"/>
          <w:szCs w:val="24"/>
        </w:rPr>
      </w:pPr>
    </w:p>
    <w:p w14:paraId="454774E3" w14:textId="77777777" w:rsidR="00781A04" w:rsidRPr="008B097C" w:rsidRDefault="00781A04" w:rsidP="00257256">
      <w:pPr>
        <w:spacing w:line="480" w:lineRule="auto"/>
        <w:rPr>
          <w:rFonts w:ascii="Times New Roman" w:hAnsi="Times New Roman" w:cs="Times New Roman"/>
          <w:color w:val="000000" w:themeColor="text1"/>
          <w:szCs w:val="24"/>
        </w:rPr>
      </w:pPr>
    </w:p>
    <w:p w14:paraId="2418C1C2" w14:textId="77777777" w:rsidR="00781A04" w:rsidRPr="008B097C" w:rsidRDefault="00781A04" w:rsidP="00257256">
      <w:pPr>
        <w:spacing w:line="480" w:lineRule="auto"/>
        <w:rPr>
          <w:rFonts w:ascii="Times New Roman" w:hAnsi="Times New Roman" w:cs="Times New Roman"/>
          <w:color w:val="000000" w:themeColor="text1"/>
          <w:szCs w:val="24"/>
        </w:rPr>
      </w:pPr>
    </w:p>
    <w:p w14:paraId="59566D39" w14:textId="77777777" w:rsidR="00781A04" w:rsidRPr="008B097C" w:rsidRDefault="00781A04" w:rsidP="00257256">
      <w:pPr>
        <w:spacing w:line="480" w:lineRule="auto"/>
        <w:rPr>
          <w:rFonts w:ascii="Times New Roman" w:hAnsi="Times New Roman" w:cs="Times New Roman"/>
          <w:color w:val="000000" w:themeColor="text1"/>
          <w:szCs w:val="24"/>
        </w:rPr>
      </w:pPr>
    </w:p>
    <w:p w14:paraId="6AEFED8D" w14:textId="77777777" w:rsidR="00C442BD" w:rsidRPr="008B097C" w:rsidRDefault="00C442BD" w:rsidP="00257256">
      <w:pPr>
        <w:spacing w:line="480" w:lineRule="auto"/>
        <w:rPr>
          <w:rFonts w:ascii="Times New Roman" w:hAnsi="Times New Roman" w:cs="Times New Roman"/>
          <w:color w:val="000000" w:themeColor="text1"/>
          <w:szCs w:val="24"/>
        </w:rPr>
      </w:pPr>
    </w:p>
    <w:p w14:paraId="3FB90529" w14:textId="77777777" w:rsidR="00C442BD" w:rsidRPr="008B097C" w:rsidRDefault="00C442BD" w:rsidP="00257256">
      <w:pPr>
        <w:spacing w:line="480" w:lineRule="auto"/>
        <w:rPr>
          <w:rFonts w:ascii="Times New Roman" w:hAnsi="Times New Roman" w:cs="Times New Roman"/>
          <w:color w:val="000000" w:themeColor="text1"/>
          <w:szCs w:val="24"/>
        </w:rPr>
      </w:pPr>
    </w:p>
    <w:p w14:paraId="44D1EFA2" w14:textId="77777777" w:rsidR="009663A1" w:rsidRPr="008B097C" w:rsidRDefault="009663A1" w:rsidP="00781A04">
      <w:pPr>
        <w:spacing w:line="480" w:lineRule="auto"/>
        <w:rPr>
          <w:rFonts w:ascii="Times New Roman" w:hAnsi="Times New Roman" w:cs="Times New Roman"/>
          <w:color w:val="000000" w:themeColor="text1"/>
          <w:szCs w:val="24"/>
        </w:rPr>
      </w:pPr>
    </w:p>
    <w:p w14:paraId="3B29809D" w14:textId="07EDB1FD" w:rsidR="00781A04" w:rsidRPr="008B097C" w:rsidRDefault="0095171B" w:rsidP="00781A04">
      <w:pPr>
        <w:spacing w:line="480" w:lineRule="auto"/>
        <w:rPr>
          <w:rFonts w:ascii="Times New Roman" w:hAnsi="Times New Roman" w:cs="Times New Roman"/>
          <w:b/>
          <w:bCs/>
          <w:color w:val="000000" w:themeColor="text1"/>
          <w:szCs w:val="24"/>
        </w:rPr>
      </w:pPr>
      <w:r w:rsidRPr="008B097C">
        <w:rPr>
          <w:rFonts w:ascii="Times New Roman" w:hAnsi="Times New Roman" w:cs="Times New Roman"/>
          <w:color w:val="000000" w:themeColor="text1"/>
          <w:szCs w:val="24"/>
        </w:rPr>
        <w:lastRenderedPageBreak/>
        <w:br/>
      </w:r>
      <w:r w:rsidR="00781A04" w:rsidRPr="008B097C">
        <w:rPr>
          <w:rFonts w:ascii="Times New Roman" w:hAnsi="Times New Roman" w:cs="Times New Roman"/>
          <w:b/>
          <w:bCs/>
          <w:color w:val="000000" w:themeColor="text1"/>
          <w:szCs w:val="24"/>
        </w:rPr>
        <w:t>2. Literature Review</w:t>
      </w:r>
    </w:p>
    <w:p w14:paraId="28499773"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2.1 Business Ethics and CSR in Modern Organisations</w:t>
      </w:r>
    </w:p>
    <w:p w14:paraId="2A43D50B"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Business ethics concerns the principles and standards through which organisational behaviour is judged as right, fair and responsible. Its relevance has expanded because corporations exercise considerable economic, social and environmental influence. Ethical responsibility therefore cannot be reduced to legal compliance. Conduct may satisfy minimum legal requirements yet remain ethically questionable when it creates avoidable harm, exploits information asymmetry or disregards vulnerable stakeholders.</w:t>
      </w:r>
    </w:p>
    <w:p w14:paraId="0750DEA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CSR extends this responsibility by recognising that organisations operate within broader networks of social relationships. Carroll (1991) conceptualises corporate responsibility through economic, legal, ethical and philanthropic dimensions. Although profitability remains necessary for organisational survival, economic objectives do not eliminate obligations toward employees, customers, governments, communities and the natural environment. CSR therefore challenges an exclusively shareholder-centred interpretation of corporate purpose.</w:t>
      </w:r>
    </w:p>
    <w:p w14:paraId="447AE72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More recent research strengthens the connection between CSR and internal organisational outcomes. Aggarwal and Singh's (2022) meta-analysis of 140 studies demonstrates that employees' perceptions of internal and external CSR are associated with emotional, attitudinal and behavioural workplace outcomes. This indicates that CSR is not simply external reputation management. Employees interpret corporate conduct as evidence about organisational values, potentially influencing identification, commitment and behaviour.</w:t>
      </w:r>
    </w:p>
    <w:p w14:paraId="3A031412"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However, CSR can become problematic when public commitments are disconnected from actual organisational practices. A company may communicate sustainability while internal incentives reward decisions inconsistent with environmental or social commitments. Volkswagen illustrates this contradiction particularly strongly: its environmental positioning existed alongside conduct designed to circumvent emissions requirements (Valentini &amp; Kruckeberg, 2018). CSR therefore creates value only where stated responsibilities are supported by governance, leadership and operational practice.</w:t>
      </w:r>
    </w:p>
    <w:p w14:paraId="2325B9E7"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2.2 Stakeholder Theory</w:t>
      </w:r>
    </w:p>
    <w:p w14:paraId="795991B4"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Stakeholder theory provides one of the most influential approaches to responsible business. Freeman (1984) argues that organisations should recognise parties capable of affecting or being affected by organisational objectives. This challenges the assumption that management's ethical responsibility is confined to maximising shareholder returns.</w:t>
      </w:r>
    </w:p>
    <w:p w14:paraId="7C37AED5"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From an ethical decision-making perspective, stakeholder theory encourages managers to identify affected groups, understand their legitimate interests and evaluate how benefits and burdens are distributed. Customers expect safe and honestly represented products; employees expect fair treatment and secure channels for raising concerns; regulators expect truthful compliance; investors require reliable information; communities expect organisations to limit harmful externalities.</w:t>
      </w:r>
    </w:p>
    <w:p w14:paraId="7F3B18BC"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Stakeholder analysis becomes especially important when apparently profitable decisions impose hidden costs on other groups. Zhang (2021), analysing Volkswagen through a stakeholder-ecosystem perspective, demonstrates that corporate irresponsibility creates interconnected consequences across consumers, regulators, communities, investors and other actors. Ethical </w:t>
      </w:r>
      <w:r w:rsidRPr="008B097C">
        <w:rPr>
          <w:rFonts w:ascii="Times New Roman" w:hAnsi="Times New Roman" w:cs="Times New Roman"/>
          <w:color w:val="000000" w:themeColor="text1"/>
          <w:szCs w:val="24"/>
        </w:rPr>
        <w:lastRenderedPageBreak/>
        <w:t>decision-making should therefore evaluate systemic stakeholder effects rather than immediate financial outcomes alone.</w:t>
      </w:r>
    </w:p>
    <w:p w14:paraId="1930F224"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 limitation is that stakeholder interests frequently conflict. Managers may struggle to determine whose interests deserve priority. Consequently, stakeholder theory is more effective when combined with ethical principles capable of evaluating competing claims.</w:t>
      </w:r>
    </w:p>
    <w:p w14:paraId="05C5FCB7"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2.3 Utilitarian Ethics</w:t>
      </w:r>
    </w:p>
    <w:p w14:paraId="177C9D59"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Utilitarianism assesses actions according to their consequences and broadly favours decisions generating the greatest overall benefit relative to harm. Within organisations, a utilitarian assessment might compare the economic benefits of a strategy against its consequences for employees, consumers, communities and the environment.</w:t>
      </w:r>
    </w:p>
    <w:p w14:paraId="22AD20E5"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Its principal strength is its attention to outcomes. Business decisions frequently involve trade-offs, making consequence-based reasoning valuable for policy selection. However, utilitarianism can become ethically problematic if aggregate benefits are used to justify serious harm to minorities. For example, a profitable strategy benefiting investors and employees cannot automatically be considered ethical if customers are systematically deceived or communities experience substantial environmental damage.</w:t>
      </w:r>
    </w:p>
    <w:p w14:paraId="66D3C88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Volkswagen's emissions conduct illustrates this weakness. Even if managers believed diesel sales protected employment, profitability or competitive positioning, these benefits would have to be weighed against consumer deception, regulatory harm, excessive pollution and subsequent reputational and financial losses. Valentini and Kruckeberg (2018) conclude that Volkswagen's conduct was difficult to justify under established ethical principles because of the scale and distribution of stakeholder harm.</w:t>
      </w:r>
    </w:p>
    <w:p w14:paraId="65C1E7D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2.4 Deontological Ethics</w:t>
      </w:r>
    </w:p>
    <w:p w14:paraId="5AE837C3"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Deontological ethics focuses on duties, principles and respect for persons rather than judging behaviour solely through consequences. Applied to organisations, it emphasises obligations such as honesty, fairness, contractual integrity and respect for stakeholder rights.</w:t>
      </w:r>
    </w:p>
    <w:p w14:paraId="19B01C11"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perspective is especially important where misleading conduct might appear commercially advantageous. Deontological reasoning would reject intentional deception because honesty is an ethical obligation rather than merely a strategy that should be followed when profitable. Customers have a legitimate expectation that product claims are truthful, while regulators are entitled to genuine compliance rather than engineered circumvention.</w:t>
      </w:r>
    </w:p>
    <w:p w14:paraId="1431850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case therefore presents a clear deontological failure. Software designed to recognise testing conditions effectively created a difference between regulatory testing and real-world performance. The ethical issue was not merely that the eventual consequences were costly; the deliberate manipulation itself conflicted with duties of honesty and compliance. Rhodes (2016) consequently argues that Dieselgate raises broader questions regarding corporate accountability and the capacity of corporations to regulate their own ethical conduct.</w:t>
      </w:r>
    </w:p>
    <w:p w14:paraId="4ACA2B7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Nevertheless, rigid duty-based reasoning may be difficult when duties conflict. Managers can simultaneously owe responsibilities to employees, shareholders, customers and society. Deontology therefore benefits from integration with stakeholder and consequence-based analysis.</w:t>
      </w:r>
    </w:p>
    <w:p w14:paraId="0B77769A" w14:textId="77777777" w:rsidR="009663A1" w:rsidRPr="008B097C" w:rsidRDefault="009663A1" w:rsidP="009663A1">
      <w:pPr>
        <w:spacing w:line="480" w:lineRule="auto"/>
        <w:rPr>
          <w:rFonts w:ascii="Times New Roman" w:hAnsi="Times New Roman" w:cs="Times New Roman"/>
          <w:color w:val="000000" w:themeColor="text1"/>
          <w:szCs w:val="24"/>
        </w:rPr>
      </w:pPr>
    </w:p>
    <w:p w14:paraId="06617173" w14:textId="77777777" w:rsidR="009663A1" w:rsidRPr="008B097C" w:rsidRDefault="009663A1" w:rsidP="009663A1">
      <w:pPr>
        <w:spacing w:line="480" w:lineRule="auto"/>
        <w:rPr>
          <w:rFonts w:ascii="Times New Roman" w:hAnsi="Times New Roman" w:cs="Times New Roman"/>
          <w:color w:val="000000" w:themeColor="text1"/>
          <w:szCs w:val="24"/>
        </w:rPr>
      </w:pPr>
    </w:p>
    <w:p w14:paraId="48F396E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2.5 Virtue Ethics and Organisational Character</w:t>
      </w:r>
    </w:p>
    <w:p w14:paraId="43F2029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Virtue ethics shifts attention from "What rule should be followed?" toward "What kind of organisation and decision-maker should we become?" Virtues such as integrity, courage, honesty, fairness and practical wisdom are consequently central.</w:t>
      </w:r>
    </w:p>
    <w:p w14:paraId="365A9521"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organisational relevance of virtue ethics is considerable because unethical conduct rarely occurs exclusively through formal policy. Employees observe what behaviour leaders reward, tolerate and punish. A corporation may publish a detailed code of ethics while simultaneously creating an environment in which employees fear challenging unrealistic objectives. Ethical culture research demonstrates that organisational structures and norms meaningfully influence ethical outcomes (Roy et al., 2023).</w:t>
      </w:r>
    </w:p>
    <w:p w14:paraId="4C17DBE5"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Virtue ethics therefore draws attention to whether managers possess the moral courage to challenge questionable practices and whether organisations reward such behaviour. In Volkswagen's case, scholarship has associated the scandal with hierarchical leadership and weaknesses in accountability (Bodie, 2020). The case suggests that technical competence without ethical courage can create conditions in which employees attempt to make impossible targets appear achievable instead of challenging them.</w:t>
      </w:r>
    </w:p>
    <w:p w14:paraId="4A5BAFE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2.6 Ethical Leadership, Culture and Employee Behaviour</w:t>
      </w:r>
    </w:p>
    <w:p w14:paraId="3A78880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leadership connects individual moral behaviour with organisational systems. Leaders influence employees not simply through instructions but through role modelling, resource allocation, rewards and responses to misconduct. Brown et al. (2005) conceptualise ethical leadership as normatively appropriate conduct combined with the active promotion of such conduct among followers.</w:t>
      </w:r>
    </w:p>
    <w:p w14:paraId="3D07ADEB"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Empirical research supports its organisational significance. Dey et al. (2022) found that ethical leadership influences ethical climate and employees' voluntary environmental behaviour, contributing to sustainable performance. Similarly, research on organisational trust indicates that ethical leadership can strengthen employee trust and improve important behavioural outcomes (Al Halbusi et al., 2022). These findings suggest that ethical leadership can translate abstract CSR commitments into daily organisational behaviour.</w:t>
      </w:r>
    </w:p>
    <w:p w14:paraId="6AA7D261"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Conversely, unethical leadership can normalise harmful behaviour. Ünal et al. (2022), through a systematic review, demonstrate that unethical leadership is associated with multiple organisational antecedents, outcomes and contextual conditions. This reinforces the argument that misconduct should not automatically be explained through the idea of isolated "bad employees." Leadership structures and organisational environments can actively enable unethical behaviour.</w:t>
      </w:r>
    </w:p>
    <w:p w14:paraId="433ED46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leadership is consequently relevant to stakeholder trust. Trust develops where organisational statements are consistent with observable behaviour. Once significant deception becomes public, stakeholders may reinterpret earlier CSR communication as symbolic rather than substantive. Rebuilding trust therefore requires structural change and demonstrated accountability rather than public relations alone.</w:t>
      </w:r>
    </w:p>
    <w:p w14:paraId="1D40CB8F" w14:textId="77777777" w:rsidR="009663A1" w:rsidRPr="008B097C" w:rsidRDefault="009663A1" w:rsidP="007730F5">
      <w:pPr>
        <w:spacing w:line="480" w:lineRule="auto"/>
        <w:rPr>
          <w:rFonts w:ascii="Times New Roman" w:hAnsi="Times New Roman" w:cs="Times New Roman"/>
          <w:color w:val="000000" w:themeColor="text1"/>
          <w:szCs w:val="24"/>
        </w:rPr>
      </w:pPr>
    </w:p>
    <w:p w14:paraId="2884851A" w14:textId="77777777" w:rsidR="009663A1" w:rsidRPr="008B097C" w:rsidRDefault="009663A1" w:rsidP="007730F5">
      <w:pPr>
        <w:spacing w:line="480" w:lineRule="auto"/>
        <w:rPr>
          <w:rFonts w:ascii="Times New Roman" w:hAnsi="Times New Roman" w:cs="Times New Roman"/>
          <w:color w:val="000000" w:themeColor="text1"/>
          <w:szCs w:val="24"/>
        </w:rPr>
      </w:pPr>
    </w:p>
    <w:p w14:paraId="4E0CFA65" w14:textId="77777777" w:rsidR="009663A1" w:rsidRPr="008B097C" w:rsidRDefault="009663A1" w:rsidP="007730F5">
      <w:pPr>
        <w:spacing w:line="480" w:lineRule="auto"/>
        <w:rPr>
          <w:rFonts w:ascii="Times New Roman" w:hAnsi="Times New Roman" w:cs="Times New Roman"/>
          <w:color w:val="000000" w:themeColor="text1"/>
          <w:szCs w:val="24"/>
        </w:rPr>
      </w:pPr>
    </w:p>
    <w:p w14:paraId="7DB31540" w14:textId="100B0131" w:rsidR="009663A1" w:rsidRPr="008B097C" w:rsidRDefault="00C8303A"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color w:val="000000" w:themeColor="text1"/>
          <w:szCs w:val="24"/>
        </w:rPr>
        <w:lastRenderedPageBreak/>
        <w:br/>
      </w:r>
      <w:r w:rsidR="009663A1" w:rsidRPr="008B097C">
        <w:rPr>
          <w:rFonts w:ascii="Times New Roman" w:hAnsi="Times New Roman" w:cs="Times New Roman"/>
          <w:b/>
          <w:bCs/>
          <w:color w:val="000000" w:themeColor="text1"/>
          <w:szCs w:val="24"/>
        </w:rPr>
        <w:t>3</w:t>
      </w:r>
      <w:r w:rsidRPr="008B097C">
        <w:rPr>
          <w:rFonts w:ascii="Times New Roman" w:hAnsi="Times New Roman" w:cs="Times New Roman"/>
          <w:b/>
          <w:bCs/>
          <w:color w:val="000000" w:themeColor="text1"/>
          <w:szCs w:val="24"/>
        </w:rPr>
        <w:t>. Methodology</w:t>
      </w:r>
      <w:r w:rsidRPr="008B097C">
        <w:rPr>
          <w:rFonts w:ascii="Times New Roman" w:hAnsi="Times New Roman" w:cs="Times New Roman"/>
          <w:color w:val="000000" w:themeColor="text1"/>
          <w:szCs w:val="24"/>
        </w:rPr>
        <w:t xml:space="preserve"> </w:t>
      </w:r>
      <w:r w:rsidRPr="008B097C">
        <w:rPr>
          <w:rFonts w:ascii="Times New Roman" w:hAnsi="Times New Roman" w:cs="Times New Roman"/>
          <w:color w:val="000000" w:themeColor="text1"/>
          <w:szCs w:val="24"/>
        </w:rPr>
        <w:br/>
      </w:r>
      <w:r w:rsidR="009663A1" w:rsidRPr="008B097C">
        <w:rPr>
          <w:rFonts w:ascii="Times New Roman" w:hAnsi="Times New Roman" w:cs="Times New Roman"/>
          <w:b/>
          <w:bCs/>
          <w:color w:val="000000" w:themeColor="text1"/>
          <w:szCs w:val="24"/>
        </w:rPr>
        <w:t>3.1 Research Philosophy and Approach</w:t>
      </w:r>
    </w:p>
    <w:p w14:paraId="5A433E5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report adopts a qualitative, interpretivist research orientation because its central purpose is to understand and critically evaluate ethical decision-making rather than calculate statistical relationships. Ethical questions involve competing values, duties, consequences and stakeholder interpretations that cannot be adequately captured through financial indicators alone. A qualitative approach enables theoretical principles to be applied to organisational behaviour while acknowledging the contextual nature of ethical judgments.</w:t>
      </w:r>
    </w:p>
    <w:p w14:paraId="60BCA1B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study employs a deductive analytical approach. Established theories—stakeholder theory, utilitarianism, deontological ethics, virtue ethics, CSR and ethical leadership—provide the conceptual lenses through which organisational conduct is evaluated. Rather than developing a new ethical theory from primary data, the research applies existing theoretical frameworks to identify where organisational practices align with, or depart from, principles of responsible business.</w:t>
      </w:r>
    </w:p>
    <w:p w14:paraId="3F95F10E"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3.2 Research Design</w:t>
      </w:r>
    </w:p>
    <w:p w14:paraId="764D89A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 secondary qualitative case-study design is adopted, with Volkswagen's Dieselgate scandal serving as the central organisational case. Case-study research is suitable because ethical failures emerge through interactions among leadership, organisational culture, governance, performance pressures, regulation and stakeholder relationships. Examining these factors together permits deeper analysis than treating the scandal as a single compliance incident.</w:t>
      </w:r>
    </w:p>
    <w:p w14:paraId="17A727F6"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Volkswagen was selected purposively because the case directly reflects the assignment's core themes: ethical decision-making, CSR, sustainability, stakeholder responsibility, leadership and corporate governance. The scandal is also extensively documented in academic literature, enabling triangulation across different scholarly interpretations.</w:t>
      </w:r>
    </w:p>
    <w:p w14:paraId="02B4BCB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case is particularly valuable because Volkswagen's conduct produced impacts extending beyond the organisation itself. Academic analyses have connected Dieselgate to consumer trust, environmental responsibility, regulatory credibility, corporate governance and stakeholder relationships (Valentini &amp; Kruckeberg, 2018; Zhang, 2021). It therefore provides an appropriate context for evaluating the tension between corporate objectives and ethical responsibility.</w:t>
      </w:r>
    </w:p>
    <w:p w14:paraId="6AB99D96"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3.3 Data Collection</w:t>
      </w:r>
    </w:p>
    <w:p w14:paraId="6DDF782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research relies entirely on secondary data and therefore does not involve interviews, surveys or experimental participants. Evidence was drawn principally from peer-reviewed journal articles, academic books, scholarly case analyses and credible institutional material concerning business ethics, CSR, ethical leadership, organisational culture and Volkswagen.</w:t>
      </w:r>
    </w:p>
    <w:p w14:paraId="31118042"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Literature was selected according to four broad criteria. First, sources needed to be directly relevant to business ethics, CSR, stakeholder relationships, ethical leadership or Dieselgate. Second, peer-reviewed research was prioritised to strengthen academic credibility. Third, recent studies were used where possible for contemporary issues such as ethical culture and leadership, while seminal sources such as Freeman (1984), Carroll (1991) and Brown et al. (2005) were retained because they provide foundational theoretical frameworks. Fourth, Volkswagen-specific evidence was compared across several sources rather than relying on a single interpretation.</w:t>
      </w:r>
    </w:p>
    <w:p w14:paraId="077222D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This approach enables the report to combine established ethical theory with contemporary empirical evidence. For example, Freeman's stakeholder framework provides the theoretical foundation, whereas Zhang (2021) demonstrates how stakeholder relationships can be applied specifically to Volkswagen. Similarly, ethical-leadership theory is complemented by contemporary empirical evidence concerning sustainable performance and organisational trust (Dey et al., 2022).</w:t>
      </w:r>
    </w:p>
    <w:p w14:paraId="40AF7B28"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3.4 Analytical Framework</w:t>
      </w:r>
    </w:p>
    <w:p w14:paraId="27147A56"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collected material was analysed thematically. Five principal analytical categories were established: ethical decision-making, stakeholder responsibility, leadership and organisational culture, CSR and sustainability, and governance/accountability.</w:t>
      </w:r>
    </w:p>
    <w:p w14:paraId="57A5EFA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case was subsequently evaluated through four ethical lenses. Stakeholder analysis identified parties affected by management decisions and assessed the distribution of benefits and harms. Utilitarian analysis considered the aggregate consequences of the decisions. Deontological analysis examined whether duties of honesty, regulatory compliance and respect for stakeholders were fulfilled. Virtue ethics considered the character traits and organisational culture reflected in the conduct.</w:t>
      </w:r>
    </w:p>
    <w:p w14:paraId="13E9007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Using multiple frameworks reduces dependence on a single interpretation. For instance, a decision producing short-term economic benefits could potentially appear defensible under a narrow consequentialist calculation but remain unacceptable under deontological principles because it requires deliberate deception. Triangulating ethical theories therefore provides a more comprehensive assessment.</w:t>
      </w:r>
    </w:p>
    <w:p w14:paraId="6CC4952C"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3.5 Reliability and Validity</w:t>
      </w:r>
    </w:p>
    <w:p w14:paraId="4C9BAA0D"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Credibility was strengthened through source triangulation. Claims concerning Volkswagen were assessed against multiple scholarly sources examining the scandal from ethical, governance and stakeholder perspectives. The analysis also distinguishes between empirical findings and normative ethical evaluation.</w:t>
      </w:r>
    </w:p>
    <w:p w14:paraId="0AD79250"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use of peer-reviewed literature improves reliability, although secondary research inevitably depends on the quality and interpretations of existing studies. Transparent application of the same ethical frameworks throughout the case analysis helps maintain analytical consistency.</w:t>
      </w:r>
    </w:p>
    <w:p w14:paraId="0B14B586"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3.6 Ethical Considerations and Limitations</w:t>
      </w:r>
    </w:p>
    <w:p w14:paraId="34847A7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Because the research uses publicly available secondary material and does not collect personal data from participants, it creates minimal direct research-ethics risk. Nevertheless, academic integrity remains important. Ideas derived from other authors are acknowledged through APA-style citation, and the analysis avoids presenting allegations beyond those supported by established sources.</w:t>
      </w:r>
    </w:p>
    <w:p w14:paraId="595B2E8D"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methodology has several limitations. Secondary research cannot directly capture the perceptions of Volkswagen employees, managers or affected consumers. Furthermore, retrospective analysis benefits from knowing the consequences of the scandal and may therefore introduce hindsight bias. A single case also limits generalisability. Volkswagen should therefore be treated as an analytically informative example rather than evidence that identical mechanisms operate in every organisation.</w:t>
      </w:r>
    </w:p>
    <w:p w14:paraId="41043501" w14:textId="77777777" w:rsidR="00635832" w:rsidRPr="008B097C" w:rsidRDefault="00635832" w:rsidP="00B37028">
      <w:pPr>
        <w:spacing w:line="480" w:lineRule="auto"/>
        <w:rPr>
          <w:rStyle w:val="Heading1Char"/>
          <w:rFonts w:ascii="Times New Roman" w:hAnsi="Times New Roman" w:cs="Times New Roman"/>
          <w:b/>
          <w:bCs/>
          <w:color w:val="000000" w:themeColor="text1"/>
          <w:sz w:val="24"/>
          <w:szCs w:val="24"/>
        </w:rPr>
      </w:pPr>
    </w:p>
    <w:p w14:paraId="61E3C327" w14:textId="77777777" w:rsidR="009663A1" w:rsidRPr="008B097C" w:rsidRDefault="009663A1" w:rsidP="00B37028">
      <w:pPr>
        <w:spacing w:line="480" w:lineRule="auto"/>
        <w:rPr>
          <w:rStyle w:val="Heading1Char"/>
          <w:rFonts w:ascii="Times New Roman" w:hAnsi="Times New Roman" w:cs="Times New Roman"/>
          <w:b/>
          <w:bCs/>
          <w:color w:val="000000" w:themeColor="text1"/>
          <w:sz w:val="24"/>
          <w:szCs w:val="24"/>
        </w:rPr>
      </w:pPr>
    </w:p>
    <w:p w14:paraId="33BFA5F9" w14:textId="3B2AF411" w:rsidR="00C82410" w:rsidRPr="008B097C" w:rsidRDefault="009663A1" w:rsidP="00B37028">
      <w:pPr>
        <w:spacing w:line="480" w:lineRule="auto"/>
        <w:rPr>
          <w:rStyle w:val="Heading1Char"/>
          <w:rFonts w:ascii="Times New Roman" w:hAnsi="Times New Roman" w:cs="Times New Roman"/>
          <w:b/>
          <w:bCs/>
          <w:color w:val="000000" w:themeColor="text1"/>
          <w:sz w:val="24"/>
          <w:szCs w:val="24"/>
        </w:rPr>
      </w:pPr>
      <w:bookmarkStart w:id="4" w:name="_Toc215315560"/>
      <w:r w:rsidRPr="008B097C">
        <w:rPr>
          <w:rStyle w:val="Heading1Char"/>
          <w:rFonts w:ascii="Times New Roman" w:hAnsi="Times New Roman" w:cs="Times New Roman"/>
          <w:b/>
          <w:bCs/>
          <w:color w:val="000000" w:themeColor="text1"/>
          <w:sz w:val="24"/>
          <w:szCs w:val="24"/>
        </w:rPr>
        <w:lastRenderedPageBreak/>
        <w:t>4</w:t>
      </w:r>
      <w:r w:rsidR="00582227" w:rsidRPr="008B097C">
        <w:rPr>
          <w:rStyle w:val="Heading1Char"/>
          <w:rFonts w:ascii="Times New Roman" w:hAnsi="Times New Roman" w:cs="Times New Roman"/>
          <w:b/>
          <w:bCs/>
          <w:color w:val="000000" w:themeColor="text1"/>
          <w:sz w:val="24"/>
          <w:szCs w:val="24"/>
        </w:rPr>
        <w:t xml:space="preserve"> </w:t>
      </w:r>
      <w:r w:rsidR="00160E9C" w:rsidRPr="008B097C">
        <w:rPr>
          <w:rStyle w:val="Heading1Char"/>
          <w:rFonts w:ascii="Times New Roman" w:hAnsi="Times New Roman" w:cs="Times New Roman"/>
          <w:b/>
          <w:bCs/>
          <w:color w:val="000000" w:themeColor="text1"/>
          <w:sz w:val="24"/>
          <w:szCs w:val="24"/>
        </w:rPr>
        <w:t>Finding</w:t>
      </w:r>
      <w:bookmarkEnd w:id="4"/>
    </w:p>
    <w:p w14:paraId="1A432AC8"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4.1 Ethical Failure Was Organisational Rather Than Merely Technical</w:t>
      </w:r>
    </w:p>
    <w:p w14:paraId="1DCD0D14"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analysis demonstrates that Dieselgate cannot adequately be characterised as a technical compliance error. Volkswagen's emissions problem involved deliberate manipulation that enabled vehicles to behave differently under regulatory testing conditions. Consequently, the underlying ethical issue concerned how organisational decision-making responded when commercial and technical objectives conflicted with environmental and regulatory requirements.</w:t>
      </w:r>
    </w:p>
    <w:p w14:paraId="5E7B8A9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Li et al. (2018) identify regulatory pressure, competitive pressure, technological capability, consumer expectations and managerial incentives as important factors associated with environmental responsibility and corporate misconduct in the automotive sector. This suggests that unethical decisions may emerge where demanding objectives are combined with inadequate governance and distorted incentives.</w:t>
      </w:r>
    </w:p>
    <w:p w14:paraId="4481746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However, commercial pressure does not remove ethical responsibility. Ethical decision-making requires management to recognise when objectives cannot legitimately be achieved and to revise the objective, technology or timetable rather than manipulate information. The case therefore reveals the danger of treating compliance as an obstacle to commercial strategy instead of a minimum ethical obligation.</w:t>
      </w:r>
    </w:p>
    <w:p w14:paraId="355BD602"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4.2 Stakeholders Experienced Unequal and Interconnected Harm</w:t>
      </w:r>
    </w:p>
    <w:p w14:paraId="1F2DD9D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Stakeholder analysis demonstrates that Volkswagen's conduct affected substantially more parties than management and shareholders. Consumers purchased vehicles partly on the basis of performance and environmental representations. Regulators depended on accurate testing to implement environmental policy. Investors faced financial and reputational consequences </w:t>
      </w:r>
      <w:r w:rsidRPr="008B097C">
        <w:rPr>
          <w:rFonts w:ascii="Times New Roman" w:hAnsi="Times New Roman" w:cs="Times New Roman"/>
          <w:color w:val="000000" w:themeColor="text1"/>
          <w:szCs w:val="24"/>
        </w:rPr>
        <w:lastRenderedPageBreak/>
        <w:t>following disclosure. Employees experienced uncertainty associated with organisational repercussions, while society bore environmental costs.</w:t>
      </w:r>
    </w:p>
    <w:p w14:paraId="3D0B52D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Valentini and Kruckeberg (2018) identify customers, investors/shareholders, regulators, German authorities, European institutions and wider society among the major affected stakeholder groups. Zhang (2021) further argues that Dieselgate should be understood through a stakeholder ecosystem because the effects and responses of stakeholder groups are interconnected.</w:t>
      </w:r>
    </w:p>
    <w:p w14:paraId="7675E95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finding exposes the weakness of narrow shareholder-centred decision-making. Short-term gains achieved through ethically problematic behaviour can ultimately destroy shareholder value as legal penalties, reputational harm and trust deterioration emerge. Stakeholder responsibility and long-term corporate performance therefore need not represent opposing objectives.</w:t>
      </w:r>
    </w:p>
    <w:p w14:paraId="24862D70"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4.3 The Conduct Fails Across Multiple Ethical Frameworks</w:t>
      </w:r>
    </w:p>
    <w:p w14:paraId="4A89F263"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case produces unusually consistent conclusions across the ethical frameworks employed.</w:t>
      </w:r>
    </w:p>
    <w:p w14:paraId="29248B7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From a </w:t>
      </w:r>
      <w:r w:rsidRPr="008B097C">
        <w:rPr>
          <w:rFonts w:ascii="Times New Roman" w:hAnsi="Times New Roman" w:cs="Times New Roman"/>
          <w:b/>
          <w:bCs/>
          <w:color w:val="000000" w:themeColor="text1"/>
          <w:szCs w:val="24"/>
        </w:rPr>
        <w:t>utilitarian perspective</w:t>
      </w:r>
      <w:r w:rsidRPr="008B097C">
        <w:rPr>
          <w:rFonts w:ascii="Times New Roman" w:hAnsi="Times New Roman" w:cs="Times New Roman"/>
          <w:color w:val="000000" w:themeColor="text1"/>
          <w:szCs w:val="24"/>
        </w:rPr>
        <w:t>, the strategy generated significant harm relative to legitimate benefit. Although meeting commercial targets could have benefited Volkswagen, employees and investors temporarily, those benefits were accompanied by environmental externalities, customer deception, regulatory disruption and eventual financial and reputational consequences. The broader distribution of harm undermines a utilitarian defence.</w:t>
      </w:r>
    </w:p>
    <w:p w14:paraId="7A083E35"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From a </w:t>
      </w:r>
      <w:r w:rsidRPr="008B097C">
        <w:rPr>
          <w:rFonts w:ascii="Times New Roman" w:hAnsi="Times New Roman" w:cs="Times New Roman"/>
          <w:b/>
          <w:bCs/>
          <w:color w:val="000000" w:themeColor="text1"/>
          <w:szCs w:val="24"/>
        </w:rPr>
        <w:t>deontological perspective</w:t>
      </w:r>
      <w:r w:rsidRPr="008B097C">
        <w:rPr>
          <w:rFonts w:ascii="Times New Roman" w:hAnsi="Times New Roman" w:cs="Times New Roman"/>
          <w:color w:val="000000" w:themeColor="text1"/>
          <w:szCs w:val="24"/>
        </w:rPr>
        <w:t>, the conduct conflicts directly with duties of honesty and genuine regulatory compliance. Customers and regulators were treated instrumentally because information relevant to their decisions was distorted. The fact that deception might have protected sales or strategic objectives does not remove the underlying duty violation.</w:t>
      </w:r>
    </w:p>
    <w:p w14:paraId="2947648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From a </w:t>
      </w:r>
      <w:r w:rsidRPr="008B097C">
        <w:rPr>
          <w:rFonts w:ascii="Times New Roman" w:hAnsi="Times New Roman" w:cs="Times New Roman"/>
          <w:b/>
          <w:bCs/>
          <w:color w:val="000000" w:themeColor="text1"/>
          <w:szCs w:val="24"/>
        </w:rPr>
        <w:t>stakeholder perspective</w:t>
      </w:r>
      <w:r w:rsidRPr="008B097C">
        <w:rPr>
          <w:rFonts w:ascii="Times New Roman" w:hAnsi="Times New Roman" w:cs="Times New Roman"/>
          <w:color w:val="000000" w:themeColor="text1"/>
          <w:szCs w:val="24"/>
        </w:rPr>
        <w:t>, decision-making inadequately accounted for groups bearing the consequences. Zhang's (2021) analysis demonstrates that corporate irresponsibility can spread through a network of stakeholder relationships, meaning that responsible management requires systematic stakeholder engagement rather than narrow internal calculation.</w:t>
      </w:r>
    </w:p>
    <w:p w14:paraId="32E7560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Finally, </w:t>
      </w:r>
      <w:r w:rsidRPr="008B097C">
        <w:rPr>
          <w:rFonts w:ascii="Times New Roman" w:hAnsi="Times New Roman" w:cs="Times New Roman"/>
          <w:b/>
          <w:bCs/>
          <w:color w:val="000000" w:themeColor="text1"/>
          <w:szCs w:val="24"/>
        </w:rPr>
        <w:t>virtue ethics</w:t>
      </w:r>
      <w:r w:rsidRPr="008B097C">
        <w:rPr>
          <w:rFonts w:ascii="Times New Roman" w:hAnsi="Times New Roman" w:cs="Times New Roman"/>
          <w:color w:val="000000" w:themeColor="text1"/>
          <w:szCs w:val="24"/>
        </w:rPr>
        <w:t xml:space="preserve"> raises questions concerning integrity, courage and organisational character. Ethical organisations require individuals who can acknowledge technical limitations, communicate inconvenient information and resist improper pressure. Where employees perceive that failure to meet targets is less acceptable than ethically questionable methods of meeting them, organisational character has become distorted.</w:t>
      </w:r>
    </w:p>
    <w:p w14:paraId="6FDCD223"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4.4 Ethical Leadership Is a Structural Control Mechanism</w:t>
      </w:r>
    </w:p>
    <w:p w14:paraId="0576895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 significant finding is that ethical leadership should not be regarded as a desirable personal characteristic alone. It functions as an organisational control mechanism by shaping expectations concerning acceptable behaviour.</w:t>
      </w:r>
    </w:p>
    <w:p w14:paraId="2F80B058"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Contemporary evidence supports this relationship. Dey et al. (2022) found that ethical leadership contributes to ethical climate and environmentally responsible employee behaviour. Ethical leaders establish signals regarding what matters through their own actions, allocation of rewards and willingness to challenge misconduct. Conversely, research on unethical leadership shows that destructive leadership patterns can have extensive consequences across organisational levels (Ünal et al., 2022).</w:t>
      </w:r>
    </w:p>
    <w:p w14:paraId="76F9E79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Volkswagen therefore demonstrates why ethics cannot be delegated exclusively to compliance departments. When operational employees receive powerful performance signals from senior </w:t>
      </w:r>
      <w:r w:rsidRPr="008B097C">
        <w:rPr>
          <w:rFonts w:ascii="Times New Roman" w:hAnsi="Times New Roman" w:cs="Times New Roman"/>
          <w:color w:val="000000" w:themeColor="text1"/>
          <w:szCs w:val="24"/>
        </w:rPr>
        <w:lastRenderedPageBreak/>
        <w:t>management, occasional ethics training is unlikely to counteract incentives generated by everyday leadership.</w:t>
      </w:r>
    </w:p>
    <w:p w14:paraId="6C36CB4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leadership also affects whether employees feel able to raise concerns. An organisation may technically maintain whistleblowing mechanisms while employees remain reluctant to use them if they believe challenging senior decisions will damage their careers. Ethical leadership must therefore create psychological and procedural conditions in which dissent is treated as risk information rather than disloyalty.</w:t>
      </w:r>
    </w:p>
    <w:p w14:paraId="0D22000C"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4.5 Organisational Culture Can Enable or Constrain Misconduct</w:t>
      </w:r>
    </w:p>
    <w:p w14:paraId="6C68935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findings further demonstrate that organisational culture influences whether ethical principles survive commercial pressure. Culture communicates the organisation's real priorities through informal expectations, reward systems and reactions to failure.</w:t>
      </w:r>
    </w:p>
    <w:p w14:paraId="02E864C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Bodie (2020) associates Volkswagen's governance problems with hierarchical organisational arrangements and weaknesses in accountability. Such conditions can discourage upward challenge and concentrate decision-making power. When employees are expected to satisfy ambitious targets without sufficient opportunity to question their feasibility, ethical risk increases.</w:t>
      </w:r>
    </w:p>
    <w:p w14:paraId="286F759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Research on ethical culture more generally reinforces this conclusion. Organisational ethical culture has been associated with employee and organisational outcomes and should be understood as distinct from merely possessing formal ethical policies (Roy et al., 2023). The implication is significant: a code of conduct cannot compensate for a culture that rewards results regardless of methods.</w:t>
      </w:r>
    </w:p>
    <w:p w14:paraId="57001F3E"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4.6 CSR Credibility Depends on Operational Consistency</w:t>
      </w:r>
    </w:p>
    <w:p w14:paraId="3ABB6D22"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Another important finding concerns the difference between communicated CSR and embedded CSR. Organisations frequently publish sustainability reports, environmental commitments and corporate values. These activities can strengthen accountability, but only when operational behaviour is consistent with those claims.</w:t>
      </w:r>
    </w:p>
    <w:p w14:paraId="4356828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Volkswagen illustrates the reputational danger created by inconsistency. Valentini and Kruckeberg (2018) frame the scandal partly through the gap between environmental responsibility communication and actual corporate conduct. When such inconsistency becomes visible, stakeholders may interpret CSR communication as impression management.</w:t>
      </w:r>
    </w:p>
    <w:p w14:paraId="68D9377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CSR should therefore influence product development, investment decisions, performance evaluation, risk assessment and governance rather than remaining a communications function. Sustainability objectives should be accompanied by measurable accountability, independent verification and board-level oversight.</w:t>
      </w:r>
    </w:p>
    <w:p w14:paraId="70320807"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4.7 Trust Is Both an Ethical and Strategic Asset</w:t>
      </w:r>
    </w:p>
    <w:p w14:paraId="4A6AE40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Trust emerged as an important connection between ethics and organisational performance. Stakeholders transact with companies partly because they assume that product information, corporate reporting and regulatory representations are sufficiently reliable. Deception damages this assumption and increases future monitoring costs.</w:t>
      </w:r>
    </w:p>
    <w:p w14:paraId="01BB11E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Research demonstrates that ethical leadership can strengthen organisational trust and positive employee outcomes (Al Halbusi et al., 2022). At the external level, rebuilding trust following corporate irresponsibility requires stakeholder involvement and credible changes in organisational practice (Zhang, 2021).</w:t>
      </w:r>
    </w:p>
    <w:p w14:paraId="00AA7C3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Consequently, ethical conduct should not be interpreted as a constraint on competitiveness. Trust constitutes an intangible organisational resource. Ethical failures can transform previously accumulated reputation into a liability because stakeholders may reassess earlier claims and future promises more critically.</w:t>
      </w:r>
    </w:p>
    <w:p w14:paraId="276C5E1E"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4.8 Responsible Decision-Making Requires Institutionalisation</w:t>
      </w:r>
    </w:p>
    <w:p w14:paraId="0363735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Finally, the evidence indicates that responsible behaviour cannot depend exclusively on individual morality. Organisations need institutional mechanisms that make ethical evaluation part of normal decision-making.</w:t>
      </w:r>
    </w:p>
    <w:p w14:paraId="194CC47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An effective system would require managers proposing strategically important decisions to identify affected stakeholders, potential harms, legal duties, environmental implications and conflicts with organisational values. High-risk decisions should receive independent review, particularly when commercial incentives could bias judgment.</w:t>
      </w:r>
    </w:p>
    <w:p w14:paraId="311A8C25"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institutionalisation should extend to remuneration. Li et al. (2018) note the relevance of managerial incentive structures and short-term orientation in understanding corporate misconduct. Performance systems that reward financial results without equivalent attention to compliance, sustainability and stakeholder consequences may unintentionally encourage unethical risk-taking.</w:t>
      </w:r>
    </w:p>
    <w:p w14:paraId="627F4763"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overall findings therefore support an integrated model: ethical leadership establishes expectations; ethical culture reinforces behaviour; governance provides oversight; stakeholder analysis expands the decision frame; ethical theories provide evaluation criteria; and transparent accountability ensures that CSR commitments influence actual organisational practice.</w:t>
      </w:r>
    </w:p>
    <w:p w14:paraId="4ECB8A86" w14:textId="77777777" w:rsidR="007A0DB5" w:rsidRPr="008B097C" w:rsidRDefault="007A0DB5" w:rsidP="00166C1B">
      <w:pPr>
        <w:spacing w:line="480" w:lineRule="auto"/>
        <w:rPr>
          <w:rStyle w:val="Heading1Char"/>
          <w:rFonts w:ascii="Times New Roman" w:eastAsiaTheme="minorHAnsi" w:hAnsi="Times New Roman" w:cs="Times New Roman"/>
          <w:color w:val="000000" w:themeColor="text1"/>
          <w:sz w:val="24"/>
          <w:szCs w:val="24"/>
        </w:rPr>
      </w:pPr>
    </w:p>
    <w:p w14:paraId="7E3C2CE6" w14:textId="77777777" w:rsidR="008B097C" w:rsidRPr="008B097C" w:rsidRDefault="00D92798" w:rsidP="008B097C">
      <w:pPr>
        <w:spacing w:line="480" w:lineRule="auto"/>
        <w:rPr>
          <w:rFonts w:ascii="Times New Roman" w:hAnsi="Times New Roman" w:cs="Times New Roman"/>
          <w:color w:val="000000" w:themeColor="text1"/>
          <w:szCs w:val="24"/>
        </w:rPr>
      </w:pPr>
      <w:bookmarkStart w:id="5" w:name="_Toc215315561"/>
      <w:r w:rsidRPr="008B097C">
        <w:rPr>
          <w:rStyle w:val="Heading1Char"/>
          <w:rFonts w:ascii="Times New Roman" w:hAnsi="Times New Roman" w:cs="Times New Roman"/>
          <w:b/>
          <w:bCs/>
          <w:color w:val="000000" w:themeColor="text1"/>
          <w:sz w:val="24"/>
          <w:szCs w:val="24"/>
        </w:rPr>
        <w:lastRenderedPageBreak/>
        <w:t>6</w:t>
      </w:r>
      <w:r w:rsidR="00F11085" w:rsidRPr="008B097C">
        <w:rPr>
          <w:rStyle w:val="Heading1Char"/>
          <w:rFonts w:ascii="Times New Roman" w:hAnsi="Times New Roman" w:cs="Times New Roman"/>
          <w:b/>
          <w:bCs/>
          <w:color w:val="000000" w:themeColor="text1"/>
          <w:sz w:val="24"/>
          <w:szCs w:val="24"/>
        </w:rPr>
        <w:t>. Discussion</w:t>
      </w:r>
      <w:bookmarkEnd w:id="5"/>
      <w:r w:rsidR="00F11085" w:rsidRPr="008B097C">
        <w:rPr>
          <w:rFonts w:ascii="Times New Roman" w:hAnsi="Times New Roman" w:cs="Times New Roman"/>
          <w:color w:val="000000" w:themeColor="text1"/>
          <w:szCs w:val="24"/>
        </w:rPr>
        <w:t xml:space="preserve"> </w:t>
      </w:r>
      <w:r w:rsidR="00AA6456" w:rsidRPr="008B097C">
        <w:rPr>
          <w:rFonts w:ascii="Times New Roman" w:hAnsi="Times New Roman" w:cs="Times New Roman"/>
          <w:color w:val="000000" w:themeColor="text1"/>
          <w:szCs w:val="24"/>
        </w:rPr>
        <w:br/>
      </w:r>
      <w:r w:rsidR="008B097C" w:rsidRPr="008B097C">
        <w:rPr>
          <w:rFonts w:ascii="Times New Roman" w:hAnsi="Times New Roman" w:cs="Times New Roman"/>
          <w:color w:val="000000" w:themeColor="text1"/>
          <w:szCs w:val="24"/>
        </w:rPr>
        <w:t>The analysis indicates that the central challenge for organisations is not choosing between ethics and profitability but preventing short-term commercial logic from overriding long-term organisational responsibility. Volkswagen demonstrates how decisions that appear to resolve immediate performance problems can generate substantially larger financial, legal, environmental and reputational consequences. Dieselgate therefore supports the argument that ethics must be integrated into strategic management rather than treated as a separate compliance activity.</w:t>
      </w:r>
    </w:p>
    <w:p w14:paraId="6593769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An important implication is that no single ethical framework is sufficient. Stakeholder theory identifies whose interests require consideration but provides limited guidance where interests conflict. Utilitarianism evaluates consequences but can potentially sacrifice minority rights for aggregate benefits. Deontology protects duties and rights but may offer limited flexibility when responsibilities compete. Virtue ethics addresses character and organisational integrity but provides less precise decision procedures. Combining the frameworks creates stronger ethical scrutiny.</w:t>
      </w:r>
    </w:p>
    <w:p w14:paraId="6539E64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findings also demonstrate that leadership and organisational systems are mutually reinforcing. Ethical leaders operating within incentive structures that reward only short-term financial outcomes may struggle to sustain responsible behaviour. Conversely, sophisticated compliance mechanisms may be ineffective if senior leaders implicitly tolerate rule circumvention. Dey et al. (2022) demonstrate the relationship between ethical leadership, ethical climate and sustainable employee behaviour, reinforcing the importance of integrating leadership with organisational systems.</w:t>
      </w:r>
    </w:p>
    <w:p w14:paraId="794541E8"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Several practical actions follow. First, organisations should introduce a formal </w:t>
      </w:r>
      <w:r w:rsidRPr="008B097C">
        <w:rPr>
          <w:rFonts w:ascii="Times New Roman" w:hAnsi="Times New Roman" w:cs="Times New Roman"/>
          <w:b/>
          <w:bCs/>
          <w:color w:val="000000" w:themeColor="text1"/>
          <w:szCs w:val="24"/>
        </w:rPr>
        <w:t>ethical impact assessment</w:t>
      </w:r>
      <w:r w:rsidRPr="008B097C">
        <w:rPr>
          <w:rFonts w:ascii="Times New Roman" w:hAnsi="Times New Roman" w:cs="Times New Roman"/>
          <w:color w:val="000000" w:themeColor="text1"/>
          <w:szCs w:val="24"/>
        </w:rPr>
        <w:t xml:space="preserve"> for high-risk strategic decisions. Managers should document affected stakeholders, potential harms, legal duties, environmental implications and alternative actions before approval.</w:t>
      </w:r>
    </w:p>
    <w:p w14:paraId="70FE5FF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Second, boards should establish stronger independent ethics and sustainability oversight. Significant non-financial risks should receive comparable attention to financial risk, and directors should receive reliable information that is not filtered solely through executives responsible for performance targets.</w:t>
      </w:r>
    </w:p>
    <w:p w14:paraId="69B52661"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Third, employee voice must be protected. Confidential reporting systems should be independently administered, non-retaliation rules should be enforced, and managers should be evaluated partly on whether employees can safely raise concerns.</w:t>
      </w:r>
    </w:p>
    <w:p w14:paraId="658E3D5D"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Fourth, incentive structures should incorporate ethical and sustainability indicators. Financial achievement should not be rewarded where results are subsequently shown to depend on significant compliance or ethical failures. This is especially important because performance pressure and managerial incentives can contribute to irresponsible behaviour (Li et al., 2018).</w:t>
      </w:r>
    </w:p>
    <w:p w14:paraId="1CD508B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Finally, CSR reporting should be supported by verifiable operational evidence. Organisations should disclose both progress and significant shortcomings rather than using sustainability communication primarily for reputation enhancement. Responsible business requires consistency between corporate identity, managerial decisions and measurable organisational conduct.</w:t>
      </w:r>
    </w:p>
    <w:p w14:paraId="33BCAFA6"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These recommendations shift ethics from reactive scandal management toward preventive governance. They also recognise that responsible business conduct can support organisational resilience because trustworthy stakeholder relationships, credible leadership and effective internal challenge help identify risks before they develop into crises.</w:t>
      </w:r>
    </w:p>
    <w:p w14:paraId="68AB323E"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lastRenderedPageBreak/>
        <w:t>6. Conclusion</w:t>
      </w:r>
    </w:p>
    <w:p w14:paraId="0AB3648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report has critically examined the integration of ethical principles into organisational decision-making and corporate responsibility. The analysis demonstrates that business ethics is not peripheral to organisational performance but influences governance, stakeholder relationships, employee behaviour, sustainability and long-term trust. Stakeholder theory, utilitarianism, deontology and virtue ethics provide different but complementary perspectives for evaluating corporate conduct.</w:t>
      </w:r>
    </w:p>
    <w:p w14:paraId="1F24F12E"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emissions scandal demonstrates the consequences that arise when commercial pressures become disconnected from ethical responsibility. Its significance extends beyond regulatory non-compliance because the case reveals weaknesses involving stakeholder accountability, leadership, organisational culture, environmental responsibility and corporate governance. Evidence also indicates that ethical leadership can strengthen ethical climate and sustainable behaviour, whereas unethical leadership and distorted organisational incentives can increase the risk of misconduct.</w:t>
      </w:r>
    </w:p>
    <w:p w14:paraId="67452C8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Responsible business therefore requires more than codes of conduct or CSR statements. Organisations should institutionalise ethical impact assessments, strengthen board oversight, protect employee voice, reform incentive structures and connect CSR commitments with measurable operational behaviour. Ethical decision-making should occur before strategic choices are implemented rather than after misconduct becomes public.</w:t>
      </w:r>
    </w:p>
    <w:p w14:paraId="63CA276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Ultimately, sustainable corporate responsibility depends on aligning </w:t>
      </w:r>
      <w:r w:rsidRPr="008B097C">
        <w:rPr>
          <w:rFonts w:ascii="Times New Roman" w:hAnsi="Times New Roman" w:cs="Times New Roman"/>
          <w:b/>
          <w:bCs/>
          <w:color w:val="000000" w:themeColor="text1"/>
          <w:szCs w:val="24"/>
        </w:rPr>
        <w:t>what organisations claim, what leaders reward and what employees are expected to do</w:t>
      </w:r>
      <w:r w:rsidRPr="008B097C">
        <w:rPr>
          <w:rFonts w:ascii="Times New Roman" w:hAnsi="Times New Roman" w:cs="Times New Roman"/>
          <w:color w:val="000000" w:themeColor="text1"/>
          <w:szCs w:val="24"/>
        </w:rPr>
        <w:t xml:space="preserve">. When ethical reasoning is </w:t>
      </w:r>
      <w:r w:rsidRPr="008B097C">
        <w:rPr>
          <w:rFonts w:ascii="Times New Roman" w:hAnsi="Times New Roman" w:cs="Times New Roman"/>
          <w:color w:val="000000" w:themeColor="text1"/>
          <w:szCs w:val="24"/>
        </w:rPr>
        <w:lastRenderedPageBreak/>
        <w:t>embedded within governance and strategy, it can protect stakeholder interests while strengthening trust, resilience and long-term organisational legitimacy.</w:t>
      </w:r>
    </w:p>
    <w:p w14:paraId="2B2060B2" w14:textId="77777777" w:rsidR="008B097C" w:rsidRPr="008B097C" w:rsidRDefault="008B097C" w:rsidP="008B097C">
      <w:pPr>
        <w:spacing w:line="480" w:lineRule="auto"/>
        <w:rPr>
          <w:rFonts w:ascii="Times New Roman" w:hAnsi="Times New Roman" w:cs="Times New Roman"/>
          <w:color w:val="000000" w:themeColor="text1"/>
          <w:szCs w:val="24"/>
        </w:rPr>
      </w:pPr>
    </w:p>
    <w:p w14:paraId="34F10AFB" w14:textId="77777777" w:rsidR="008B097C" w:rsidRPr="008B097C" w:rsidRDefault="008B097C" w:rsidP="008B097C">
      <w:pPr>
        <w:spacing w:line="480" w:lineRule="auto"/>
        <w:rPr>
          <w:rFonts w:ascii="Times New Roman" w:hAnsi="Times New Roman" w:cs="Times New Roman"/>
          <w:color w:val="000000" w:themeColor="text1"/>
          <w:szCs w:val="24"/>
        </w:rPr>
      </w:pPr>
    </w:p>
    <w:p w14:paraId="76E91EC1" w14:textId="77777777" w:rsidR="008B097C" w:rsidRPr="008B097C" w:rsidRDefault="008B097C" w:rsidP="008B097C">
      <w:pPr>
        <w:spacing w:line="480" w:lineRule="auto"/>
        <w:rPr>
          <w:rFonts w:ascii="Times New Roman" w:hAnsi="Times New Roman" w:cs="Times New Roman"/>
          <w:color w:val="000000" w:themeColor="text1"/>
          <w:szCs w:val="24"/>
        </w:rPr>
      </w:pPr>
    </w:p>
    <w:p w14:paraId="08658EF9" w14:textId="77777777" w:rsidR="008B097C" w:rsidRPr="008B097C" w:rsidRDefault="008B097C" w:rsidP="008B097C">
      <w:pPr>
        <w:spacing w:line="480" w:lineRule="auto"/>
        <w:rPr>
          <w:rFonts w:ascii="Times New Roman" w:hAnsi="Times New Roman" w:cs="Times New Roman"/>
          <w:color w:val="000000" w:themeColor="text1"/>
          <w:szCs w:val="24"/>
        </w:rPr>
      </w:pPr>
    </w:p>
    <w:p w14:paraId="6C51D824" w14:textId="77777777" w:rsidR="008B097C" w:rsidRPr="008B097C" w:rsidRDefault="008B097C" w:rsidP="008B097C">
      <w:pPr>
        <w:spacing w:line="480" w:lineRule="auto"/>
        <w:rPr>
          <w:rFonts w:ascii="Times New Roman" w:hAnsi="Times New Roman" w:cs="Times New Roman"/>
          <w:color w:val="000000" w:themeColor="text1"/>
          <w:szCs w:val="24"/>
        </w:rPr>
      </w:pPr>
    </w:p>
    <w:p w14:paraId="49C46441" w14:textId="77777777" w:rsidR="008B097C" w:rsidRPr="008B097C" w:rsidRDefault="008B097C" w:rsidP="008B097C">
      <w:pPr>
        <w:spacing w:line="480" w:lineRule="auto"/>
        <w:rPr>
          <w:rFonts w:ascii="Times New Roman" w:hAnsi="Times New Roman" w:cs="Times New Roman"/>
          <w:color w:val="000000" w:themeColor="text1"/>
          <w:szCs w:val="24"/>
        </w:rPr>
      </w:pPr>
    </w:p>
    <w:p w14:paraId="524AACBC" w14:textId="77777777" w:rsidR="008B097C" w:rsidRPr="008B097C" w:rsidRDefault="008B097C" w:rsidP="008B097C">
      <w:pPr>
        <w:spacing w:line="480" w:lineRule="auto"/>
        <w:rPr>
          <w:rFonts w:ascii="Times New Roman" w:hAnsi="Times New Roman" w:cs="Times New Roman"/>
          <w:color w:val="000000" w:themeColor="text1"/>
          <w:szCs w:val="24"/>
        </w:rPr>
      </w:pPr>
    </w:p>
    <w:p w14:paraId="21212E66" w14:textId="77777777" w:rsidR="008B097C" w:rsidRPr="008B097C" w:rsidRDefault="008B097C" w:rsidP="008B097C">
      <w:pPr>
        <w:spacing w:line="480" w:lineRule="auto"/>
        <w:rPr>
          <w:rFonts w:ascii="Times New Roman" w:hAnsi="Times New Roman" w:cs="Times New Roman"/>
          <w:color w:val="000000" w:themeColor="text1"/>
          <w:szCs w:val="24"/>
        </w:rPr>
      </w:pPr>
    </w:p>
    <w:p w14:paraId="718B67FF" w14:textId="77777777" w:rsidR="008B097C" w:rsidRPr="008B097C" w:rsidRDefault="008B097C" w:rsidP="008B097C">
      <w:pPr>
        <w:spacing w:line="480" w:lineRule="auto"/>
        <w:rPr>
          <w:rFonts w:ascii="Times New Roman" w:hAnsi="Times New Roman" w:cs="Times New Roman"/>
          <w:color w:val="000000" w:themeColor="text1"/>
          <w:szCs w:val="24"/>
        </w:rPr>
      </w:pPr>
    </w:p>
    <w:p w14:paraId="7E4B094E" w14:textId="77777777" w:rsidR="008B097C" w:rsidRPr="008B097C" w:rsidRDefault="008B097C" w:rsidP="008B097C">
      <w:pPr>
        <w:spacing w:line="480" w:lineRule="auto"/>
        <w:rPr>
          <w:rFonts w:ascii="Times New Roman" w:hAnsi="Times New Roman" w:cs="Times New Roman"/>
          <w:color w:val="000000" w:themeColor="text1"/>
          <w:szCs w:val="24"/>
        </w:rPr>
      </w:pPr>
    </w:p>
    <w:p w14:paraId="60E2B6CF" w14:textId="77777777" w:rsidR="008B097C" w:rsidRPr="008B097C" w:rsidRDefault="008B097C" w:rsidP="008B097C">
      <w:pPr>
        <w:spacing w:line="480" w:lineRule="auto"/>
        <w:rPr>
          <w:rFonts w:ascii="Times New Roman" w:hAnsi="Times New Roman" w:cs="Times New Roman"/>
          <w:color w:val="000000" w:themeColor="text1"/>
          <w:szCs w:val="24"/>
        </w:rPr>
      </w:pPr>
    </w:p>
    <w:p w14:paraId="3C5FB8CF" w14:textId="77777777" w:rsidR="008B097C" w:rsidRPr="008B097C" w:rsidRDefault="008B097C" w:rsidP="008B097C">
      <w:pPr>
        <w:spacing w:line="480" w:lineRule="auto"/>
        <w:rPr>
          <w:rFonts w:ascii="Times New Roman" w:hAnsi="Times New Roman" w:cs="Times New Roman"/>
          <w:color w:val="000000" w:themeColor="text1"/>
          <w:szCs w:val="24"/>
        </w:rPr>
      </w:pPr>
    </w:p>
    <w:p w14:paraId="580F012E" w14:textId="77777777" w:rsidR="008B097C" w:rsidRPr="008B097C" w:rsidRDefault="008B097C" w:rsidP="008B097C">
      <w:pPr>
        <w:spacing w:line="480" w:lineRule="auto"/>
        <w:rPr>
          <w:rFonts w:ascii="Times New Roman" w:hAnsi="Times New Roman" w:cs="Times New Roman"/>
          <w:color w:val="000000" w:themeColor="text1"/>
          <w:szCs w:val="24"/>
        </w:rPr>
      </w:pPr>
    </w:p>
    <w:p w14:paraId="5A56903B" w14:textId="77777777" w:rsidR="008B097C" w:rsidRPr="008B097C" w:rsidRDefault="008B097C" w:rsidP="008B097C">
      <w:pPr>
        <w:spacing w:line="480" w:lineRule="auto"/>
        <w:rPr>
          <w:rFonts w:ascii="Times New Roman" w:hAnsi="Times New Roman" w:cs="Times New Roman"/>
          <w:color w:val="000000" w:themeColor="text1"/>
          <w:szCs w:val="24"/>
        </w:rPr>
      </w:pPr>
    </w:p>
    <w:p w14:paraId="74C43B37" w14:textId="77777777" w:rsidR="008B097C" w:rsidRPr="008B097C" w:rsidRDefault="008B097C" w:rsidP="008B097C">
      <w:pPr>
        <w:spacing w:line="480" w:lineRule="auto"/>
        <w:rPr>
          <w:rFonts w:ascii="Times New Roman" w:hAnsi="Times New Roman" w:cs="Times New Roman"/>
          <w:color w:val="000000" w:themeColor="text1"/>
          <w:szCs w:val="24"/>
        </w:rPr>
      </w:pPr>
    </w:p>
    <w:p w14:paraId="28145EB1" w14:textId="77777777" w:rsidR="008B097C" w:rsidRPr="008B097C" w:rsidRDefault="008B097C" w:rsidP="008B097C">
      <w:pPr>
        <w:spacing w:line="480" w:lineRule="auto"/>
        <w:rPr>
          <w:rFonts w:ascii="Times New Roman" w:hAnsi="Times New Roman" w:cs="Times New Roman"/>
          <w:color w:val="000000" w:themeColor="text1"/>
          <w:szCs w:val="24"/>
        </w:rPr>
      </w:pPr>
    </w:p>
    <w:p w14:paraId="6EEDBF55" w14:textId="77777777" w:rsidR="008B097C" w:rsidRPr="008B097C" w:rsidRDefault="008B097C" w:rsidP="008B097C">
      <w:pPr>
        <w:spacing w:line="480" w:lineRule="auto"/>
        <w:rPr>
          <w:rFonts w:ascii="Times New Roman" w:hAnsi="Times New Roman" w:cs="Times New Roman"/>
          <w:color w:val="000000" w:themeColor="text1"/>
          <w:szCs w:val="24"/>
        </w:rPr>
      </w:pPr>
    </w:p>
    <w:p w14:paraId="5D57B8D8"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lastRenderedPageBreak/>
        <w:t>References</w:t>
      </w:r>
    </w:p>
    <w:p w14:paraId="095B296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Aggarwal, P., &amp; Singh, R. K. (2022). Synthesizing the affinity between employees' internal–external CSR perceptions and work outcomes: A meta-analytic investigation. </w:t>
      </w:r>
      <w:r w:rsidRPr="008B097C">
        <w:rPr>
          <w:rFonts w:ascii="Times New Roman" w:hAnsi="Times New Roman" w:cs="Times New Roman"/>
          <w:i/>
          <w:iCs/>
          <w:color w:val="000000" w:themeColor="text1"/>
          <w:szCs w:val="24"/>
        </w:rPr>
        <w:t>Business Ethics, the Environment &amp; Responsibility, 31</w:t>
      </w:r>
      <w:r w:rsidRPr="008B097C">
        <w:rPr>
          <w:rFonts w:ascii="Times New Roman" w:hAnsi="Times New Roman" w:cs="Times New Roman"/>
          <w:color w:val="000000" w:themeColor="text1"/>
          <w:szCs w:val="24"/>
        </w:rPr>
        <w:t xml:space="preserve">(4), 1053–1101. https://doi.org/10.1111/beer.12451 </w:t>
      </w:r>
    </w:p>
    <w:p w14:paraId="09506D0D"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Al Halbusi, H., Williams, K. A., Ramayah, T., Aldieri, L., &amp; Vinci, C. P. (2022). Linking ethical leadership and ethical climate to employees' ethical behavior: The moderating role of person–organization fit. </w:t>
      </w:r>
      <w:r w:rsidRPr="008B097C">
        <w:rPr>
          <w:rFonts w:ascii="Times New Roman" w:hAnsi="Times New Roman" w:cs="Times New Roman"/>
          <w:i/>
          <w:iCs/>
          <w:color w:val="000000" w:themeColor="text1"/>
          <w:szCs w:val="24"/>
        </w:rPr>
        <w:t>Personnel Review, 51</w:t>
      </w:r>
      <w:r w:rsidRPr="008B097C">
        <w:rPr>
          <w:rFonts w:ascii="Times New Roman" w:hAnsi="Times New Roman" w:cs="Times New Roman"/>
          <w:color w:val="000000" w:themeColor="text1"/>
          <w:szCs w:val="24"/>
        </w:rPr>
        <w:t>(1), 399–421.</w:t>
      </w:r>
    </w:p>
    <w:p w14:paraId="6D743F45"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Bodie, M. T. (2020). Worker participation, sustainability and the puzzle of the Volkswagen emissions scandal. In B. Sjåfjell &amp; C. M. Bruner (Eds.), </w:t>
      </w:r>
      <w:r w:rsidRPr="008B097C">
        <w:rPr>
          <w:rFonts w:ascii="Times New Roman" w:hAnsi="Times New Roman" w:cs="Times New Roman"/>
          <w:i/>
          <w:iCs/>
          <w:color w:val="000000" w:themeColor="text1"/>
          <w:szCs w:val="24"/>
        </w:rPr>
        <w:t>The Cambridge handbook of corporate law, corporate governance and sustainability</w:t>
      </w:r>
      <w:r w:rsidRPr="008B097C">
        <w:rPr>
          <w:rFonts w:ascii="Times New Roman" w:hAnsi="Times New Roman" w:cs="Times New Roman"/>
          <w:color w:val="000000" w:themeColor="text1"/>
          <w:szCs w:val="24"/>
        </w:rPr>
        <w:t xml:space="preserve">. Cambridge University Press. </w:t>
      </w:r>
    </w:p>
    <w:p w14:paraId="1FAC3912"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Brown, M. E., Treviño, L. K., &amp; Harrison, D. A. (2005). Ethical leadership: A social learning perspective for construct development and testing. </w:t>
      </w:r>
      <w:r w:rsidRPr="008B097C">
        <w:rPr>
          <w:rFonts w:ascii="Times New Roman" w:hAnsi="Times New Roman" w:cs="Times New Roman"/>
          <w:i/>
          <w:iCs/>
          <w:color w:val="000000" w:themeColor="text1"/>
          <w:szCs w:val="24"/>
        </w:rPr>
        <w:t>Organizational Behavior and Human Decision Processes, 97</w:t>
      </w:r>
      <w:r w:rsidRPr="008B097C">
        <w:rPr>
          <w:rFonts w:ascii="Times New Roman" w:hAnsi="Times New Roman" w:cs="Times New Roman"/>
          <w:color w:val="000000" w:themeColor="text1"/>
          <w:szCs w:val="24"/>
        </w:rPr>
        <w:t xml:space="preserve">(2), 117–134. </w:t>
      </w:r>
      <w:hyperlink r:id="rId8" w:tgtFrame="_new" w:history="1">
        <w:r w:rsidRPr="008B097C">
          <w:rPr>
            <w:rStyle w:val="Hyperlink"/>
            <w:rFonts w:ascii="Times New Roman" w:hAnsi="Times New Roman" w:cs="Times New Roman"/>
            <w:szCs w:val="24"/>
          </w:rPr>
          <w:t>https://doi.org/10.1016/j.obhdp.2005.03.002</w:t>
        </w:r>
      </w:hyperlink>
    </w:p>
    <w:p w14:paraId="2D163CE2"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Carroll, A. B. (1991). The pyramid of corporate social responsibility: Toward the moral management of organizational stakeholders. </w:t>
      </w:r>
      <w:r w:rsidRPr="008B097C">
        <w:rPr>
          <w:rFonts w:ascii="Times New Roman" w:hAnsi="Times New Roman" w:cs="Times New Roman"/>
          <w:i/>
          <w:iCs/>
          <w:color w:val="000000" w:themeColor="text1"/>
          <w:szCs w:val="24"/>
        </w:rPr>
        <w:t>Business Horizons, 34</w:t>
      </w:r>
      <w:r w:rsidRPr="008B097C">
        <w:rPr>
          <w:rFonts w:ascii="Times New Roman" w:hAnsi="Times New Roman" w:cs="Times New Roman"/>
          <w:color w:val="000000" w:themeColor="text1"/>
          <w:szCs w:val="24"/>
        </w:rPr>
        <w:t>(4), 39–48. https://doi.org/10.1016/0007-6813(91)90005-G</w:t>
      </w:r>
    </w:p>
    <w:p w14:paraId="492A7FA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Crête, R. (2016). The Volkswagen scandal from the viewpoint of corporate governance. </w:t>
      </w:r>
      <w:r w:rsidRPr="008B097C">
        <w:rPr>
          <w:rFonts w:ascii="Times New Roman" w:hAnsi="Times New Roman" w:cs="Times New Roman"/>
          <w:i/>
          <w:iCs/>
          <w:color w:val="000000" w:themeColor="text1"/>
          <w:szCs w:val="24"/>
        </w:rPr>
        <w:t>European Journal of Risk Regulation, 7</w:t>
      </w:r>
      <w:r w:rsidRPr="008B097C">
        <w:rPr>
          <w:rFonts w:ascii="Times New Roman" w:hAnsi="Times New Roman" w:cs="Times New Roman"/>
          <w:color w:val="000000" w:themeColor="text1"/>
          <w:szCs w:val="24"/>
        </w:rPr>
        <w:t xml:space="preserve">(1), 25–31. </w:t>
      </w:r>
    </w:p>
    <w:p w14:paraId="7E70AD9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Dey, M., Bhattacharjee, S., Mahmood, M., Uddin, M. A., &amp; Biswas, S. R. (2022). Ethical leadership for better sustainable performance: Role of employee values, behavior and ethical </w:t>
      </w:r>
      <w:r w:rsidRPr="008B097C">
        <w:rPr>
          <w:rFonts w:ascii="Times New Roman" w:hAnsi="Times New Roman" w:cs="Times New Roman"/>
          <w:color w:val="000000" w:themeColor="text1"/>
          <w:szCs w:val="24"/>
        </w:rPr>
        <w:lastRenderedPageBreak/>
        <w:t xml:space="preserve">climate. </w:t>
      </w:r>
      <w:r w:rsidRPr="008B097C">
        <w:rPr>
          <w:rFonts w:ascii="Times New Roman" w:hAnsi="Times New Roman" w:cs="Times New Roman"/>
          <w:i/>
          <w:iCs/>
          <w:color w:val="000000" w:themeColor="text1"/>
          <w:szCs w:val="24"/>
        </w:rPr>
        <w:t>Journal of Cleaner Production, 337</w:t>
      </w:r>
      <w:r w:rsidRPr="008B097C">
        <w:rPr>
          <w:rFonts w:ascii="Times New Roman" w:hAnsi="Times New Roman" w:cs="Times New Roman"/>
          <w:color w:val="000000" w:themeColor="text1"/>
          <w:szCs w:val="24"/>
        </w:rPr>
        <w:t xml:space="preserve">, 130527. </w:t>
      </w:r>
      <w:hyperlink r:id="rId9" w:tgtFrame="_new" w:history="1">
        <w:r w:rsidRPr="008B097C">
          <w:rPr>
            <w:rStyle w:val="Hyperlink"/>
            <w:rFonts w:ascii="Times New Roman" w:hAnsi="Times New Roman" w:cs="Times New Roman"/>
            <w:szCs w:val="24"/>
          </w:rPr>
          <w:t>https://doi.org/10.1016/j.jclepro.2022.130527</w:t>
        </w:r>
      </w:hyperlink>
      <w:r w:rsidRPr="008B097C">
        <w:rPr>
          <w:rFonts w:ascii="Times New Roman" w:hAnsi="Times New Roman" w:cs="Times New Roman"/>
          <w:color w:val="000000" w:themeColor="text1"/>
          <w:szCs w:val="24"/>
        </w:rPr>
        <w:t xml:space="preserve"> </w:t>
      </w:r>
    </w:p>
    <w:p w14:paraId="43C07E54"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Eisenbeiß, S. A., &amp; Brodbeck, F. (2014). Ethical and unethical leadership: A cross-cultural and cross-sectoral analysis. </w:t>
      </w:r>
      <w:r w:rsidRPr="008B097C">
        <w:rPr>
          <w:rFonts w:ascii="Times New Roman" w:hAnsi="Times New Roman" w:cs="Times New Roman"/>
          <w:i/>
          <w:iCs/>
          <w:color w:val="000000" w:themeColor="text1"/>
          <w:szCs w:val="24"/>
        </w:rPr>
        <w:t>Journal of Business Ethics, 122</w:t>
      </w:r>
      <w:r w:rsidRPr="008B097C">
        <w:rPr>
          <w:rFonts w:ascii="Times New Roman" w:hAnsi="Times New Roman" w:cs="Times New Roman"/>
          <w:color w:val="000000" w:themeColor="text1"/>
          <w:szCs w:val="24"/>
        </w:rPr>
        <w:t>, 343–359. https://doi.org/10.1007/s10551-013-1740-0</w:t>
      </w:r>
    </w:p>
    <w:p w14:paraId="4ABB3BC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Freeman, R. E. (1984). </w:t>
      </w:r>
      <w:r w:rsidRPr="008B097C">
        <w:rPr>
          <w:rFonts w:ascii="Times New Roman" w:hAnsi="Times New Roman" w:cs="Times New Roman"/>
          <w:i/>
          <w:iCs/>
          <w:color w:val="000000" w:themeColor="text1"/>
          <w:szCs w:val="24"/>
        </w:rPr>
        <w:t>Strategic management: A stakeholder approach</w:t>
      </w:r>
      <w:r w:rsidRPr="008B097C">
        <w:rPr>
          <w:rFonts w:ascii="Times New Roman" w:hAnsi="Times New Roman" w:cs="Times New Roman"/>
          <w:color w:val="000000" w:themeColor="text1"/>
          <w:szCs w:val="24"/>
        </w:rPr>
        <w:t>. Pitman.</w:t>
      </w:r>
    </w:p>
    <w:p w14:paraId="0BF0096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Li, L., McMurray, A., Xue, J., Liu, Z., &amp; Sy, M. (2018). Industry-wide corporate fraud: The truth behind the Volkswagen scandal. </w:t>
      </w:r>
      <w:r w:rsidRPr="008B097C">
        <w:rPr>
          <w:rFonts w:ascii="Times New Roman" w:hAnsi="Times New Roman" w:cs="Times New Roman"/>
          <w:i/>
          <w:iCs/>
          <w:color w:val="000000" w:themeColor="text1"/>
          <w:szCs w:val="24"/>
        </w:rPr>
        <w:t>Journal of Cleaner Production, 172</w:t>
      </w:r>
      <w:r w:rsidRPr="008B097C">
        <w:rPr>
          <w:rFonts w:ascii="Times New Roman" w:hAnsi="Times New Roman" w:cs="Times New Roman"/>
          <w:color w:val="000000" w:themeColor="text1"/>
          <w:szCs w:val="24"/>
        </w:rPr>
        <w:t xml:space="preserve">, 3167–3175. https://doi.org/10.1016/j.jclepro.2017.11.051 </w:t>
      </w:r>
    </w:p>
    <w:p w14:paraId="12A63174"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Mujkic, E., &amp; Klingner, D. (2019). Dieselgate: How hubris and bad leadership caused the biggest scandal in automotive history. </w:t>
      </w:r>
      <w:r w:rsidRPr="008B097C">
        <w:rPr>
          <w:rFonts w:ascii="Times New Roman" w:hAnsi="Times New Roman" w:cs="Times New Roman"/>
          <w:i/>
          <w:iCs/>
          <w:color w:val="000000" w:themeColor="text1"/>
          <w:szCs w:val="24"/>
        </w:rPr>
        <w:t>Public Integrity, 21</w:t>
      </w:r>
      <w:r w:rsidRPr="008B097C">
        <w:rPr>
          <w:rFonts w:ascii="Times New Roman" w:hAnsi="Times New Roman" w:cs="Times New Roman"/>
          <w:color w:val="000000" w:themeColor="text1"/>
          <w:szCs w:val="24"/>
        </w:rPr>
        <w:t xml:space="preserve">(4), 365–377. </w:t>
      </w:r>
      <w:hyperlink r:id="rId10" w:tgtFrame="_new" w:history="1">
        <w:r w:rsidRPr="008B097C">
          <w:rPr>
            <w:rStyle w:val="Hyperlink"/>
            <w:rFonts w:ascii="Times New Roman" w:hAnsi="Times New Roman" w:cs="Times New Roman"/>
            <w:szCs w:val="24"/>
          </w:rPr>
          <w:t>https://doi.org/10.1080/10999922.2018.1522180</w:t>
        </w:r>
      </w:hyperlink>
      <w:r w:rsidRPr="008B097C">
        <w:rPr>
          <w:rFonts w:ascii="Times New Roman" w:hAnsi="Times New Roman" w:cs="Times New Roman"/>
          <w:color w:val="000000" w:themeColor="text1"/>
          <w:szCs w:val="24"/>
        </w:rPr>
        <w:t xml:space="preserve"> </w:t>
      </w:r>
    </w:p>
    <w:p w14:paraId="0CC3F1F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Rhodes, C. (2016). Democratic business ethics: Volkswagen's emissions scandal and the disruption of corporate sovereignty. </w:t>
      </w:r>
      <w:r w:rsidRPr="008B097C">
        <w:rPr>
          <w:rFonts w:ascii="Times New Roman" w:hAnsi="Times New Roman" w:cs="Times New Roman"/>
          <w:i/>
          <w:iCs/>
          <w:color w:val="000000" w:themeColor="text1"/>
          <w:szCs w:val="24"/>
        </w:rPr>
        <w:t>Organization Studies, 37</w:t>
      </w:r>
      <w:r w:rsidRPr="008B097C">
        <w:rPr>
          <w:rFonts w:ascii="Times New Roman" w:hAnsi="Times New Roman" w:cs="Times New Roman"/>
          <w:color w:val="000000" w:themeColor="text1"/>
          <w:szCs w:val="24"/>
        </w:rPr>
        <w:t xml:space="preserve">(10), 1501–1518. </w:t>
      </w:r>
      <w:hyperlink r:id="rId11" w:tgtFrame="_new" w:history="1">
        <w:r w:rsidRPr="008B097C">
          <w:rPr>
            <w:rStyle w:val="Hyperlink"/>
            <w:rFonts w:ascii="Times New Roman" w:hAnsi="Times New Roman" w:cs="Times New Roman"/>
            <w:szCs w:val="24"/>
          </w:rPr>
          <w:t>https://doi.org/10.1177/0170840616641984</w:t>
        </w:r>
      </w:hyperlink>
      <w:r w:rsidRPr="008B097C">
        <w:rPr>
          <w:rFonts w:ascii="Times New Roman" w:hAnsi="Times New Roman" w:cs="Times New Roman"/>
          <w:color w:val="000000" w:themeColor="text1"/>
          <w:szCs w:val="24"/>
        </w:rPr>
        <w:t xml:space="preserve"> </w:t>
      </w:r>
    </w:p>
    <w:p w14:paraId="5426DE8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Roy, A., Newman, A., Round, H., &amp; Bhattacharya, S. (2023). Ethical culture in organizations: A review and agenda for future research. </w:t>
      </w:r>
      <w:r w:rsidRPr="008B097C">
        <w:rPr>
          <w:rFonts w:ascii="Times New Roman" w:hAnsi="Times New Roman" w:cs="Times New Roman"/>
          <w:i/>
          <w:iCs/>
          <w:color w:val="000000" w:themeColor="text1"/>
          <w:szCs w:val="24"/>
        </w:rPr>
        <w:t>Business Ethics Quarterly</w:t>
      </w:r>
      <w:r w:rsidRPr="008B097C">
        <w:rPr>
          <w:rFonts w:ascii="Times New Roman" w:hAnsi="Times New Roman" w:cs="Times New Roman"/>
          <w:color w:val="000000" w:themeColor="text1"/>
          <w:szCs w:val="24"/>
        </w:rPr>
        <w:t xml:space="preserve">. </w:t>
      </w:r>
      <w:hyperlink r:id="rId12" w:tgtFrame="_new" w:history="1">
        <w:r w:rsidRPr="008B097C">
          <w:rPr>
            <w:rStyle w:val="Hyperlink"/>
            <w:rFonts w:ascii="Times New Roman" w:hAnsi="Times New Roman" w:cs="Times New Roman"/>
            <w:szCs w:val="24"/>
          </w:rPr>
          <w:t>https://doi.org/10.1017/beq.2022.44</w:t>
        </w:r>
      </w:hyperlink>
      <w:r w:rsidRPr="008B097C">
        <w:rPr>
          <w:rFonts w:ascii="Times New Roman" w:hAnsi="Times New Roman" w:cs="Times New Roman"/>
          <w:color w:val="000000" w:themeColor="text1"/>
          <w:szCs w:val="24"/>
        </w:rPr>
        <w:t xml:space="preserve"> </w:t>
      </w:r>
    </w:p>
    <w:p w14:paraId="7234EC83"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Treviño, L. K., Weaver, G. R., &amp; Reynolds, S. J. (2006). Behavioral ethics in organizations: A review. </w:t>
      </w:r>
      <w:r w:rsidRPr="008B097C">
        <w:rPr>
          <w:rFonts w:ascii="Times New Roman" w:hAnsi="Times New Roman" w:cs="Times New Roman"/>
          <w:i/>
          <w:iCs/>
          <w:color w:val="000000" w:themeColor="text1"/>
          <w:szCs w:val="24"/>
        </w:rPr>
        <w:t>Journal of Management, 32</w:t>
      </w:r>
      <w:r w:rsidRPr="008B097C">
        <w:rPr>
          <w:rFonts w:ascii="Times New Roman" w:hAnsi="Times New Roman" w:cs="Times New Roman"/>
          <w:color w:val="000000" w:themeColor="text1"/>
          <w:szCs w:val="24"/>
        </w:rPr>
        <w:t xml:space="preserve">(6), 951–990. </w:t>
      </w:r>
      <w:hyperlink r:id="rId13" w:tgtFrame="_new" w:history="1">
        <w:r w:rsidRPr="008B097C">
          <w:rPr>
            <w:rStyle w:val="Hyperlink"/>
            <w:rFonts w:ascii="Times New Roman" w:hAnsi="Times New Roman" w:cs="Times New Roman"/>
            <w:szCs w:val="24"/>
          </w:rPr>
          <w:t>https://doi.org/10.1177/0149206306294258</w:t>
        </w:r>
      </w:hyperlink>
    </w:p>
    <w:p w14:paraId="7362524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Ünal, A. F., Warren, D. E., &amp; Chen, C. C. (2022). Unethical leadership: Review, synthesis and directions for future research. </w:t>
      </w:r>
      <w:r w:rsidRPr="008B097C">
        <w:rPr>
          <w:rFonts w:ascii="Times New Roman" w:hAnsi="Times New Roman" w:cs="Times New Roman"/>
          <w:i/>
          <w:iCs/>
          <w:color w:val="000000" w:themeColor="text1"/>
          <w:szCs w:val="24"/>
        </w:rPr>
        <w:t>Journal of Business Ethics</w:t>
      </w:r>
      <w:r w:rsidRPr="008B097C">
        <w:rPr>
          <w:rFonts w:ascii="Times New Roman" w:hAnsi="Times New Roman" w:cs="Times New Roman"/>
          <w:color w:val="000000" w:themeColor="text1"/>
          <w:szCs w:val="24"/>
        </w:rPr>
        <w:t xml:space="preserve">. </w:t>
      </w:r>
      <w:hyperlink r:id="rId14" w:tgtFrame="_new" w:history="1">
        <w:r w:rsidRPr="008B097C">
          <w:rPr>
            <w:rStyle w:val="Hyperlink"/>
            <w:rFonts w:ascii="Times New Roman" w:hAnsi="Times New Roman" w:cs="Times New Roman"/>
            <w:szCs w:val="24"/>
          </w:rPr>
          <w:t>https://doi.org/10.1007/s10551-022-05081-6</w:t>
        </w:r>
      </w:hyperlink>
      <w:r w:rsidRPr="008B097C">
        <w:rPr>
          <w:rFonts w:ascii="Times New Roman" w:hAnsi="Times New Roman" w:cs="Times New Roman"/>
          <w:color w:val="000000" w:themeColor="text1"/>
          <w:szCs w:val="24"/>
        </w:rPr>
        <w:t xml:space="preserve"> </w:t>
      </w:r>
    </w:p>
    <w:p w14:paraId="1DFA5A6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Valentini, C., &amp; Kruckeberg, D. (2018). “Walking the environmental responsibility talk” in the automobile industry: An ethics case study of the Volkswagen environmental scandal. </w:t>
      </w:r>
      <w:r w:rsidRPr="008B097C">
        <w:rPr>
          <w:rFonts w:ascii="Times New Roman" w:hAnsi="Times New Roman" w:cs="Times New Roman"/>
          <w:i/>
          <w:iCs/>
          <w:color w:val="000000" w:themeColor="text1"/>
          <w:szCs w:val="24"/>
        </w:rPr>
        <w:t>Corporate Communications: An International Journal, 23</w:t>
      </w:r>
      <w:r w:rsidRPr="008B097C">
        <w:rPr>
          <w:rFonts w:ascii="Times New Roman" w:hAnsi="Times New Roman" w:cs="Times New Roman"/>
          <w:color w:val="000000" w:themeColor="text1"/>
          <w:szCs w:val="24"/>
        </w:rPr>
        <w:t xml:space="preserve">(4), 528–543. https://doi.org/10.1108/CCIJ-04-2018-0045 </w:t>
      </w:r>
    </w:p>
    <w:p w14:paraId="286B3D0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Zhang, M. (2021). Corporate social irresponsibility and stakeholder ecosystems: The case of Volkswagen Dieselgate scandal. </w:t>
      </w:r>
      <w:r w:rsidRPr="008B097C">
        <w:rPr>
          <w:rFonts w:ascii="Times New Roman" w:hAnsi="Times New Roman" w:cs="Times New Roman"/>
          <w:i/>
          <w:iCs/>
          <w:color w:val="000000" w:themeColor="text1"/>
          <w:szCs w:val="24"/>
        </w:rPr>
        <w:t>Strategic Change, 30</w:t>
      </w:r>
      <w:r w:rsidRPr="008B097C">
        <w:rPr>
          <w:rFonts w:ascii="Times New Roman" w:hAnsi="Times New Roman" w:cs="Times New Roman"/>
          <w:color w:val="000000" w:themeColor="text1"/>
          <w:szCs w:val="24"/>
        </w:rPr>
        <w:t xml:space="preserve">(1), 79–85. </w:t>
      </w:r>
      <w:hyperlink r:id="rId15" w:tgtFrame="_new" w:history="1">
        <w:r w:rsidRPr="008B097C">
          <w:rPr>
            <w:rStyle w:val="Hyperlink"/>
            <w:rFonts w:ascii="Times New Roman" w:hAnsi="Times New Roman" w:cs="Times New Roman"/>
            <w:szCs w:val="24"/>
          </w:rPr>
          <w:t>https://doi.org/10.1002/jsc.2391</w:t>
        </w:r>
      </w:hyperlink>
    </w:p>
    <w:p w14:paraId="18D123F1" w14:textId="3511B31A" w:rsidR="00F11085" w:rsidRPr="008B097C" w:rsidRDefault="00F11085" w:rsidP="008B097C">
      <w:pPr>
        <w:spacing w:line="480" w:lineRule="auto"/>
        <w:rPr>
          <w:rFonts w:ascii="Times New Roman" w:hAnsi="Times New Roman" w:cs="Times New Roman"/>
          <w:szCs w:val="24"/>
        </w:rPr>
      </w:pPr>
    </w:p>
    <w:sectPr w:rsidR="00F11085" w:rsidRPr="008B09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0BC"/>
    <w:multiLevelType w:val="hybridMultilevel"/>
    <w:tmpl w:val="087C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34730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E2601"/>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66B87"/>
    <w:rsid w:val="005800B1"/>
    <w:rsid w:val="005809E5"/>
    <w:rsid w:val="00582227"/>
    <w:rsid w:val="00590BBC"/>
    <w:rsid w:val="005A1FBC"/>
    <w:rsid w:val="005B2DFD"/>
    <w:rsid w:val="005C1B21"/>
    <w:rsid w:val="005D0DD3"/>
    <w:rsid w:val="005E61DA"/>
    <w:rsid w:val="005F274A"/>
    <w:rsid w:val="00607C62"/>
    <w:rsid w:val="00615398"/>
    <w:rsid w:val="00616AFE"/>
    <w:rsid w:val="00626634"/>
    <w:rsid w:val="00635832"/>
    <w:rsid w:val="00650645"/>
    <w:rsid w:val="00654B4B"/>
    <w:rsid w:val="006640E0"/>
    <w:rsid w:val="006843B4"/>
    <w:rsid w:val="006918AA"/>
    <w:rsid w:val="006A68A4"/>
    <w:rsid w:val="006D483F"/>
    <w:rsid w:val="006E757C"/>
    <w:rsid w:val="00707765"/>
    <w:rsid w:val="0073081D"/>
    <w:rsid w:val="00770641"/>
    <w:rsid w:val="00770D56"/>
    <w:rsid w:val="007730F5"/>
    <w:rsid w:val="00781A04"/>
    <w:rsid w:val="007A0DB5"/>
    <w:rsid w:val="007B0823"/>
    <w:rsid w:val="007D6ADC"/>
    <w:rsid w:val="007F2D81"/>
    <w:rsid w:val="00806230"/>
    <w:rsid w:val="00810849"/>
    <w:rsid w:val="008142F0"/>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097C"/>
    <w:rsid w:val="008B7D13"/>
    <w:rsid w:val="008C04A8"/>
    <w:rsid w:val="008F64CE"/>
    <w:rsid w:val="009071FD"/>
    <w:rsid w:val="00913F7C"/>
    <w:rsid w:val="0092274C"/>
    <w:rsid w:val="0094357A"/>
    <w:rsid w:val="0095171B"/>
    <w:rsid w:val="009541AC"/>
    <w:rsid w:val="009579FB"/>
    <w:rsid w:val="009663A1"/>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1611F"/>
    <w:rsid w:val="00B26599"/>
    <w:rsid w:val="00B35BF1"/>
    <w:rsid w:val="00B37028"/>
    <w:rsid w:val="00B425D9"/>
    <w:rsid w:val="00B6174C"/>
    <w:rsid w:val="00B77EDE"/>
    <w:rsid w:val="00B81268"/>
    <w:rsid w:val="00B8708C"/>
    <w:rsid w:val="00BC633F"/>
    <w:rsid w:val="00BC7259"/>
    <w:rsid w:val="00BD3C56"/>
    <w:rsid w:val="00BD4725"/>
    <w:rsid w:val="00BF0D10"/>
    <w:rsid w:val="00C03804"/>
    <w:rsid w:val="00C150CB"/>
    <w:rsid w:val="00C1597C"/>
    <w:rsid w:val="00C30977"/>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77B3"/>
    <w:rsid w:val="00DD2AB5"/>
    <w:rsid w:val="00DD48B2"/>
    <w:rsid w:val="00DD4BFF"/>
    <w:rsid w:val="00DF3FD0"/>
    <w:rsid w:val="00E031DE"/>
    <w:rsid w:val="00E0339E"/>
    <w:rsid w:val="00E051E7"/>
    <w:rsid w:val="00E072DA"/>
    <w:rsid w:val="00E47DA5"/>
    <w:rsid w:val="00E53749"/>
    <w:rsid w:val="00E569FC"/>
    <w:rsid w:val="00E83A4B"/>
    <w:rsid w:val="00E93CA6"/>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E4E48"/>
    <w:rsid w:val="00FE6BF1"/>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obhdp.2005.03.002" TargetMode="External"/><Relationship Id="rId13" Type="http://schemas.openxmlformats.org/officeDocument/2006/relationships/hyperlink" Target="https://doi.org/10.1177/0149206306294258"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17/beq.2022.44?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170840616641984" TargetMode="External"/><Relationship Id="rId5" Type="http://schemas.openxmlformats.org/officeDocument/2006/relationships/webSettings" Target="webSettings.xml"/><Relationship Id="rId15" Type="http://schemas.openxmlformats.org/officeDocument/2006/relationships/hyperlink" Target="https://doi.org/10.1002/jsc.2391" TargetMode="External"/><Relationship Id="rId10" Type="http://schemas.openxmlformats.org/officeDocument/2006/relationships/hyperlink" Target="https://doi.org/10.1080/10999922.2018.1522180" TargetMode="External"/><Relationship Id="rId4" Type="http://schemas.openxmlformats.org/officeDocument/2006/relationships/settings" Target="settings.xml"/><Relationship Id="rId9" Type="http://schemas.openxmlformats.org/officeDocument/2006/relationships/hyperlink" Target="https://doi.org/10.1016/j.jclepro.2022.130527" TargetMode="External"/><Relationship Id="rId14" Type="http://schemas.openxmlformats.org/officeDocument/2006/relationships/hyperlink" Target="https://doi.org/10.1007/s10551-022-05081-6?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6248</Words>
  <Characters>35615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xx5949@365mak.com</cp:lastModifiedBy>
  <cp:revision>3</cp:revision>
  <dcterms:created xsi:type="dcterms:W3CDTF">2026-09-21T07:12:00Z</dcterms:created>
  <dcterms:modified xsi:type="dcterms:W3CDTF">2026-09-21T07:17:00Z</dcterms:modified>
</cp:coreProperties>
</file>