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rFonts w:ascii="Times New Roman" w:hAnsi="Times New Roman"/>
          <w:b/>
          <w:color w:val="1F4E79"/>
          <w:sz w:val="36"/>
        </w:rPr>
        <w:br/>
        <w:br/>
        <w:br/>
        <w:t>Community Participation and Development Cooperation in Tourism: A Polycentric Governance Framework for Inclusive Destination Development</w:t>
      </w:r>
    </w:p>
    <w:p>
      <w:pPr>
        <w:spacing w:line="480" w:lineRule="auto"/>
        <w:jc w:val="center"/>
      </w:pPr>
      <w:r>
        <w:rPr>
          <w:rFonts w:ascii="Times New Roman" w:hAnsi="Times New Roman"/>
          <w:sz w:val="26"/>
        </w:rPr>
        <w:br/>
        <w:t>M20 Tourism and Local Development Cooperation</w:t>
        <w:br/>
        <w:t>Option 2: Community Participation and Development Cooperation in Tourism</w:t>
        <w:br/>
        <w:t>Detailed Project Report</w:t>
        <w:br/>
        <w:t>Submission Deadline: 24 May 2026</w:t>
        <w:br/>
      </w:r>
    </w:p>
    <w:p>
      <w:r>
        <w:br w:type="page"/>
      </w:r>
    </w:p>
    <w:p>
      <w:pPr>
        <w:pStyle w:val="Heading1"/>
        <w:spacing w:before="240" w:after="120"/>
      </w:pPr>
      <w:r>
        <w:t>Table of Contents</w:t>
      </w:r>
    </w:p>
    <w:p>
      <w:pPr>
        <w:spacing w:line="480" w:lineRule="auto" w:after="120" w:before="0"/>
      </w:pPr>
      <w:r>
        <w:t>Abstract</w:t>
      </w:r>
    </w:p>
    <w:p>
      <w:pPr>
        <w:spacing w:line="480" w:lineRule="auto" w:after="120" w:before="0"/>
      </w:pPr>
      <w:r>
        <w:t>1. Introduction</w:t>
      </w:r>
    </w:p>
    <w:p>
      <w:pPr>
        <w:spacing w:line="480" w:lineRule="auto" w:after="120" w:before="0"/>
      </w:pPr>
      <w:r>
        <w:t>2. Literature Review</w:t>
      </w:r>
    </w:p>
    <w:p>
      <w:pPr>
        <w:spacing w:line="480" w:lineRule="auto" w:after="120" w:before="0"/>
      </w:pPr>
      <w:r>
        <w:t>3. Methodology</w:t>
      </w:r>
    </w:p>
    <w:p>
      <w:pPr>
        <w:spacing w:line="480" w:lineRule="auto" w:after="120" w:before="0"/>
      </w:pPr>
      <w:r>
        <w:t>4. Findings</w:t>
      </w:r>
    </w:p>
    <w:p>
      <w:pPr>
        <w:spacing w:line="480" w:lineRule="auto" w:after="120" w:before="0"/>
      </w:pPr>
      <w:r>
        <w:t>5. Proposed Cooperation Framework</w:t>
      </w:r>
    </w:p>
    <w:p>
      <w:pPr>
        <w:spacing w:line="480" w:lineRule="auto" w:after="120" w:before="0"/>
      </w:pPr>
      <w:r>
        <w:t>6. Discussion</w:t>
      </w:r>
    </w:p>
    <w:p>
      <w:pPr>
        <w:spacing w:line="480" w:lineRule="auto" w:after="120" w:before="0"/>
      </w:pPr>
      <w:r>
        <w:t>6. Operational Safeguards for Meaningful Participation</w:t>
      </w:r>
    </w:p>
    <w:p>
      <w:pPr>
        <w:spacing w:line="480" w:lineRule="auto" w:after="120" w:before="0"/>
      </w:pPr>
      <w:r>
        <w:t>6.1 Critical Evaluation of Cooperation Risks</w:t>
      </w:r>
    </w:p>
    <w:p>
      <w:pPr>
        <w:spacing w:line="480" w:lineRule="auto" w:after="120" w:before="0"/>
      </w:pPr>
      <w:r>
        <w:t>7. Conclusion and Recommendations</w:t>
      </w:r>
    </w:p>
    <w:p>
      <w:pPr>
        <w:spacing w:line="480" w:lineRule="auto" w:after="120" w:before="0"/>
      </w:pPr>
      <w:r>
        <w:t>References</w:t>
      </w:r>
    </w:p>
    <w:p>
      <w:pPr>
        <w:spacing w:line="480" w:lineRule="auto" w:after="120" w:before="0"/>
      </w:pPr>
      <w:r>
        <w:t>Appendices</w:t>
      </w:r>
    </w:p>
    <w:p>
      <w:r>
        <w:br w:type="page"/>
      </w:r>
    </w:p>
    <w:p>
      <w:pPr>
        <w:pStyle w:val="Heading1"/>
        <w:spacing w:before="240" w:after="120"/>
      </w:pPr>
      <w:r>
        <w:t>Abstract</w:t>
      </w:r>
    </w:p>
    <w:p>
      <w:pPr>
        <w:spacing w:line="480" w:lineRule="auto" w:after="120" w:before="0"/>
      </w:pPr>
      <w:r>
        <w:t>This report develops a technical governance framework for community participation in tourism development. It argues that participation is often reduced to consultation, while genuine development cooperation requires co decision rights, benefit sharing, data transparency, risk allocation and local ownership of tourism assets. The report analyses community participation through 3 contemporary examples: Kerala's responsible tourism system, Nepal's community homestay networks and AlUla's inclusive community development orientation. These examples show that local residents, public agencies, NGOs and private tourism firms have different resources, risks and incentives. Sustainable cooperation therefore needs a polycentric structure, where village institutions, local government, destination managers, NGOs, private operators and visitor facing platforms coordinate through formal rules rather than informal goodwill. The report proposes a Community Participation and Development Cooperation Framework built around 6 mechanisms: stakeholder mapping, free and informed planning, community benefit agreements, local enterprise incubation, cultural resource protocols and participatory monitoring. It concludes that participation improves social inclusion, cultural preservation and local ownership only when residents can influence budgets, land use, product design, pricing and the monitoring of tourism impacts.</w:t>
      </w:r>
    </w:p>
    <w:p>
      <w:pPr>
        <w:jc w:val="center"/>
      </w:pPr>
      <w:r>
        <w:drawing>
          <wp:inline xmlns:a="http://schemas.openxmlformats.org/drawingml/2006/main" xmlns:pic="http://schemas.openxmlformats.org/drawingml/2006/picture">
            <wp:extent cx="6035040" cy="3394710"/>
            <wp:docPr id="1" name="Picture 1"/>
            <wp:cNvGraphicFramePr>
              <a:graphicFrameLocks noChangeAspect="1"/>
            </wp:cNvGraphicFramePr>
            <a:graphic>
              <a:graphicData uri="http://schemas.openxmlformats.org/drawingml/2006/picture">
                <pic:pic>
                  <pic:nvPicPr>
                    <pic:cNvPr id="0" name="option2_flow.png"/>
                    <pic:cNvPicPr/>
                  </pic:nvPicPr>
                  <pic:blipFill>
                    <a:blip r:embed="rId10"/>
                    <a:stretch>
                      <a:fillRect/>
                    </a:stretch>
                  </pic:blipFill>
                  <pic:spPr>
                    <a:xfrm>
                      <a:off x="0" y="0"/>
                      <a:ext cx="6035040" cy="3394710"/>
                    </a:xfrm>
                    <a:prstGeom prst="rect"/>
                  </pic:spPr>
                </pic:pic>
              </a:graphicData>
            </a:graphic>
          </wp:inline>
        </w:drawing>
      </w:r>
    </w:p>
    <w:p>
      <w:pPr>
        <w:spacing w:line="276" w:lineRule="auto"/>
        <w:jc w:val="center"/>
      </w:pPr>
      <w:r>
        <w:rPr>
          <w:i/>
          <w:sz w:val="20"/>
        </w:rPr>
        <w:t>Figure 1. Polycentric Tourism Development Cooperation Architecture</w:t>
      </w:r>
    </w:p>
    <w:p>
      <w:pPr>
        <w:pStyle w:val="Heading1"/>
        <w:spacing w:before="240" w:after="120"/>
      </w:pPr>
      <w:r>
        <w:t>1. Introduction</w:t>
      </w:r>
    </w:p>
    <w:p>
      <w:pPr>
        <w:spacing w:line="480" w:lineRule="auto" w:after="120" w:before="0"/>
      </w:pPr>
      <w:r>
        <w:t>Community participation has become a standard phrase in tourism policy, but its practical meaning is often weak. Many destinations invite residents to meetings after the development model has already been decided. This is participation as legitimation, not participation as development cooperation. In local development cooperation, community participation means that residents help define the problem, select the tourism model, decide benefit distribution, protect cultural resources, monitor impacts and challenge decisions that damage local welfare. This report therefore treats participation as a governance technology. It is not simply a social value; it is a system for reducing conflict, improving information quality, strengthening legitimacy and ensuring that tourism uses local assets without dispossessing local people.</w:t>
      </w:r>
    </w:p>
    <w:p>
      <w:pPr>
        <w:spacing w:line="480" w:lineRule="auto" w:after="120" w:before="0"/>
      </w:pPr>
      <w:r>
        <w:t>The issue is particularly important because the tourism economy has recovered strongly after the pandemic, creating new pressure on destinations to attract investment, diversify products and raise visitor spending. OECD (2024) stresses the need for resilient, sustainable and inclusive tourism policy, while UN Tourism and WTTC show that global tourism is again operating at large scale (UN Tourism, 2025; WTTC, 2026). When demand returns quickly, communities can face land speculation, cultural commodification, congestion and unequal benefit distribution. Participation is the mechanism through which residents can negotiate these changes before they become irreversible.</w:t>
      </w:r>
    </w:p>
    <w:p>
      <w:pPr>
        <w:spacing w:line="480" w:lineRule="auto" w:after="120" w:before="0"/>
      </w:pPr>
      <w:r>
        <w:t>This report focuses on development cooperation among 4 stakeholder groups. Local communities contribute place knowledge, cultural legitimacy, labour, heritage, landscapes and social networks. Government agencies contribute regulation, infrastructure, finance, data and policy authority. NGOs contribute facilitation, training, rights based advocacy and community mobilisation. Private tourism businesses contribute market access, investment, product development, service standards and distribution channels. None of these groups can deliver sustainable local tourism alone. Community led tourism without market access may remain small and fragile. Private investment without community consent may face conflict and reputational risk. Government planning without local knowledge may produce technically attractive but socially rejected projects.</w:t>
      </w:r>
    </w:p>
    <w:p>
      <w:pPr>
        <w:spacing w:line="480" w:lineRule="auto" w:after="120" w:before="0"/>
      </w:pPr>
      <w:r>
        <w:t>The report uses Kerala, Nepal and AlUla because they show different cooperation problems. Kerala demonstrates how a public responsible tourism mission can structure local participation and enterprise inclusion. Nepal's community homestay networks show how households, women and rural communities can become tourism hosts rather than passive attractions. AlUla shows how inclusive community development can be incorporated into a large destination transformation agenda. The purpose is to design a transferable framework that can be used by destinations seeking community based and development oriented tourism.</w:t>
      </w:r>
    </w:p>
    <w:p>
      <w:pPr>
        <w:pStyle w:val="Heading1"/>
        <w:spacing w:before="240" w:after="120"/>
      </w:pPr>
      <w:r>
        <w:t>2. Literature Review</w:t>
      </w:r>
    </w:p>
    <w:p>
      <w:pPr>
        <w:spacing w:line="480" w:lineRule="auto" w:after="120" w:before="0"/>
      </w:pPr>
      <w:r>
        <w:t>The recent literature on community based tourism emphasises that participation is multidimensional. Krittayaruangroj et al. (2023) show that sustainable community based tourism research links participation with governance, benefit distribution, empowerment and environmental outcomes. A narrow version of participation asks communities to provide labour or cultural performances. A stronger version gives residents decision rights over tourism scale, product design, resource use and benefit allocation. The strongest version gives communities ownership stakes in tourism enterprises and formal representation in destination governance. The difference matters because each version produces different power relations.</w:t>
      </w:r>
    </w:p>
    <w:p>
      <w:pPr>
        <w:spacing w:line="480" w:lineRule="auto" w:after="120" w:before="0"/>
      </w:pPr>
      <w:r>
        <w:t>Development cooperation theory is useful because tourism involves multiple actors with unequal capabilities. Local residents may own cultural knowledge but lack capital, digital visibility or regulatory influence. Private operators may own market access but lack social legitimacy. Government may control infrastructure but lack granular understanding of community priorities. NGOs may understand social inclusion but lack long term finance. Cooperation is therefore not a voluntary moral arrangement; it is an institutional response to interdependence. The AlUla Framework for Inclusive Community Development through Tourism is relevant because it frames tourism as a means of inclusive territorial development involving governments, communities, businesses and civil society (UN Tourism, 2023).</w:t>
      </w:r>
    </w:p>
    <w:p>
      <w:pPr>
        <w:spacing w:line="480" w:lineRule="auto" w:after="120" w:before="0"/>
      </w:pPr>
      <w:r>
        <w:t>Social exchange theory is also useful. Communities are more likely to support tourism when perceived benefits exceed perceived costs and when benefits are fairly distributed. However, a purely exchange based view can be too narrow because communities do not evaluate tourism only through income. They also consider dignity, cultural control, sacred sites, resident access, identity, environmental quality and intergenerational effects. A community may reject a profitable tourism project if it undermines cultural authority or increases social conflict. Participation is therefore a mechanism for evaluating both economic and non economic outcomes.</w:t>
      </w:r>
    </w:p>
    <w:p>
      <w:pPr>
        <w:spacing w:line="480" w:lineRule="auto" w:after="120" w:before="0"/>
      </w:pPr>
      <w:r>
        <w:t>Inclusive tourism policy increasingly requires measurable governance. GSTC destination standards emphasise sustainable management, socio economic benefits, cultural protection and environmental stewardship (GSTC, 2025). These standards imply that participation should be documented, not assumed. A destination should be able to show who was consulted, what decisions communities influenced, how grievances are handled, how cultural assets are protected and whether vulnerable groups are included. Without these records, participation remains symbolic and difficult to audit.</w:t>
      </w:r>
    </w:p>
    <w:p>
      <w:pPr>
        <w:spacing w:line="480" w:lineRule="auto" w:after="120" w:before="0"/>
      </w:pPr>
      <w:r>
        <w:t>Recent work on tourism and SDGs also highlights that tourism can support poverty reduction, decent work and local institutions, but only under conditions of inclusive planning (Khizar et al., 2023). Community participation affects the distribution of development benefits because it shapes who receives training, licences, contracts, land access and marketing support. This is especially important for women, Indigenous groups, youth and informal workers. If participation is dominated by local elites, tourism can reproduce inequality within the community. Therefore, inclusive participation requires internal community safeguards, not only negotiation between community and external investors.</w:t>
      </w:r>
    </w:p>
    <w:p>
      <w:pPr>
        <w:spacing w:line="480" w:lineRule="auto" w:after="120" w:before="0"/>
      </w:pPr>
      <w:r>
        <w:t>The literature therefore supports a technical definition of tourism development cooperation: a structured governance arrangement through which public, private, civil society and community actors jointly plan, implement, monitor and adapt tourism in order to distribute benefits, protect local assets and improve resident capability. This definition is more precise than saying that tourism should involve the community. It identifies the actors, the process and the developmental purpose.</w:t>
      </w:r>
    </w:p>
    <w:p>
      <w:pPr>
        <w:pStyle w:val="Heading1"/>
        <w:spacing w:before="240" w:after="120"/>
      </w:pPr>
      <w:r>
        <w:t>3. Methodology</w:t>
      </w:r>
    </w:p>
    <w:p>
      <w:pPr>
        <w:spacing w:line="480" w:lineRule="auto" w:after="120" w:before="0"/>
      </w:pPr>
      <w:r>
        <w:t>This report uses qualitative document analysis and comparative framework building. It reviews recent tourism policy reports, community based tourism literature and destination examples from 2021 to 2026. The cases are not selected to prove that one country has the best model. They are selected because each reveals a different component of participation. Kerala illustrates public institutional support for responsible tourism units. Nepal illustrates household level hosting and community product development. AlUla illustrates large scale destination transformation with an explicit inclusive community development narrative.</w:t>
      </w:r>
    </w:p>
    <w:p>
      <w:pPr>
        <w:spacing w:line="480" w:lineRule="auto" w:after="120" w:before="0"/>
      </w:pPr>
      <w:r>
        <w:t>The analytical framework applies 5 questions to each case. Who participates? At what stage do they participate? What decisions can they influence? What benefits can they capture? What safeguards exist against exclusion, elite capture or cultural harm? These questions are used because they separate meaningful participation from token consultation. The analysis also distinguishes between procedural inclusion, which means being invited into the process, and substantive inclusion, which means gaining actual influence, income, ownership or protection.</w:t>
      </w:r>
    </w:p>
    <w:p>
      <w:pPr>
        <w:spacing w:line="480" w:lineRule="auto" w:after="120" w:before="0"/>
      </w:pPr>
      <w:r>
        <w:t>The method has limitations. It relies on secondary sources and therefore cannot verify every local perception or household outcome. It also cannot capture informal power relations inside every community. To address this, the report does not make exaggerated claims that participation automatically succeeds. Instead, it identifies governance conditions under which participation is more likely to produce social inclusion, cultural preservation and local ownership.</w:t>
      </w:r>
    </w:p>
    <w:p>
      <w:pPr>
        <w:pStyle w:val="Heading1"/>
        <w:spacing w:before="240" w:after="120"/>
      </w:pPr>
      <w:r>
        <w:t>4. Findings</w:t>
      </w:r>
    </w:p>
    <w:p>
      <w:pPr>
        <w:spacing w:line="480" w:lineRule="auto" w:after="120" w:before="0"/>
      </w:pPr>
      <w:r>
        <w:t>The first finding is that local communities perform more than one role in tourism. They are not merely beneficiaries. They are resource stewards, cultural knowledge holders, service providers, employees, entrepreneurs, land users, residents affected by congestion and political actors with legitimacy claims. In Kerala, responsible tourism links local households and producers to visitor experiences and supply chains. In Nepal's community homestay model, households become hosts and interpreters of everyday rural life, while women often occupy a central role in hospitality, food and cultural exchange. In AlUla, the community dimension is connected to heritage, oasis identity, employment, training and local involvement in a major destination transformation. These examples show that community participation is multifunctional and cannot be reduced to consultation meetings.</w:t>
      </w:r>
    </w:p>
    <w:p>
      <w:pPr>
        <w:spacing w:line="480" w:lineRule="auto" w:after="120" w:before="0"/>
      </w:pPr>
      <w:r>
        <w:t>The second finding is that government agencies are indispensable but can become over dominant. Government provides land use rules, infrastructure, tourism licensing, safety regulation, destination marketing, training budgets and visitor management. Without government, community based tourism may struggle to reach markets or maintain standards. However, if government designs tourism from above, communities may become recipients of programmes rather than co authors. The technical solution is subsidiarity. Decisions about national branding, major infrastructure and regulatory standards may sit with government, while decisions about community experiences, cultural protocols, local visitor routes and benefit allocation should be made closer to the community level.</w:t>
      </w:r>
    </w:p>
    <w:p>
      <w:pPr>
        <w:spacing w:line="480" w:lineRule="auto" w:after="120" w:before="0"/>
      </w:pPr>
      <w:r>
        <w:t>The third finding is that NGOs and development organisations are most useful as intermediaries. They can translate between community priorities and tourism market requirements. For example, a rural homestay network may need training in hygiene, visitor safety, booking systems, pricing, storytelling and waste management. An NGO or specialist intermediary can provide that support without taking ownership away from the community. However, NGO involvement should also be accountable. Projects sometimes fail when facilitation ends and communities are left without marketing, maintenance finance or governance routines. Development cooperation should therefore include exit planning, local capacity transfer and long term revenue mechanisms.</w:t>
      </w:r>
    </w:p>
    <w:p>
      <w:pPr>
        <w:spacing w:line="480" w:lineRule="auto" w:after="120" w:before="0"/>
      </w:pPr>
      <w:r>
        <w:t>The fourth finding is that private tourism businesses are necessary but require negotiated obligations. Private firms bring demand access, professional standards, distribution channels and capital. They can connect community products to visitors at scale. However, they may also appropriate cultural value, control pricing or shift operational risk to communities. A community benefit agreement is therefore essential. It should define local hiring targets, supplier contracts, training contributions, cultural intellectual property rules, grievance procedures, environmental limits and revenue sharing. Such agreements convert community participation from informal expectation into enforceable cooperation.</w:t>
      </w:r>
    </w:p>
    <w:p>
      <w:pPr>
        <w:spacing w:line="480" w:lineRule="auto" w:after="120" w:before="0"/>
      </w:pPr>
      <w:r>
        <w:t>The fifth finding is that participatory planning improves social inclusion when it targets excluded groups directly. General community meetings often favour people with time, confidence, literacy, land ownership or political connections. Women, young people, informal workers, migrants and lower income households may remain silent or absent. Kerala's women friendly tourism initiatives and training oriented responsible tourism approach illustrate why targeted inclusion is needed. Nepal's homestay initiatives also show that women can become visible tourism entrepreneurs when the product design fits household capabilities and local cultural context. Participation should therefore use separate focus groups, gender audits, youth forums, accessible language and transparent selection criteria for training and enterprise support.</w:t>
      </w:r>
    </w:p>
    <w:p>
      <w:pPr>
        <w:spacing w:line="480" w:lineRule="auto" w:after="120" w:before="0"/>
      </w:pPr>
      <w:r>
        <w:t>The sixth finding is that cultural preservation requires local control over interpretation. Tourism can preserve culture by creating markets for crafts, food, performances, festivals and heritage walks. It can also distort culture by packaging it for visitor convenience or aesthetic consumption. Cultural preservation is strongest when communities decide what can be shared, what should remain private, how stories are narrated and how cultural income is distributed. A cultural protocol should identify sacred sites, restricted knowledge, photography rules, performer payment standards, language use and consent requirements. This is especially important in heritage destinations, Indigenous tourism and rural community tourism where everyday life itself becomes part of the visitor product.</w:t>
      </w:r>
    </w:p>
    <w:p>
      <w:pPr>
        <w:spacing w:line="480" w:lineRule="auto" w:after="120" w:before="0"/>
      </w:pPr>
      <w:r>
        <w:t>The seventh finding is that local ownership is broader than legal ownership. A community may not own a hotel but can own part of the tourism system through cooperatives, guide associations, homestay networks, craft collectives, community funds, cultural routes and participatory budgeting. Ownership also includes data ownership. Communities should have access to information about visitor numbers, revenue flows, complaints, environmental pressure and enterprise performance. Without data, residents cannot negotiate effectively with government or private firms. A tourism data dashboard should therefore include community readable indicators rather than only technical reports for investors.</w:t>
      </w:r>
    </w:p>
    <w:p>
      <w:pPr>
        <w:spacing w:line="480" w:lineRule="auto" w:after="120" w:before="0"/>
      </w:pPr>
      <w:r>
        <w:t>The eighth finding is that participation reduces project risk. Tourism projects that ignore residents face protests, reputational damage, service resistance, informal rule breaking and long term loss of authenticity. Participatory planning can identify practical problems earlier: water scarcity, traffic routes, sacred spaces, waste pressure, housing impact, labour availability and visitor behaviour. It also creates social licence. Social licence is not a legal permit. It is the ongoing acceptance of tourism activity by affected residents. This licence must be maintained through dialogue, visible benefits and grievance resolution.</w:t>
      </w:r>
    </w:p>
    <w:p>
      <w:pPr>
        <w:spacing w:line="480" w:lineRule="auto" w:after="120" w:before="0"/>
      </w:pPr>
      <w:r>
        <w:t>The ninth finding is that community based tourism must avoid romanticism. Not every community wants tourism. Not every household has the time, space or interest to host visitors. Not every cultural activity should be commercialised. Tourism may intensify unpaid care work for women, create conflict over income distribution or expose communities to seasonal demand instability. A critical participation model therefore includes the right not to participate. It should not pressure all residents into tourism, but should provide fair opportunities for those who choose to engage and protections for those affected by tourism without earning from it.</w:t>
      </w:r>
    </w:p>
    <w:p>
      <w:pPr>
        <w:spacing w:line="480" w:lineRule="auto" w:after="120" w:before="0"/>
      </w:pPr>
      <w:r>
        <w:rPr>
          <w:b/>
        </w:rPr>
        <w:t>Table 1. Stakeholder roles in community participation and development cooperation</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2340"/>
            <w:shd w:fill="D9EAF7"/>
            <w:vAlign w:val="center"/>
          </w:tcPr>
          <w:p>
            <w:pPr>
              <w:jc w:val="center"/>
            </w:pPr>
            <w:r>
              <w:rPr>
                <w:b/>
              </w:rPr>
              <w:t>Stakeholder</w:t>
            </w:r>
          </w:p>
        </w:tc>
        <w:tc>
          <w:tcPr>
            <w:tcW w:type="dxa" w:w="2340"/>
            <w:shd w:fill="D9EAF7"/>
            <w:vAlign w:val="center"/>
          </w:tcPr>
          <w:p>
            <w:pPr>
              <w:jc w:val="center"/>
            </w:pPr>
            <w:r>
              <w:rPr>
                <w:b/>
              </w:rPr>
              <w:t>Primary contribution</w:t>
            </w:r>
          </w:p>
        </w:tc>
        <w:tc>
          <w:tcPr>
            <w:tcW w:type="dxa" w:w="2340"/>
            <w:shd w:fill="D9EAF7"/>
            <w:vAlign w:val="center"/>
          </w:tcPr>
          <w:p>
            <w:pPr>
              <w:jc w:val="center"/>
            </w:pPr>
            <w:r>
              <w:rPr>
                <w:b/>
              </w:rPr>
              <w:t>Risk if unmanaged</w:t>
            </w:r>
          </w:p>
        </w:tc>
        <w:tc>
          <w:tcPr>
            <w:tcW w:type="dxa" w:w="2340"/>
            <w:shd w:fill="D9EAF7"/>
            <w:vAlign w:val="center"/>
          </w:tcPr>
          <w:p>
            <w:pPr>
              <w:jc w:val="center"/>
            </w:pPr>
            <w:r>
              <w:rPr>
                <w:b/>
              </w:rPr>
              <w:t>Governance control</w:t>
            </w:r>
          </w:p>
        </w:tc>
      </w:tr>
      <w:tr>
        <w:tc>
          <w:tcPr>
            <w:tcW w:type="dxa" w:w="2340"/>
            <w:vAlign w:val="top"/>
          </w:tcPr>
          <w:p>
            <w:pPr>
              <w:spacing w:line="276" w:lineRule="auto" w:after="40"/>
            </w:pPr>
            <w:r>
              <w:rPr>
                <w:rFonts w:ascii="Times New Roman" w:hAnsi="Times New Roman" w:eastAsia="Times New Roman"/>
                <w:sz w:val="20"/>
              </w:rPr>
              <w:t>Local communities</w:t>
            </w:r>
          </w:p>
        </w:tc>
        <w:tc>
          <w:tcPr>
            <w:tcW w:type="dxa" w:w="2340"/>
            <w:vAlign w:val="top"/>
          </w:tcPr>
          <w:p>
            <w:pPr>
              <w:spacing w:line="276" w:lineRule="auto" w:after="40"/>
            </w:pPr>
            <w:r>
              <w:rPr>
                <w:rFonts w:ascii="Times New Roman" w:hAnsi="Times New Roman" w:eastAsia="Times New Roman"/>
                <w:sz w:val="20"/>
              </w:rPr>
              <w:t>Place knowledge, culture, labour, resident legitimacy, stewardship of local resources.</w:t>
            </w:r>
          </w:p>
        </w:tc>
        <w:tc>
          <w:tcPr>
            <w:tcW w:type="dxa" w:w="2340"/>
            <w:vAlign w:val="top"/>
          </w:tcPr>
          <w:p>
            <w:pPr>
              <w:spacing w:line="276" w:lineRule="auto" w:after="40"/>
            </w:pPr>
            <w:r>
              <w:rPr>
                <w:rFonts w:ascii="Times New Roman" w:hAnsi="Times New Roman" w:eastAsia="Times New Roman"/>
                <w:sz w:val="20"/>
              </w:rPr>
              <w:t>Elite capture, unpaid labour, internal exclusion or conflict over benefit distribution.</w:t>
            </w:r>
          </w:p>
        </w:tc>
        <w:tc>
          <w:tcPr>
            <w:tcW w:type="dxa" w:w="2340"/>
            <w:vAlign w:val="top"/>
          </w:tcPr>
          <w:p>
            <w:pPr>
              <w:spacing w:line="276" w:lineRule="auto" w:after="40"/>
            </w:pPr>
            <w:r>
              <w:rPr>
                <w:rFonts w:ascii="Times New Roman" w:hAnsi="Times New Roman" w:eastAsia="Times New Roman"/>
                <w:sz w:val="20"/>
              </w:rPr>
              <w:t>Inclusive committees, public benefit rules, grievance process and cultural protocols.</w:t>
            </w:r>
          </w:p>
        </w:tc>
      </w:tr>
      <w:tr>
        <w:tc>
          <w:tcPr>
            <w:tcW w:type="dxa" w:w="2340"/>
            <w:vAlign w:val="top"/>
          </w:tcPr>
          <w:p>
            <w:pPr>
              <w:spacing w:line="276" w:lineRule="auto" w:after="40"/>
            </w:pPr>
            <w:r>
              <w:rPr>
                <w:rFonts w:ascii="Times New Roman" w:hAnsi="Times New Roman" w:eastAsia="Times New Roman"/>
                <w:sz w:val="20"/>
              </w:rPr>
              <w:t>Government agencies</w:t>
            </w:r>
          </w:p>
        </w:tc>
        <w:tc>
          <w:tcPr>
            <w:tcW w:type="dxa" w:w="2340"/>
            <w:vAlign w:val="top"/>
          </w:tcPr>
          <w:p>
            <w:pPr>
              <w:spacing w:line="276" w:lineRule="auto" w:after="40"/>
            </w:pPr>
            <w:r>
              <w:rPr>
                <w:rFonts w:ascii="Times New Roman" w:hAnsi="Times New Roman" w:eastAsia="Times New Roman"/>
                <w:sz w:val="20"/>
              </w:rPr>
              <w:t>Infrastructure, regulation, licensing, public finance, data and policy coordination.</w:t>
            </w:r>
          </w:p>
        </w:tc>
        <w:tc>
          <w:tcPr>
            <w:tcW w:type="dxa" w:w="2340"/>
            <w:vAlign w:val="top"/>
          </w:tcPr>
          <w:p>
            <w:pPr>
              <w:spacing w:line="276" w:lineRule="auto" w:after="40"/>
            </w:pPr>
            <w:r>
              <w:rPr>
                <w:rFonts w:ascii="Times New Roman" w:hAnsi="Times New Roman" w:eastAsia="Times New Roman"/>
                <w:sz w:val="20"/>
              </w:rPr>
              <w:t>Top down planning and political use of tourism projects.</w:t>
            </w:r>
          </w:p>
        </w:tc>
        <w:tc>
          <w:tcPr>
            <w:tcW w:type="dxa" w:w="2340"/>
            <w:vAlign w:val="top"/>
          </w:tcPr>
          <w:p>
            <w:pPr>
              <w:spacing w:line="276" w:lineRule="auto" w:after="40"/>
            </w:pPr>
            <w:r>
              <w:rPr>
                <w:rFonts w:ascii="Times New Roman" w:hAnsi="Times New Roman" w:eastAsia="Times New Roman"/>
                <w:sz w:val="20"/>
              </w:rPr>
              <w:t>Subsidiarity, transparent budgets and resident approval points.</w:t>
            </w:r>
          </w:p>
        </w:tc>
      </w:tr>
      <w:tr>
        <w:tc>
          <w:tcPr>
            <w:tcW w:type="dxa" w:w="2340"/>
            <w:vAlign w:val="top"/>
          </w:tcPr>
          <w:p>
            <w:pPr>
              <w:spacing w:line="276" w:lineRule="auto" w:after="40"/>
            </w:pPr>
            <w:r>
              <w:rPr>
                <w:rFonts w:ascii="Times New Roman" w:hAnsi="Times New Roman" w:eastAsia="Times New Roman"/>
                <w:sz w:val="20"/>
              </w:rPr>
              <w:t>NGOs and facilitators</w:t>
            </w:r>
          </w:p>
        </w:tc>
        <w:tc>
          <w:tcPr>
            <w:tcW w:type="dxa" w:w="2340"/>
            <w:vAlign w:val="top"/>
          </w:tcPr>
          <w:p>
            <w:pPr>
              <w:spacing w:line="276" w:lineRule="auto" w:after="40"/>
            </w:pPr>
            <w:r>
              <w:rPr>
                <w:rFonts w:ascii="Times New Roman" w:hAnsi="Times New Roman" w:eastAsia="Times New Roman"/>
                <w:sz w:val="20"/>
              </w:rPr>
              <w:t>Training, social inclusion, rights based facilitation and capacity building.</w:t>
            </w:r>
          </w:p>
        </w:tc>
        <w:tc>
          <w:tcPr>
            <w:tcW w:type="dxa" w:w="2340"/>
            <w:vAlign w:val="top"/>
          </w:tcPr>
          <w:p>
            <w:pPr>
              <w:spacing w:line="276" w:lineRule="auto" w:after="40"/>
            </w:pPr>
            <w:r>
              <w:rPr>
                <w:rFonts w:ascii="Times New Roman" w:hAnsi="Times New Roman" w:eastAsia="Times New Roman"/>
                <w:sz w:val="20"/>
              </w:rPr>
              <w:t>Project dependency and weak sustainability after funding ends.</w:t>
            </w:r>
          </w:p>
        </w:tc>
        <w:tc>
          <w:tcPr>
            <w:tcW w:type="dxa" w:w="2340"/>
            <w:vAlign w:val="top"/>
          </w:tcPr>
          <w:p>
            <w:pPr>
              <w:spacing w:line="276" w:lineRule="auto" w:after="40"/>
            </w:pPr>
            <w:r>
              <w:rPr>
                <w:rFonts w:ascii="Times New Roman" w:hAnsi="Times New Roman" w:eastAsia="Times New Roman"/>
                <w:sz w:val="20"/>
              </w:rPr>
              <w:t>Exit plan, local trainer development and performance review.</w:t>
            </w:r>
          </w:p>
        </w:tc>
      </w:tr>
      <w:tr>
        <w:tc>
          <w:tcPr>
            <w:tcW w:type="dxa" w:w="2340"/>
            <w:vAlign w:val="top"/>
          </w:tcPr>
          <w:p>
            <w:pPr>
              <w:spacing w:line="276" w:lineRule="auto" w:after="40"/>
            </w:pPr>
            <w:r>
              <w:rPr>
                <w:rFonts w:ascii="Times New Roman" w:hAnsi="Times New Roman" w:eastAsia="Times New Roman"/>
                <w:sz w:val="20"/>
              </w:rPr>
              <w:t>Private businesses</w:t>
            </w:r>
          </w:p>
        </w:tc>
        <w:tc>
          <w:tcPr>
            <w:tcW w:type="dxa" w:w="2340"/>
            <w:vAlign w:val="top"/>
          </w:tcPr>
          <w:p>
            <w:pPr>
              <w:spacing w:line="276" w:lineRule="auto" w:after="40"/>
            </w:pPr>
            <w:r>
              <w:rPr>
                <w:rFonts w:ascii="Times New Roman" w:hAnsi="Times New Roman" w:eastAsia="Times New Roman"/>
                <w:sz w:val="20"/>
              </w:rPr>
              <w:t>Market access, investment, quality standards, bookings and distribution.</w:t>
            </w:r>
          </w:p>
        </w:tc>
        <w:tc>
          <w:tcPr>
            <w:tcW w:type="dxa" w:w="2340"/>
            <w:vAlign w:val="top"/>
          </w:tcPr>
          <w:p>
            <w:pPr>
              <w:spacing w:line="276" w:lineRule="auto" w:after="40"/>
            </w:pPr>
            <w:r>
              <w:rPr>
                <w:rFonts w:ascii="Times New Roman" w:hAnsi="Times New Roman" w:eastAsia="Times New Roman"/>
                <w:sz w:val="20"/>
              </w:rPr>
              <w:t>Value extraction, cultural appropriation and weak local procurement.</w:t>
            </w:r>
          </w:p>
        </w:tc>
        <w:tc>
          <w:tcPr>
            <w:tcW w:type="dxa" w:w="2340"/>
            <w:vAlign w:val="top"/>
          </w:tcPr>
          <w:p>
            <w:pPr>
              <w:spacing w:line="276" w:lineRule="auto" w:after="40"/>
            </w:pPr>
            <w:r>
              <w:rPr>
                <w:rFonts w:ascii="Times New Roman" w:hAnsi="Times New Roman" w:eastAsia="Times New Roman"/>
                <w:sz w:val="20"/>
              </w:rPr>
              <w:t>Community benefit agreements and monitored procurement targets.</w:t>
            </w:r>
          </w:p>
        </w:tc>
      </w:tr>
    </w:tbl>
    <w:p/>
    <w:p>
      <w:pPr>
        <w:pStyle w:val="Heading1"/>
        <w:spacing w:before="240" w:after="120"/>
      </w:pPr>
      <w:r>
        <w:t>5. Proposed Cooperation Framework</w:t>
      </w:r>
    </w:p>
    <w:p>
      <w:pPr>
        <w:spacing w:line="480" w:lineRule="auto" w:after="120" w:before="0"/>
      </w:pPr>
      <w:r>
        <w:t>The proposed Community Participation and Development Cooperation Framework has 6 sequential mechanisms. The first is stakeholder and power mapping. This identifies resident groups, land users, cultural custodians, workers, entrepreneurs, local government, NGOs, destination bodies, investors and platforms. It should also identify who is usually excluded. Mapping should precede project design, not follow it. The output should be a public participation register that shows which groups must be involved in each decision.</w:t>
      </w:r>
    </w:p>
    <w:p>
      <w:pPr>
        <w:spacing w:line="480" w:lineRule="auto" w:after="120" w:before="0"/>
      </w:pPr>
      <w:r>
        <w:t>The second mechanism is free and informed planning. Communities should receive accessible information on expected visitor volumes, land use changes, employment projections, environmental pressure, investment terms and possible risks. Technical documents should be translated into community language and visual formats. Planning meetings should include alternatives, not a single pre selected project. This prevents consultation from becoming a performance where residents are asked to approve decisions already made.</w:t>
      </w:r>
    </w:p>
    <w:p>
      <w:pPr>
        <w:spacing w:line="480" w:lineRule="auto" w:after="120" w:before="0"/>
      </w:pPr>
      <w:r>
        <w:t>The third mechanism is a community benefit agreement. This is the core governance instrument. It should specify local hiring rates, training budgets, procurement commitments, community fund contributions, cultural protocol compliance, waste and water responsibilities, grievance procedures and review dates. The agreement should apply to major tourism investors and publicly supported tourism projects. Smaller community projects may use simpler memoranda, but the principle remains the same: benefits and obligations should be written, measurable and reviewable.</w:t>
      </w:r>
    </w:p>
    <w:p>
      <w:pPr>
        <w:spacing w:line="480" w:lineRule="auto" w:after="120" w:before="0"/>
      </w:pPr>
      <w:r>
        <w:t>The fourth mechanism is local enterprise incubation. Community participation is weak if residents can only attend meetings but cannot compete in the tourism economy. Incubation should include product design, pricing, bookkeeping, digital marketing, quality standards, hygiene, insurance, visitor safety and cooperative governance. It should also link enterprises to buyers. Training without market access is insufficient. Market access without training creates quality failure. Both must be combined.</w:t>
      </w:r>
    </w:p>
    <w:p>
      <w:pPr>
        <w:spacing w:line="480" w:lineRule="auto" w:after="120" w:before="0"/>
      </w:pPr>
      <w:r>
        <w:t>The fifth mechanism is cultural resource governance. The community should define cultural assets, sensitive practices, interpretation rules, photography permissions and payment standards. This prevents cultural extraction and gives residents control over identity representation. It also improves visitor quality because authentic interpretation is usually stronger when communities guide the narrative. Cultural governance should be updated regularly because community attitudes may change as tourism grows.</w:t>
      </w:r>
    </w:p>
    <w:p>
      <w:pPr>
        <w:spacing w:line="480" w:lineRule="auto" w:after="120" w:before="0"/>
      </w:pPr>
      <w:r>
        <w:t>The sixth mechanism is participatory monitoring. Residents should help monitor impacts and should see the results. Indicators should include resident satisfaction, local income, gender inclusion, cultural complaints, waste pressure, water use, housing pressure, crowding, employment quality and benefit distribution. A simple public dashboard can be more useful than a long technical report. If indicators deteriorate, the destination should adjust visitor flows, licensing, transport, marketing or investment rules.</w:t>
      </w:r>
    </w:p>
    <w:p>
      <w:pPr>
        <w:spacing w:line="480" w:lineRule="auto" w:after="120" w:before="0"/>
      </w:pPr>
      <w:r>
        <w:rPr>
          <w:b/>
        </w:rPr>
        <w:t>Table 2. Participation audit questions</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3120"/>
            <w:shd w:fill="D9EAF7"/>
            <w:vAlign w:val="center"/>
          </w:tcPr>
          <w:p>
            <w:pPr>
              <w:jc w:val="center"/>
            </w:pPr>
            <w:r>
              <w:rPr>
                <w:b/>
              </w:rPr>
              <w:t>Dimension</w:t>
            </w:r>
          </w:p>
        </w:tc>
        <w:tc>
          <w:tcPr>
            <w:tcW w:type="dxa" w:w="3120"/>
            <w:shd w:fill="D9EAF7"/>
            <w:vAlign w:val="center"/>
          </w:tcPr>
          <w:p>
            <w:pPr>
              <w:jc w:val="center"/>
            </w:pPr>
            <w:r>
              <w:rPr>
                <w:b/>
              </w:rPr>
              <w:t>Audit question</w:t>
            </w:r>
          </w:p>
        </w:tc>
        <w:tc>
          <w:tcPr>
            <w:tcW w:type="dxa" w:w="3120"/>
            <w:shd w:fill="D9EAF7"/>
            <w:vAlign w:val="center"/>
          </w:tcPr>
          <w:p>
            <w:pPr>
              <w:jc w:val="center"/>
            </w:pPr>
            <w:r>
              <w:rPr>
                <w:b/>
              </w:rPr>
              <w:t>Evidence required</w:t>
            </w:r>
          </w:p>
        </w:tc>
      </w:tr>
      <w:tr>
        <w:tc>
          <w:tcPr>
            <w:tcW w:type="dxa" w:w="3120"/>
            <w:vAlign w:val="top"/>
          </w:tcPr>
          <w:p>
            <w:pPr>
              <w:spacing w:line="276" w:lineRule="auto" w:after="40"/>
            </w:pPr>
            <w:r>
              <w:rPr>
                <w:rFonts w:ascii="Times New Roman" w:hAnsi="Times New Roman" w:eastAsia="Times New Roman"/>
                <w:sz w:val="20"/>
              </w:rPr>
              <w:t>Procedural inclusion</w:t>
            </w:r>
          </w:p>
        </w:tc>
        <w:tc>
          <w:tcPr>
            <w:tcW w:type="dxa" w:w="3120"/>
            <w:vAlign w:val="top"/>
          </w:tcPr>
          <w:p>
            <w:pPr>
              <w:spacing w:line="276" w:lineRule="auto" w:after="40"/>
            </w:pPr>
            <w:r>
              <w:rPr>
                <w:rFonts w:ascii="Times New Roman" w:hAnsi="Times New Roman" w:eastAsia="Times New Roman"/>
                <w:sz w:val="20"/>
              </w:rPr>
              <w:t>Were affected resident groups involved before the project model was fixed?</w:t>
            </w:r>
          </w:p>
        </w:tc>
        <w:tc>
          <w:tcPr>
            <w:tcW w:type="dxa" w:w="3120"/>
            <w:vAlign w:val="top"/>
          </w:tcPr>
          <w:p>
            <w:pPr>
              <w:spacing w:line="276" w:lineRule="auto" w:after="40"/>
            </w:pPr>
            <w:r>
              <w:rPr>
                <w:rFonts w:ascii="Times New Roman" w:hAnsi="Times New Roman" w:eastAsia="Times New Roman"/>
                <w:sz w:val="20"/>
              </w:rPr>
              <w:t>Meeting records, alternative options, attendance by gender, youth and affected groups.</w:t>
            </w:r>
          </w:p>
        </w:tc>
      </w:tr>
      <w:tr>
        <w:tc>
          <w:tcPr>
            <w:tcW w:type="dxa" w:w="3120"/>
            <w:vAlign w:val="top"/>
          </w:tcPr>
          <w:p>
            <w:pPr>
              <w:spacing w:line="276" w:lineRule="auto" w:after="40"/>
            </w:pPr>
            <w:r>
              <w:rPr>
                <w:rFonts w:ascii="Times New Roman" w:hAnsi="Times New Roman" w:eastAsia="Times New Roman"/>
                <w:sz w:val="20"/>
              </w:rPr>
              <w:t>Substantive influence</w:t>
            </w:r>
          </w:p>
        </w:tc>
        <w:tc>
          <w:tcPr>
            <w:tcW w:type="dxa" w:w="3120"/>
            <w:vAlign w:val="top"/>
          </w:tcPr>
          <w:p>
            <w:pPr>
              <w:spacing w:line="276" w:lineRule="auto" w:after="40"/>
            </w:pPr>
            <w:r>
              <w:rPr>
                <w:rFonts w:ascii="Times New Roman" w:hAnsi="Times New Roman" w:eastAsia="Times New Roman"/>
                <w:sz w:val="20"/>
              </w:rPr>
              <w:t>Did community input change design, budget, routes, visitor limits or benefit distribution?</w:t>
            </w:r>
          </w:p>
        </w:tc>
        <w:tc>
          <w:tcPr>
            <w:tcW w:type="dxa" w:w="3120"/>
            <w:vAlign w:val="top"/>
          </w:tcPr>
          <w:p>
            <w:pPr>
              <w:spacing w:line="276" w:lineRule="auto" w:after="40"/>
            </w:pPr>
            <w:r>
              <w:rPr>
                <w:rFonts w:ascii="Times New Roman" w:hAnsi="Times New Roman" w:eastAsia="Times New Roman"/>
                <w:sz w:val="20"/>
              </w:rPr>
              <w:t>Decision log showing accepted, rejected and revised proposals.</w:t>
            </w:r>
          </w:p>
        </w:tc>
      </w:tr>
      <w:tr>
        <w:tc>
          <w:tcPr>
            <w:tcW w:type="dxa" w:w="3120"/>
            <w:vAlign w:val="top"/>
          </w:tcPr>
          <w:p>
            <w:pPr>
              <w:spacing w:line="276" w:lineRule="auto" w:after="40"/>
            </w:pPr>
            <w:r>
              <w:rPr>
                <w:rFonts w:ascii="Times New Roman" w:hAnsi="Times New Roman" w:eastAsia="Times New Roman"/>
                <w:sz w:val="20"/>
              </w:rPr>
              <w:t>Economic inclusion</w:t>
            </w:r>
          </w:p>
        </w:tc>
        <w:tc>
          <w:tcPr>
            <w:tcW w:type="dxa" w:w="3120"/>
            <w:vAlign w:val="top"/>
          </w:tcPr>
          <w:p>
            <w:pPr>
              <w:spacing w:line="276" w:lineRule="auto" w:after="40"/>
            </w:pPr>
            <w:r>
              <w:rPr>
                <w:rFonts w:ascii="Times New Roman" w:hAnsi="Times New Roman" w:eastAsia="Times New Roman"/>
                <w:sz w:val="20"/>
              </w:rPr>
              <w:t>Do residents own enterprises or receive stable contracts rather than only informal income?</w:t>
            </w:r>
          </w:p>
        </w:tc>
        <w:tc>
          <w:tcPr>
            <w:tcW w:type="dxa" w:w="3120"/>
            <w:vAlign w:val="top"/>
          </w:tcPr>
          <w:p>
            <w:pPr>
              <w:spacing w:line="276" w:lineRule="auto" w:after="40"/>
            </w:pPr>
            <w:r>
              <w:rPr>
                <w:rFonts w:ascii="Times New Roman" w:hAnsi="Times New Roman" w:eastAsia="Times New Roman"/>
                <w:sz w:val="20"/>
              </w:rPr>
              <w:t>Contracts, cooperative records, supplier data and training completion.</w:t>
            </w:r>
          </w:p>
        </w:tc>
      </w:tr>
      <w:tr>
        <w:tc>
          <w:tcPr>
            <w:tcW w:type="dxa" w:w="3120"/>
            <w:vAlign w:val="top"/>
          </w:tcPr>
          <w:p>
            <w:pPr>
              <w:spacing w:line="276" w:lineRule="auto" w:after="40"/>
            </w:pPr>
            <w:r>
              <w:rPr>
                <w:rFonts w:ascii="Times New Roman" w:hAnsi="Times New Roman" w:eastAsia="Times New Roman"/>
                <w:sz w:val="20"/>
              </w:rPr>
              <w:t>Cultural control</w:t>
            </w:r>
          </w:p>
        </w:tc>
        <w:tc>
          <w:tcPr>
            <w:tcW w:type="dxa" w:w="3120"/>
            <w:vAlign w:val="top"/>
          </w:tcPr>
          <w:p>
            <w:pPr>
              <w:spacing w:line="276" w:lineRule="auto" w:after="40"/>
            </w:pPr>
            <w:r>
              <w:rPr>
                <w:rFonts w:ascii="Times New Roman" w:hAnsi="Times New Roman" w:eastAsia="Times New Roman"/>
                <w:sz w:val="20"/>
              </w:rPr>
              <w:t>Can cultural custodians decide what is shared and how it is interpreted?</w:t>
            </w:r>
          </w:p>
        </w:tc>
        <w:tc>
          <w:tcPr>
            <w:tcW w:type="dxa" w:w="3120"/>
            <w:vAlign w:val="top"/>
          </w:tcPr>
          <w:p>
            <w:pPr>
              <w:spacing w:line="276" w:lineRule="auto" w:after="40"/>
            </w:pPr>
            <w:r>
              <w:rPr>
                <w:rFonts w:ascii="Times New Roman" w:hAnsi="Times New Roman" w:eastAsia="Times New Roman"/>
                <w:sz w:val="20"/>
              </w:rPr>
              <w:t>Cultural protocol, photography rules, performer payment standards.</w:t>
            </w:r>
          </w:p>
        </w:tc>
      </w:tr>
      <w:tr>
        <w:tc>
          <w:tcPr>
            <w:tcW w:type="dxa" w:w="3120"/>
            <w:vAlign w:val="top"/>
          </w:tcPr>
          <w:p>
            <w:pPr>
              <w:spacing w:line="276" w:lineRule="auto" w:after="40"/>
            </w:pPr>
            <w:r>
              <w:rPr>
                <w:rFonts w:ascii="Times New Roman" w:hAnsi="Times New Roman" w:eastAsia="Times New Roman"/>
                <w:sz w:val="20"/>
              </w:rPr>
              <w:t>Monitoring power</w:t>
            </w:r>
          </w:p>
        </w:tc>
        <w:tc>
          <w:tcPr>
            <w:tcW w:type="dxa" w:w="3120"/>
            <w:vAlign w:val="top"/>
          </w:tcPr>
          <w:p>
            <w:pPr>
              <w:spacing w:line="276" w:lineRule="auto" w:after="40"/>
            </w:pPr>
            <w:r>
              <w:rPr>
                <w:rFonts w:ascii="Times New Roman" w:hAnsi="Times New Roman" w:eastAsia="Times New Roman"/>
                <w:sz w:val="20"/>
              </w:rPr>
              <w:t>Can residents trigger management changes when impacts become harmful?</w:t>
            </w:r>
          </w:p>
        </w:tc>
        <w:tc>
          <w:tcPr>
            <w:tcW w:type="dxa" w:w="3120"/>
            <w:vAlign w:val="top"/>
          </w:tcPr>
          <w:p>
            <w:pPr>
              <w:spacing w:line="276" w:lineRule="auto" w:after="40"/>
            </w:pPr>
            <w:r>
              <w:rPr>
                <w:rFonts w:ascii="Times New Roman" w:hAnsi="Times New Roman" w:eastAsia="Times New Roman"/>
                <w:sz w:val="20"/>
              </w:rPr>
              <w:t>Dashboard, complaints register, response time and corrective action records.</w:t>
            </w:r>
          </w:p>
        </w:tc>
      </w:tr>
    </w:tbl>
    <w:p/>
    <w:p>
      <w:pPr>
        <w:pStyle w:val="Heading1"/>
        <w:spacing w:before="240" w:after="120"/>
      </w:pPr>
      <w:r>
        <w:t>6. Discussion</w:t>
      </w:r>
    </w:p>
    <w:p>
      <w:pPr>
        <w:spacing w:line="480" w:lineRule="auto" w:after="120" w:before="0"/>
      </w:pPr>
      <w:r>
        <w:t>The framework shows that community participation is a continuous cycle rather than a one time project stage. Participation begins before tourism investment, continues through implementation and remains necessary during monitoring. This is because tourism impacts are dynamic. A destination may begin with manageable visitor numbers but later face congestion, price inflation or cultural fatigue. If participation is institutionalised, residents can influence adaptation. If it is project based, communities are left reacting to impacts after power has shifted to investors and platforms.</w:t>
      </w:r>
    </w:p>
    <w:p>
      <w:pPr>
        <w:spacing w:line="480" w:lineRule="auto" w:after="120" w:before="0"/>
      </w:pPr>
      <w:r>
        <w:t>The framework also clarifies the roles of each stakeholder. Local communities should define priorities, cultural protocols and acceptable limits. Government should create legal authority, finance public goods and regulate externalities. NGOs should facilitate capability building and protect vulnerable groups. Private businesses should provide market access while accepting local obligations. Destination management organisations should coordinate data, branding, standards and feedback loops. This division of labour avoids the false choice between community control and professional tourism management. Effective tourism cooperation needs both.</w:t>
      </w:r>
    </w:p>
    <w:p>
      <w:pPr>
        <w:spacing w:line="480" w:lineRule="auto" w:after="120" w:before="0"/>
      </w:pPr>
      <w:r>
        <w:t>A major risk is elite capture. Community participation can be manipulated by local leaders, landowners or politically connected groups. To reduce this risk, participation processes should publish selection criteria, rotate committee membership, include women and youth quotas where appropriate, and separate cultural authority from financial control. Grievance systems should allow residents to report exclusion without fear. Benefit distribution should be audited. These safeguards may seem bureaucratic, but they are necessary because tourism can create valuable rents.</w:t>
      </w:r>
    </w:p>
    <w:p>
      <w:pPr>
        <w:spacing w:line="480" w:lineRule="auto" w:after="120" w:before="0"/>
      </w:pPr>
      <w:r>
        <w:t>Another risk is market fragility. Community tourism products may be attractive but commercially vulnerable. Demand can be seasonal, sensitive to reviews and dependent on intermediaries. Therefore, community ownership must be accompanied by professional market intelligence. Communities need to know which visitor segments they can serve, what standards are required, how prices are set and how to handle cancellations. This does not mean converting community tourism into mass tourism. It means protecting communities from avoidable business failure.</w:t>
      </w:r>
    </w:p>
    <w:p>
      <w:pPr>
        <w:spacing w:line="480" w:lineRule="auto" w:after="120" w:before="0"/>
      </w:pPr>
      <w:r>
        <w:t>The framework also improves sustainability. Communities often detect environmental and cultural stress earlier than external managers because they live with the impacts. Residents know when water sources are strained, footpaths are degraded, ceremonies are disrupted or traffic affects daily life. Participatory monitoring converts this knowledge into management action. It also creates accountability because decision makers cannot ignore impacts that are publicly documented.</w:t>
      </w:r>
    </w:p>
    <w:p>
      <w:pPr>
        <w:spacing w:line="480" w:lineRule="auto" w:after="120" w:before="0"/>
      </w:pPr>
      <w:r>
        <w:t>For local ownership, the most important recommendation is to create community controlled assets. These may include homestay cooperatives, guiding associations, cultural centres, community markets, visitor codes, local product brands and community funds. Ownership of these assets gives residents bargaining power. It also creates a visible connection between tourism and local development. When residents see tourism revenue funding training, waste systems, cultural restoration or youth enterprise, social licence is more likely to survive.</w:t>
      </w:r>
    </w:p>
    <w:p>
      <w:pPr>
        <w:spacing w:line="480" w:lineRule="auto" w:after="120" w:before="0"/>
      </w:pPr>
      <w:r>
        <w:t>Overall, community participation should be judged by influence, not attendance. A destination should ask: Did residents change the plan? Did they receive income? Did vulnerable groups gain access? Did cultural custodians control interpretation? Did grievances produce action? Did monitoring data alter management? These questions are stricter than generic consultation, but they are necessary if tourism is to support development cooperation rather than extract value from place.</w:t>
      </w:r>
    </w:p>
    <w:p>
      <w:pPr>
        <w:pStyle w:val="Heading1"/>
        <w:spacing w:before="240" w:after="120"/>
      </w:pPr>
      <w:r>
        <w:t>6. Operational Safeguards for Meaningful Participation</w:t>
      </w:r>
    </w:p>
    <w:p>
      <w:pPr>
        <w:spacing w:line="480" w:lineRule="auto" w:after="120" w:before="0"/>
      </w:pPr>
      <w:r>
        <w:t>A community participation system needs operational safeguards because participation can be captured, diluted or exhausted. The first safeguard is representation design. The destination should not assume that a single village leader, business association or elected official can speak for all residents. Representation should include women, youth, informal workers, cultural custodians, residents living near pressure points, small business owners and households not directly earning from tourism. The last group is important because they may bear crowding, noise or housing pressure without receiving income. A participation process that only includes tourism beneficiaries will underestimate social costs.</w:t>
      </w:r>
    </w:p>
    <w:p>
      <w:pPr>
        <w:spacing w:line="480" w:lineRule="auto" w:after="120" w:before="0"/>
      </w:pPr>
      <w:r>
        <w:t>The second safeguard is decision sequencing. Participation must begin before feasibility studies are finalised. If communities are consulted only after investors, planners and designers have selected the site, route, accommodation model and visitor segment, participation is reduced to acceptance or complaint. Early participation should define no go areas, sensitive cultural practices, local employment priorities, acceptable visitor behaviour and preferred forms of enterprise. This sequencing also improves technical planning because local knowledge can identify water constraints, land disputes, seasonal access problems and cultural risks that outside consultants may miss.</w:t>
      </w:r>
    </w:p>
    <w:p>
      <w:pPr>
        <w:spacing w:line="480" w:lineRule="auto" w:after="120" w:before="0"/>
      </w:pPr>
      <w:r>
        <w:t>The third safeguard is benefit transparency. Every community tourism project should show the expected revenue channels and distribution rules. These include wages, supplier payments, guide fees, homestay income, community fund contributions, cultural performance payments, licence fees and public reinvestment. Transparency reduces conflict because residents can see how money flows. It also exposes weak models where most value is captured by booking intermediaries or external operators. Benefit transparency should be presented in simple tables that residents can understand, not only in consultant reports.</w:t>
      </w:r>
    </w:p>
    <w:p>
      <w:pPr>
        <w:spacing w:line="480" w:lineRule="auto" w:after="120" w:before="0"/>
      </w:pPr>
      <w:r>
        <w:t>The fourth safeguard is a grievance and remedy system. Residents need a practical route to complain about visitor behaviour, broken promises, exclusion from training, unfair supplier selection, cultural misuse, traffic or environmental damage. The system should define response time, responsible institution and escalation route. Complaints should be logged and reported in aggregate. This makes participation continuous because residents do not need to wait for the next planning cycle to raise problems. A grievance system also protects private firms by resolving issues before they become protests or reputational crises.</w:t>
      </w:r>
    </w:p>
    <w:p>
      <w:pPr>
        <w:spacing w:line="480" w:lineRule="auto" w:after="120" w:before="0"/>
      </w:pPr>
      <w:r>
        <w:t>The fifth safeguard is cultural intellectual property protection. Tourism commonly converts stories, symbols, music, dance, architecture, food and dress into commercial content. Communities should control how these assets are used. Contracts should state whether photographs can be used for marketing, whether sacred knowledge is excluded, how performers are paid, who can guide particular cultural sites and how misrepresentation is corrected. These protocols are not obstacles to tourism. They are conditions for respectful and durable tourism.</w:t>
      </w:r>
    </w:p>
    <w:p>
      <w:pPr>
        <w:spacing w:line="480" w:lineRule="auto" w:after="120" w:before="0"/>
      </w:pPr>
      <w:r>
        <w:t>The sixth safeguard is workload recognition. Community tourism often depends on household hospitality and women's labour. If policy celebrates participation while ignoring unpaid cooking, cleaning, emotional labour and care work, it can reinforce gender inequality. Training and payment systems should account for the full labour process. Homestay pricing should include preparation time, maintenance, utilities, food costs and opportunity costs. Women friendly tourism initiatives should also address safety, mobility, digital access, finance and decision making authority, not only participation numbers.</w:t>
      </w:r>
    </w:p>
    <w:p>
      <w:pPr>
        <w:spacing w:line="480" w:lineRule="auto" w:after="120" w:before="0"/>
      </w:pPr>
      <w:r>
        <w:t>The seventh safeguard is data reciprocity. Destination managers and private platforms collect booking, visitor, price and review data. Communities often provide the experience but do not receive the data needed to improve products or negotiate terms. A cooperation framework should require periodic sharing of anonymised visitor feedback, revenue trends, cancellation rates and demand forecasts with community enterprises. Data reciprocity turns community participation into a learning system. It also prevents asymmetry where platforms and operators know the market better than the community producers who create the tourism value.</w:t>
      </w:r>
    </w:p>
    <w:p>
      <w:pPr>
        <w:spacing w:line="480" w:lineRule="auto" w:after="120" w:before="0"/>
      </w:pPr>
      <w:r>
        <w:t>The eighth safeguard is exit and resilience planning. Community tourism projects should not leave households exposed to debt if demand falls. Before promoting investment in rooms, vehicles, restaurants or craft inventory, facilitators should assess demand volatility and alternative uses of assets. Homestay rooms can serve domestic visitors, student groups or local events. Food enterprises can supply schools or local markets. Guiding skills can support conservation education. This resilience logic prevents tourism from becoming a single point of failure in the local economy.</w:t>
      </w:r>
    </w:p>
    <w:p>
      <w:pPr>
        <w:pStyle w:val="Heading1"/>
        <w:spacing w:before="240" w:after="120"/>
      </w:pPr>
      <w:r>
        <w:t>6.1 Critical Evaluation of Cooperation Risks</w:t>
      </w:r>
    </w:p>
    <w:p>
      <w:pPr>
        <w:spacing w:line="480" w:lineRule="auto" w:after="120" w:before="0"/>
      </w:pPr>
      <w:r>
        <w:t>The cooperation model also needs a realistic view of institutional risk. Public agencies may prefer visible infrastructure because it is easier to announce than long term capacity building. Private firms may accept community language in policy documents while resisting procurement obligations that affect margins. NGOs may design excellent training but underestimate the difficulty of maintaining demand after project funding ends. Communities may also contain internal inequalities that affect who receives licences, training and visitor access. These risks mean that development cooperation should be tested through evidence of changed resource allocation. A destination should ask whether budgets, contracts, licences, data access and marketing channels changed after participation. If they did not change, the process was probably consultative rather than cooperative.</w:t>
      </w:r>
    </w:p>
    <w:p>
      <w:pPr>
        <w:spacing w:line="480" w:lineRule="auto" w:after="120" w:before="0"/>
      </w:pPr>
      <w:r>
        <w:t>Another critical issue is scale. Community tourism can protect identity precisely because it is small, but local development objectives often require income at a meaningful scale. The solution is not to force mass tourism into communities. The better solution is a portfolio model. Some products can remain small and high value, such as guided cultural walks or homestays. Others can connect to larger supply chains, such as local food, craft retail, laundry, transport and event services. This allows communities to benefit from tourism growth without turning every household or cultural practice into a visitor product. Scale should therefore be achieved through diversified linkages, not by overexposing sensitive cultural spaces.</w:t>
      </w:r>
    </w:p>
    <w:p>
      <w:pPr>
        <w:pStyle w:val="Heading1"/>
        <w:spacing w:before="240" w:after="120"/>
      </w:pPr>
      <w:r>
        <w:t>7. Conclusion and Recommendations</w:t>
      </w:r>
    </w:p>
    <w:p>
      <w:pPr>
        <w:spacing w:line="480" w:lineRule="auto" w:after="120" w:before="0"/>
      </w:pPr>
      <w:r>
        <w:t>Community participation is central to tourism and local development cooperation because tourism uses assets that are socially owned even when they are not legally owned. Landscape, culture, hospitality, identity and everyday community life are part of the tourism product. Residents must therefore influence how these assets are used and how benefits are distributed. The report recommends a polycentric cooperation model based on stakeholder mapping, informed planning, community benefit agreements, local enterprise incubation, cultural resource protocols and participatory monitoring. This model improves social inclusion, cultural preservation and local ownership because it gives communities practical influence over decisions, budgets, markets and safeguards. Tourism development should therefore be judged not by the number of meetings held, but by whether communities gain measurable power, income, protection and voice.</w:t>
      </w:r>
    </w:p>
    <w:p>
      <w:r>
        <w:br w:type="page"/>
      </w:r>
    </w:p>
    <w:p>
      <w:pPr>
        <w:pStyle w:val="Heading1"/>
        <w:spacing w:before="240" w:after="120"/>
      </w:pPr>
      <w:r>
        <w:t>References</w:t>
      </w:r>
    </w:p>
    <w:p>
      <w:pPr>
        <w:spacing w:line="480" w:lineRule="auto" w:after="120" w:before="0"/>
        <w:ind w:left="720" w:hanging="720"/>
      </w:pPr>
      <w:r>
        <w:t>Bhatt, K., et al. (2024). Tourism led inclusive growth in emerging and developing economies. Sage Open. https://doi.org/10.1177/21582440241252516</w:t>
      </w:r>
    </w:p>
    <w:p>
      <w:pPr>
        <w:spacing w:line="480" w:lineRule="auto" w:after="120" w:before="0"/>
        <w:ind w:left="720" w:hanging="720"/>
      </w:pPr>
      <w:r>
        <w:t>Community Homestay Network. (2026). Community tourism experiences in Nepal. https://communityhomestay.com/</w:t>
      </w:r>
    </w:p>
    <w:p>
      <w:pPr>
        <w:spacing w:line="480" w:lineRule="auto" w:after="120" w:before="0"/>
        <w:ind w:left="720" w:hanging="720"/>
      </w:pPr>
      <w:r>
        <w:t>Duarte, C. M., et al. (2024). Advancing global climate and biodiversity goals through regenerative tourism. Sustainability, 16(20), 9133. https://doi.org/10.3390/su16209133</w:t>
      </w:r>
    </w:p>
    <w:p>
      <w:pPr>
        <w:spacing w:line="480" w:lineRule="auto" w:after="120" w:before="0"/>
        <w:ind w:left="720" w:hanging="720"/>
      </w:pPr>
      <w:r>
        <w:t>Global Sustainable Tourism Council. (2025). GSTC destination standard. https://www.gstc.org/gstc-criteria/gstc-destination-criteria/</w:t>
      </w:r>
    </w:p>
    <w:p>
      <w:pPr>
        <w:spacing w:line="480" w:lineRule="auto" w:after="120" w:before="0"/>
        <w:ind w:left="720" w:hanging="720"/>
      </w:pPr>
      <w:r>
        <w:t>ILO. (2023). AlUla framework for inclusive community development through tourism. https://www.ilo.org/resource/alula-framework-inclusive-community-development-through-tourism</w:t>
      </w:r>
    </w:p>
    <w:p>
      <w:pPr>
        <w:spacing w:line="480" w:lineRule="auto" w:after="120" w:before="0"/>
        <w:ind w:left="720" w:hanging="720"/>
      </w:pPr>
      <w:r>
        <w:t>Jackson, L. A. (2025). Community based tourism: A catalyst for achieving the Sustainable Development Goals. Tourism and Hospitality, 6(1), 29. https://www.mdpi.com/2673-5768/6/1/29</w:t>
      </w:r>
    </w:p>
    <w:p>
      <w:pPr>
        <w:spacing w:line="480" w:lineRule="auto" w:after="120" w:before="0"/>
        <w:ind w:left="720" w:hanging="720"/>
      </w:pPr>
      <w:r>
        <w:t>Kerala Responsible Tourism Mission Society. (2025). Responsible tourism in Kerala. https://www.keralatourism.org/responsible-tourism</w:t>
      </w:r>
    </w:p>
    <w:p>
      <w:pPr>
        <w:spacing w:line="480" w:lineRule="auto" w:after="120" w:before="0"/>
        <w:ind w:left="720" w:hanging="720"/>
      </w:pPr>
      <w:r>
        <w:t>Krittayaruangroj, K., et al. (2023). Research on sustainability in community based tourism. Tourism Planning and Development. https://doi.org/10.1080/10941665.2023.2276477</w:t>
      </w:r>
    </w:p>
    <w:p>
      <w:pPr>
        <w:spacing w:line="480" w:lineRule="auto" w:after="120" w:before="0"/>
        <w:ind w:left="720" w:hanging="720"/>
      </w:pPr>
      <w:r>
        <w:t>Nepal Tourism Board. (2025). Community Connect 2025. https://ntb.gov.np/en/community-connect-2025</w:t>
      </w:r>
    </w:p>
    <w:p>
      <w:pPr>
        <w:spacing w:line="480" w:lineRule="auto" w:after="120" w:before="0"/>
        <w:ind w:left="720" w:hanging="720"/>
      </w:pPr>
      <w:r>
        <w:t>OECD. (2024). OECD tourism trends and policies 2024. OECD Publishing. https://www.oecd.org/en/publications/2024/07/oecd-tourism-trends-and-policies-2024_17ff33a3.html</w:t>
      </w:r>
    </w:p>
    <w:p>
      <w:pPr>
        <w:spacing w:line="480" w:lineRule="auto" w:after="120" w:before="0"/>
        <w:ind w:left="720" w:hanging="720"/>
      </w:pPr>
      <w:r>
        <w:t>South Africa Department of Tourism. (2023). Framework for community participation in tourism. https://www.tourism.gov.za/CurrentProjects/Documents/Framework%20for%20Community%20Participation%20in%20Tourism%20Final%20Approved.pdf</w:t>
      </w:r>
    </w:p>
    <w:p>
      <w:pPr>
        <w:spacing w:line="480" w:lineRule="auto" w:after="120" w:before="0"/>
        <w:ind w:left="720" w:hanging="720"/>
      </w:pPr>
      <w:r>
        <w:t>UN Tourism. (2023). Rural tourism and inclusive community development. https://www.untourism.int/rural-tourism</w:t>
      </w:r>
    </w:p>
    <w:p>
      <w:pPr>
        <w:spacing w:line="480" w:lineRule="auto" w:after="120" w:before="0"/>
        <w:ind w:left="720" w:hanging="720"/>
      </w:pPr>
      <w:r>
        <w:t>UN Tourism. (2025). World tourism barometer. UN Tourism. https://www.untourism.int/un-tourism-world-tourism-barometer-data</w:t>
      </w:r>
    </w:p>
    <w:p>
      <w:pPr>
        <w:spacing w:line="480" w:lineRule="auto" w:after="120" w:before="0"/>
        <w:ind w:left="720" w:hanging="720"/>
      </w:pPr>
      <w:r>
        <w:t>World Travel and Tourism Council. (2026). Travel and tourism economic impact research. WTTC. https://wttc.org/research/economic-impact</w:t>
      </w:r>
    </w:p>
    <w:p>
      <w:r>
        <w:br w:type="page"/>
      </w:r>
    </w:p>
    <w:p>
      <w:pPr>
        <w:pStyle w:val="Heading1"/>
        <w:spacing w:before="240" w:after="120"/>
      </w:pPr>
      <w:r>
        <w:t>Appendices</w:t>
      </w:r>
    </w:p>
    <w:p>
      <w:pPr>
        <w:pStyle w:val="Heading2"/>
        <w:spacing w:before="240" w:after="120"/>
      </w:pPr>
      <w:r>
        <w:t>Appendix A. Technical implementation notes</w:t>
      </w:r>
    </w:p>
    <w:p>
      <w:pPr>
        <w:spacing w:line="480" w:lineRule="auto" w:after="120" w:before="0"/>
      </w:pPr>
      <w:r>
        <w:rPr>
          <w:b/>
        </w:rPr>
        <w:t>Appendix Table A1. Governance responsibilities</w:t>
      </w:r>
    </w:p>
    <w:tbl>
      <w:tblPr>
        <w:tblStyle w:val="TableGrid"/>
        <w:tblW w:type="auto" w:w="0"/>
        <w:jc w:val="center"/>
        <w:tblLook w:firstColumn="1" w:firstRow="1" w:lastColumn="0" w:lastRow="0" w:noHBand="0" w:noVBand="1" w:val="04A0"/>
      </w:tblPr>
      <w:tblGrid>
        <w:gridCol w:w="4680"/>
        <w:gridCol w:w="4680"/>
      </w:tblGrid>
      <w:tr>
        <w:trPr>
          <w:tblHeader w:val="true"/>
        </w:trPr>
        <w:tc>
          <w:tcPr>
            <w:tcW w:type="dxa" w:w="4680"/>
            <w:shd w:fill="D9EAF7"/>
            <w:vAlign w:val="center"/>
          </w:tcPr>
          <w:p>
            <w:pPr>
              <w:jc w:val="center"/>
            </w:pPr>
            <w:r>
              <w:rPr>
                <w:b/>
              </w:rPr>
              <w:t>Institution</w:t>
            </w:r>
          </w:p>
        </w:tc>
        <w:tc>
          <w:tcPr>
            <w:tcW w:type="dxa" w:w="4680"/>
            <w:shd w:fill="D9EAF7"/>
            <w:vAlign w:val="center"/>
          </w:tcPr>
          <w:p>
            <w:pPr>
              <w:jc w:val="center"/>
            </w:pPr>
            <w:r>
              <w:rPr>
                <w:b/>
              </w:rPr>
              <w:t>Responsibility</w:t>
            </w:r>
          </w:p>
        </w:tc>
      </w:tr>
      <w:tr>
        <w:tc>
          <w:tcPr>
            <w:tcW w:type="dxa" w:w="4680"/>
            <w:vAlign w:val="top"/>
          </w:tcPr>
          <w:p>
            <w:pPr>
              <w:spacing w:line="276" w:lineRule="auto" w:after="40"/>
            </w:pPr>
            <w:r>
              <w:rPr>
                <w:rFonts w:ascii="Times New Roman" w:hAnsi="Times New Roman" w:eastAsia="Times New Roman"/>
                <w:sz w:val="20"/>
              </w:rPr>
              <w:t>Community assembly</w:t>
            </w:r>
          </w:p>
        </w:tc>
        <w:tc>
          <w:tcPr>
            <w:tcW w:type="dxa" w:w="4680"/>
            <w:vAlign w:val="top"/>
          </w:tcPr>
          <w:p>
            <w:pPr>
              <w:spacing w:line="276" w:lineRule="auto" w:after="40"/>
            </w:pPr>
            <w:r>
              <w:rPr>
                <w:rFonts w:ascii="Times New Roman" w:hAnsi="Times New Roman" w:eastAsia="Times New Roman"/>
                <w:sz w:val="20"/>
              </w:rPr>
              <w:t>Approves cultural protocols and reviews benefit distribution.</w:t>
            </w:r>
          </w:p>
        </w:tc>
      </w:tr>
      <w:tr>
        <w:tc>
          <w:tcPr>
            <w:tcW w:type="dxa" w:w="4680"/>
            <w:vAlign w:val="top"/>
          </w:tcPr>
          <w:p>
            <w:pPr>
              <w:spacing w:line="276" w:lineRule="auto" w:after="40"/>
            </w:pPr>
            <w:r>
              <w:rPr>
                <w:rFonts w:ascii="Times New Roman" w:hAnsi="Times New Roman" w:eastAsia="Times New Roman"/>
                <w:sz w:val="20"/>
              </w:rPr>
              <w:t>Destination management body</w:t>
            </w:r>
          </w:p>
        </w:tc>
        <w:tc>
          <w:tcPr>
            <w:tcW w:type="dxa" w:w="4680"/>
            <w:vAlign w:val="top"/>
          </w:tcPr>
          <w:p>
            <w:pPr>
              <w:spacing w:line="276" w:lineRule="auto" w:after="40"/>
            </w:pPr>
            <w:r>
              <w:rPr>
                <w:rFonts w:ascii="Times New Roman" w:hAnsi="Times New Roman" w:eastAsia="Times New Roman"/>
                <w:sz w:val="20"/>
              </w:rPr>
              <w:t>Maintains visitor data, market access and integrated planning.</w:t>
            </w:r>
          </w:p>
        </w:tc>
      </w:tr>
      <w:tr>
        <w:tc>
          <w:tcPr>
            <w:tcW w:type="dxa" w:w="4680"/>
            <w:vAlign w:val="top"/>
          </w:tcPr>
          <w:p>
            <w:pPr>
              <w:spacing w:line="276" w:lineRule="auto" w:after="40"/>
            </w:pPr>
            <w:r>
              <w:rPr>
                <w:rFonts w:ascii="Times New Roman" w:hAnsi="Times New Roman" w:eastAsia="Times New Roman"/>
                <w:sz w:val="20"/>
              </w:rPr>
              <w:t>Private operators</w:t>
            </w:r>
          </w:p>
        </w:tc>
        <w:tc>
          <w:tcPr>
            <w:tcW w:type="dxa" w:w="4680"/>
            <w:vAlign w:val="top"/>
          </w:tcPr>
          <w:p>
            <w:pPr>
              <w:spacing w:line="276" w:lineRule="auto" w:after="40"/>
            </w:pPr>
            <w:r>
              <w:rPr>
                <w:rFonts w:ascii="Times New Roman" w:hAnsi="Times New Roman" w:eastAsia="Times New Roman"/>
                <w:sz w:val="20"/>
              </w:rPr>
              <w:t>Sign benefit agreements and report local procurement.</w:t>
            </w:r>
          </w:p>
        </w:tc>
      </w:tr>
      <w:tr>
        <w:tc>
          <w:tcPr>
            <w:tcW w:type="dxa" w:w="4680"/>
            <w:vAlign w:val="top"/>
          </w:tcPr>
          <w:p>
            <w:pPr>
              <w:spacing w:line="276" w:lineRule="auto" w:after="40"/>
            </w:pPr>
            <w:r>
              <w:rPr>
                <w:rFonts w:ascii="Times New Roman" w:hAnsi="Times New Roman" w:eastAsia="Times New Roman"/>
                <w:sz w:val="20"/>
              </w:rPr>
              <w:t>NGO or intermediary</w:t>
            </w:r>
          </w:p>
        </w:tc>
        <w:tc>
          <w:tcPr>
            <w:tcW w:type="dxa" w:w="4680"/>
            <w:vAlign w:val="top"/>
          </w:tcPr>
          <w:p>
            <w:pPr>
              <w:spacing w:line="276" w:lineRule="auto" w:after="40"/>
            </w:pPr>
            <w:r>
              <w:rPr>
                <w:rFonts w:ascii="Times New Roman" w:hAnsi="Times New Roman" w:eastAsia="Times New Roman"/>
                <w:sz w:val="20"/>
              </w:rPr>
              <w:t>Supports training, inclusion and grievance facilitation.</w:t>
            </w:r>
          </w:p>
        </w:tc>
      </w:tr>
    </w:tbl>
    <w:p/>
    <w:p>
      <w:pPr>
        <w:spacing w:line="480" w:lineRule="auto" w:after="120" w:before="0"/>
      </w:pPr>
      <w:r>
        <w:t>The participation system should be evaluated annually through evidence of actual influence, not merely the number of consultation events conducted.</w:t>
      </w:r>
    </w:p>
    <w:p>
      <w:pPr>
        <w:spacing w:line="480" w:lineRule="auto" w:after="120" w:before="0"/>
      </w:pPr>
      <w:r>
        <w:t>Indicative main body word count excluding references and appendices: 4143 words.</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M20 Tourism and Local Development Cooperation | Page </w:t>
    </w: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1F4E79"/>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