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25659" w14:textId="77777777" w:rsidR="00EB7C8C" w:rsidRPr="00356B79" w:rsidRDefault="00EB7C8C" w:rsidP="00356B79">
      <w:pPr>
        <w:spacing w:line="480" w:lineRule="auto"/>
        <w:jc w:val="center"/>
        <w:rPr>
          <w:rFonts w:ascii="Times New Roman" w:hAnsi="Times New Roman" w:cs="Times New Roman"/>
          <w:color w:val="000000" w:themeColor="text1"/>
          <w:szCs w:val="24"/>
        </w:rPr>
      </w:pPr>
      <w:r w:rsidRPr="00356B79">
        <w:rPr>
          <w:rFonts w:ascii="Times New Roman" w:hAnsi="Times New Roman" w:cs="Times New Roman"/>
          <w:noProof/>
          <w:color w:val="000000" w:themeColor="text1"/>
          <w:szCs w:val="24"/>
        </w:rPr>
        <w:drawing>
          <wp:inline distT="0" distB="0" distL="0" distR="0" wp14:anchorId="1410502B" wp14:editId="50E03146">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47E062F1" w14:textId="77777777" w:rsidR="00682625" w:rsidRPr="00356B79" w:rsidRDefault="00682625" w:rsidP="00356B79">
      <w:pPr>
        <w:spacing w:line="480" w:lineRule="auto"/>
        <w:jc w:val="center"/>
        <w:rPr>
          <w:rFonts w:ascii="Times New Roman" w:hAnsi="Times New Roman" w:cs="Times New Roman"/>
          <w:b/>
          <w:bCs/>
          <w:color w:val="000000" w:themeColor="text1"/>
          <w:szCs w:val="24"/>
        </w:rPr>
      </w:pPr>
      <w:r w:rsidRPr="00356B79">
        <w:rPr>
          <w:rFonts w:ascii="Times New Roman" w:hAnsi="Times New Roman" w:cs="Times New Roman"/>
          <w:b/>
          <w:bCs/>
          <w:color w:val="000000" w:themeColor="text1"/>
          <w:szCs w:val="24"/>
        </w:rPr>
        <w:t>Assignment 2: Strategic Management and Decision-Making in Complex Business</w:t>
      </w:r>
    </w:p>
    <w:p w14:paraId="06407FB6" w14:textId="77777777" w:rsidR="00682625" w:rsidRPr="00356B79" w:rsidRDefault="00682625" w:rsidP="00356B79">
      <w:pPr>
        <w:spacing w:line="480" w:lineRule="auto"/>
        <w:jc w:val="center"/>
        <w:rPr>
          <w:rFonts w:ascii="Times New Roman" w:hAnsi="Times New Roman" w:cs="Times New Roman"/>
          <w:b/>
          <w:bCs/>
          <w:color w:val="000000" w:themeColor="text1"/>
          <w:szCs w:val="24"/>
        </w:rPr>
      </w:pPr>
      <w:r w:rsidRPr="00356B79">
        <w:rPr>
          <w:rFonts w:ascii="Times New Roman" w:hAnsi="Times New Roman" w:cs="Times New Roman"/>
          <w:b/>
          <w:bCs/>
          <w:color w:val="000000" w:themeColor="text1"/>
          <w:szCs w:val="24"/>
        </w:rPr>
        <w:t>Environments</w:t>
      </w:r>
    </w:p>
    <w:p w14:paraId="73701985" w14:textId="77777777" w:rsidR="00682625" w:rsidRPr="00356B79" w:rsidRDefault="00682625" w:rsidP="00356B79">
      <w:pPr>
        <w:spacing w:line="480" w:lineRule="auto"/>
        <w:jc w:val="center"/>
        <w:rPr>
          <w:rFonts w:ascii="Times New Roman" w:hAnsi="Times New Roman" w:cs="Times New Roman"/>
          <w:b/>
          <w:bCs/>
          <w:color w:val="000000" w:themeColor="text1"/>
          <w:szCs w:val="24"/>
        </w:rPr>
      </w:pPr>
      <w:r w:rsidRPr="00356B79">
        <w:rPr>
          <w:rFonts w:ascii="Times New Roman" w:hAnsi="Times New Roman" w:cs="Times New Roman"/>
          <w:b/>
          <w:bCs/>
          <w:color w:val="000000" w:themeColor="text1"/>
          <w:szCs w:val="24"/>
        </w:rPr>
        <w:t>Case Study:</w:t>
      </w:r>
    </w:p>
    <w:p w14:paraId="2E8FEA32" w14:textId="77777777" w:rsidR="00682625" w:rsidRPr="00356B79" w:rsidRDefault="00682625" w:rsidP="00356B79">
      <w:pPr>
        <w:spacing w:line="480" w:lineRule="auto"/>
        <w:jc w:val="center"/>
        <w:rPr>
          <w:rFonts w:ascii="Times New Roman" w:hAnsi="Times New Roman" w:cs="Times New Roman"/>
          <w:b/>
          <w:bCs/>
          <w:color w:val="000000" w:themeColor="text1"/>
          <w:szCs w:val="24"/>
        </w:rPr>
      </w:pPr>
      <w:r w:rsidRPr="00356B79">
        <w:rPr>
          <w:rFonts w:ascii="Times New Roman" w:hAnsi="Times New Roman" w:cs="Times New Roman"/>
          <w:b/>
          <w:bCs/>
          <w:color w:val="000000" w:themeColor="text1"/>
          <w:szCs w:val="24"/>
        </w:rPr>
        <w:t>• Examine the strategic decision-making process at Tesla Inc. during the global</w:t>
      </w:r>
    </w:p>
    <w:p w14:paraId="621842C6" w14:textId="77777777" w:rsidR="00682625" w:rsidRPr="00356B79" w:rsidRDefault="00682625" w:rsidP="00356B79">
      <w:pPr>
        <w:spacing w:line="480" w:lineRule="auto"/>
        <w:jc w:val="center"/>
        <w:rPr>
          <w:rFonts w:ascii="Times New Roman" w:hAnsi="Times New Roman" w:cs="Times New Roman"/>
          <w:b/>
          <w:bCs/>
          <w:color w:val="000000" w:themeColor="text1"/>
          <w:szCs w:val="24"/>
        </w:rPr>
      </w:pPr>
      <w:r w:rsidRPr="00356B79">
        <w:rPr>
          <w:rFonts w:ascii="Times New Roman" w:hAnsi="Times New Roman" w:cs="Times New Roman"/>
          <w:b/>
          <w:bCs/>
          <w:color w:val="000000" w:themeColor="text1"/>
          <w:szCs w:val="24"/>
        </w:rPr>
        <w:t>semiconductor shortage. How did the company navigate the supply chain disruptions,</w:t>
      </w:r>
    </w:p>
    <w:p w14:paraId="0EA520A0" w14:textId="57C69220" w:rsidR="00EB7C8C" w:rsidRPr="00356B79" w:rsidRDefault="00682625" w:rsidP="00356B79">
      <w:pPr>
        <w:spacing w:line="480" w:lineRule="auto"/>
        <w:jc w:val="center"/>
        <w:rPr>
          <w:rFonts w:ascii="Times New Roman" w:hAnsi="Times New Roman" w:cs="Times New Roman"/>
          <w:b/>
          <w:bCs/>
          <w:color w:val="000000" w:themeColor="text1"/>
          <w:szCs w:val="24"/>
        </w:rPr>
      </w:pPr>
      <w:r w:rsidRPr="00356B79">
        <w:rPr>
          <w:rFonts w:ascii="Times New Roman" w:hAnsi="Times New Roman" w:cs="Times New Roman"/>
          <w:b/>
          <w:bCs/>
          <w:color w:val="000000" w:themeColor="text1"/>
          <w:szCs w:val="24"/>
        </w:rPr>
        <w:t>and what decision-making model did it adopt to maintain its competitive advantage?</w:t>
      </w:r>
    </w:p>
    <w:p w14:paraId="6FE143EF"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2FF80F4D"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5A6FD0F7"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0EB08553"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24F782B7"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465E7DD9"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320EBFBB"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7ADE30DD" w14:textId="77777777" w:rsidR="00EB7C8C" w:rsidRPr="00356B79" w:rsidRDefault="00EB7C8C" w:rsidP="00356B79">
      <w:pPr>
        <w:spacing w:line="480" w:lineRule="auto"/>
        <w:jc w:val="center"/>
        <w:rPr>
          <w:rFonts w:ascii="Times New Roman" w:hAnsi="Times New Roman" w:cs="Times New Roman"/>
          <w:b/>
          <w:bCs/>
          <w:color w:val="000000" w:themeColor="text1"/>
          <w:szCs w:val="24"/>
        </w:rPr>
      </w:pPr>
    </w:p>
    <w:p w14:paraId="6A9107DF"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1F9B5194" w14:textId="40C61DC1" w:rsidR="00356B79" w:rsidRPr="00356B79" w:rsidRDefault="00EB7C8C" w:rsidP="00356B79">
      <w:pPr>
        <w:pStyle w:val="Heading2"/>
        <w:spacing w:line="480" w:lineRule="auto"/>
        <w:rPr>
          <w:rFonts w:ascii="Times New Roman" w:hAnsi="Times New Roman" w:cs="Times New Roman"/>
          <w:b/>
          <w:bCs/>
          <w:color w:val="000000" w:themeColor="text1"/>
          <w:sz w:val="24"/>
          <w:szCs w:val="24"/>
        </w:rPr>
      </w:pPr>
      <w:bookmarkStart w:id="0" w:name="_Toc224846299"/>
      <w:r w:rsidRPr="00356B79">
        <w:rPr>
          <w:rFonts w:ascii="Times New Roman" w:hAnsi="Times New Roman" w:cs="Times New Roman"/>
          <w:b/>
          <w:bCs/>
          <w:color w:val="000000" w:themeColor="text1"/>
          <w:sz w:val="24"/>
          <w:szCs w:val="24"/>
        </w:rPr>
        <w:lastRenderedPageBreak/>
        <w:t>Abstract</w:t>
      </w:r>
      <w:bookmarkEnd w:id="0"/>
    </w:p>
    <w:p w14:paraId="32620CB3" w14:textId="77777777" w:rsidR="00356B79" w:rsidRPr="00356B79" w:rsidRDefault="00356B79" w:rsidP="00356B79">
      <w:pPr>
        <w:spacing w:line="480" w:lineRule="auto"/>
        <w:rPr>
          <w:rFonts w:ascii="Times New Roman" w:hAnsi="Times New Roman" w:cs="Times New Roman"/>
          <w:szCs w:val="24"/>
        </w:rPr>
      </w:pPr>
      <w:r w:rsidRPr="00356B79">
        <w:rPr>
          <w:rFonts w:ascii="Times New Roman" w:hAnsi="Times New Roman" w:cs="Times New Roman"/>
          <w:szCs w:val="24"/>
        </w:rPr>
        <w:t>The present report explores the problem of strategic management and decision-making in a complicated business environment with a focus on the reaction of the Tesla Inc. to the global crisis of semiconductors shortage. The semiconductor crisis that has affected the global supply chains of various industries has brought a lot of operational challenge to the automotive manufacturers. The way Tesla has managed to overcome these shocks is a good case study of adaptive strategy and making decisions during uncertainty. In contrast to most of the competitors who recorded delays in production and financial losses, Tesla could withstand the situation and restructured its supply chain and capitalized on technological flexibility (Ivanov, 2021; Gereffi, 2020).</w:t>
      </w:r>
    </w:p>
    <w:p w14:paraId="768DFBC0" w14:textId="77777777" w:rsidR="00356B79" w:rsidRPr="00356B79" w:rsidRDefault="00356B79" w:rsidP="00356B79">
      <w:pPr>
        <w:spacing w:line="480" w:lineRule="auto"/>
        <w:rPr>
          <w:rFonts w:ascii="Times New Roman" w:hAnsi="Times New Roman" w:cs="Times New Roman"/>
          <w:szCs w:val="24"/>
        </w:rPr>
      </w:pPr>
      <w:r w:rsidRPr="00356B79">
        <w:rPr>
          <w:rFonts w:ascii="Times New Roman" w:hAnsi="Times New Roman" w:cs="Times New Roman"/>
          <w:szCs w:val="24"/>
        </w:rPr>
        <w:t>This paper is an analysis of the strategic decision-making models used at Tesla, such as dynamic capabilities, agile management, and real-time problem-solving methods. The plan of Tesla happened to be the redesign of software to work with other semiconductor chips, building stronger bonds with suppliers, and staying vertically integrated (Teece, 2018; Pisano, 2017). These measures helped the company to preserve the levels of production and remain competitive in the crisis.</w:t>
      </w:r>
    </w:p>
    <w:p w14:paraId="3FFFF4F4" w14:textId="77777777" w:rsidR="00356B79" w:rsidRPr="00356B79" w:rsidRDefault="00356B79" w:rsidP="00356B79">
      <w:pPr>
        <w:spacing w:line="480" w:lineRule="auto"/>
        <w:rPr>
          <w:rFonts w:ascii="Times New Roman" w:hAnsi="Times New Roman" w:cs="Times New Roman"/>
          <w:szCs w:val="24"/>
        </w:rPr>
      </w:pPr>
      <w:r w:rsidRPr="00356B79">
        <w:rPr>
          <w:rFonts w:ascii="Times New Roman" w:hAnsi="Times New Roman" w:cs="Times New Roman"/>
          <w:szCs w:val="24"/>
        </w:rPr>
        <w:t>The results demonstrate the need to be flexible, innovative, and responsive to make decisions in a complex business environment. The report finds that the success of Tesla was conditional by its capacity to combine strategic foresight with operation flexibility and shows that dynamic decision making models are an essential element of business operations in the modern world.</w:t>
      </w:r>
    </w:p>
    <w:p w14:paraId="59650663" w14:textId="77777777" w:rsidR="00356B79" w:rsidRPr="00356B79" w:rsidRDefault="00356B79" w:rsidP="00356B79">
      <w:pPr>
        <w:spacing w:line="480" w:lineRule="auto"/>
        <w:rPr>
          <w:rFonts w:ascii="Times New Roman" w:hAnsi="Times New Roman" w:cs="Times New Roman"/>
          <w:szCs w:val="24"/>
        </w:rPr>
      </w:pPr>
    </w:p>
    <w:p w14:paraId="0EB29809" w14:textId="77777777" w:rsidR="00EB7C8C" w:rsidRPr="00356B79" w:rsidRDefault="00EB7C8C" w:rsidP="00356B79">
      <w:pPr>
        <w:spacing w:line="480" w:lineRule="auto"/>
        <w:rPr>
          <w:rFonts w:ascii="Times New Roman" w:hAnsi="Times New Roman" w:cs="Times New Roman"/>
          <w:szCs w:val="24"/>
        </w:rPr>
      </w:pPr>
    </w:p>
    <w:p w14:paraId="56D19465" w14:textId="77777777" w:rsidR="00EB7C8C" w:rsidRPr="00356B79" w:rsidRDefault="00EB7C8C" w:rsidP="00356B79">
      <w:pPr>
        <w:spacing w:line="480" w:lineRule="auto"/>
        <w:rPr>
          <w:rFonts w:ascii="Times New Roman" w:hAnsi="Times New Roman" w:cs="Times New Roman"/>
          <w:szCs w:val="24"/>
        </w:rPr>
      </w:pPr>
    </w:p>
    <w:p w14:paraId="1162B59E" w14:textId="77777777" w:rsidR="00356B79" w:rsidRPr="00356B79" w:rsidRDefault="00356B79" w:rsidP="00356B79">
      <w:pPr>
        <w:spacing w:line="480" w:lineRule="auto"/>
        <w:rPr>
          <w:rFonts w:ascii="Times New Roman" w:hAnsi="Times New Roman" w:cs="Times New Roman"/>
          <w:szCs w:val="24"/>
        </w:rPr>
      </w:pPr>
    </w:p>
    <w:p w14:paraId="70336F9F" w14:textId="77777777" w:rsidR="00356B79" w:rsidRPr="00356B79" w:rsidRDefault="00356B79" w:rsidP="00356B79">
      <w:pPr>
        <w:spacing w:line="480" w:lineRule="auto"/>
        <w:rPr>
          <w:rFonts w:ascii="Times New Roman" w:hAnsi="Times New Roman" w:cs="Times New Roman"/>
          <w:szCs w:val="24"/>
        </w:rPr>
      </w:pPr>
    </w:p>
    <w:p w14:paraId="4D76AEBA" w14:textId="77777777" w:rsidR="00356B79" w:rsidRPr="00356B79" w:rsidRDefault="00356B79" w:rsidP="00356B79">
      <w:pPr>
        <w:spacing w:line="480" w:lineRule="auto"/>
        <w:rPr>
          <w:rFonts w:ascii="Times New Roman" w:hAnsi="Times New Roman" w:cs="Times New Roman"/>
          <w:szCs w:val="24"/>
        </w:rPr>
      </w:pPr>
    </w:p>
    <w:p w14:paraId="46DD10E2" w14:textId="77777777" w:rsidR="00356B79" w:rsidRPr="00356B79" w:rsidRDefault="00356B79" w:rsidP="00356B79">
      <w:pPr>
        <w:spacing w:line="480" w:lineRule="auto"/>
        <w:rPr>
          <w:rFonts w:ascii="Times New Roman" w:hAnsi="Times New Roman" w:cs="Times New Roman"/>
          <w:szCs w:val="24"/>
        </w:rPr>
      </w:pPr>
    </w:p>
    <w:p w14:paraId="34334906" w14:textId="77777777" w:rsidR="00356B79" w:rsidRPr="00356B79" w:rsidRDefault="00356B79" w:rsidP="00356B79">
      <w:pPr>
        <w:spacing w:line="480" w:lineRule="auto"/>
        <w:rPr>
          <w:rFonts w:ascii="Times New Roman" w:hAnsi="Times New Roman" w:cs="Times New Roman"/>
          <w:szCs w:val="24"/>
        </w:rPr>
      </w:pPr>
    </w:p>
    <w:p w14:paraId="47FDD646" w14:textId="77777777" w:rsidR="00356B79" w:rsidRPr="00356B79" w:rsidRDefault="00356B79" w:rsidP="00356B79">
      <w:pPr>
        <w:spacing w:line="480" w:lineRule="auto"/>
        <w:rPr>
          <w:rFonts w:ascii="Times New Roman" w:hAnsi="Times New Roman" w:cs="Times New Roman"/>
          <w:szCs w:val="24"/>
        </w:rPr>
      </w:pPr>
    </w:p>
    <w:p w14:paraId="03368DAE" w14:textId="77777777" w:rsidR="00356B79" w:rsidRPr="00356B79" w:rsidRDefault="00356B79" w:rsidP="00356B79">
      <w:pPr>
        <w:spacing w:line="480" w:lineRule="auto"/>
        <w:rPr>
          <w:rFonts w:ascii="Times New Roman" w:hAnsi="Times New Roman" w:cs="Times New Roman"/>
          <w:szCs w:val="24"/>
        </w:rPr>
      </w:pPr>
    </w:p>
    <w:p w14:paraId="450BD115" w14:textId="77777777" w:rsidR="00356B79" w:rsidRPr="00356B79" w:rsidRDefault="00356B79" w:rsidP="00356B79">
      <w:pPr>
        <w:spacing w:line="480" w:lineRule="auto"/>
        <w:rPr>
          <w:rFonts w:ascii="Times New Roman" w:hAnsi="Times New Roman" w:cs="Times New Roman"/>
          <w:szCs w:val="24"/>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1F0FEDB2" w14:textId="7E176EFD" w:rsidR="00EB7C8C" w:rsidRPr="00356B79" w:rsidRDefault="00EB7C8C" w:rsidP="00356B79">
          <w:pPr>
            <w:pStyle w:val="TOCHeading"/>
            <w:spacing w:line="480" w:lineRule="auto"/>
            <w:rPr>
              <w:rFonts w:ascii="Times New Roman" w:hAnsi="Times New Roman" w:cs="Times New Roman"/>
              <w:b/>
              <w:bCs/>
              <w:color w:val="000000" w:themeColor="text1"/>
              <w:sz w:val="24"/>
              <w:szCs w:val="24"/>
            </w:rPr>
          </w:pPr>
          <w:r w:rsidRPr="00356B79">
            <w:rPr>
              <w:rFonts w:ascii="Times New Roman" w:hAnsi="Times New Roman" w:cs="Times New Roman"/>
              <w:b/>
              <w:bCs/>
              <w:color w:val="000000" w:themeColor="text1"/>
              <w:sz w:val="24"/>
              <w:szCs w:val="24"/>
            </w:rPr>
            <w:t>Contents</w:t>
          </w:r>
        </w:p>
        <w:p w14:paraId="2CB03C89" w14:textId="77777777" w:rsidR="00356B79" w:rsidRPr="00356B79" w:rsidRDefault="00356B79" w:rsidP="00356B79">
          <w:pPr>
            <w:spacing w:line="480" w:lineRule="auto"/>
            <w:rPr>
              <w:szCs w:val="24"/>
              <w:lang w:val="en-US" w:bidi="ar-SA"/>
            </w:rPr>
          </w:pPr>
        </w:p>
        <w:p w14:paraId="411E75C5"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r w:rsidRPr="00356B79">
            <w:rPr>
              <w:rFonts w:ascii="Times New Roman" w:hAnsi="Times New Roman" w:cs="Times New Roman"/>
              <w:color w:val="000000" w:themeColor="text1"/>
              <w:szCs w:val="24"/>
            </w:rPr>
            <w:fldChar w:fldCharType="begin"/>
          </w:r>
          <w:r w:rsidRPr="00356B79">
            <w:rPr>
              <w:rFonts w:ascii="Times New Roman" w:hAnsi="Times New Roman" w:cs="Times New Roman"/>
              <w:color w:val="000000" w:themeColor="text1"/>
              <w:szCs w:val="24"/>
            </w:rPr>
            <w:instrText xml:space="preserve"> TOC \o "1-3" \h \z \u </w:instrText>
          </w:r>
          <w:r w:rsidRPr="00356B79">
            <w:rPr>
              <w:rFonts w:ascii="Times New Roman" w:hAnsi="Times New Roman" w:cs="Times New Roman"/>
              <w:color w:val="000000" w:themeColor="text1"/>
              <w:szCs w:val="24"/>
            </w:rPr>
            <w:fldChar w:fldCharType="separate"/>
          </w:r>
          <w:hyperlink w:anchor="_Toc224846299" w:history="1">
            <w:r w:rsidRPr="00356B79">
              <w:rPr>
                <w:rStyle w:val="Hyperlink"/>
                <w:rFonts w:ascii="Times New Roman" w:hAnsi="Times New Roman" w:cs="Times New Roman"/>
                <w:noProof/>
                <w:color w:val="000000" w:themeColor="text1"/>
                <w:szCs w:val="24"/>
              </w:rPr>
              <w:t>Abstract</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_Toc224846299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2</w:t>
            </w:r>
            <w:r w:rsidRPr="00356B79">
              <w:rPr>
                <w:rFonts w:ascii="Times New Roman" w:hAnsi="Times New Roman" w:cs="Times New Roman"/>
                <w:noProof/>
                <w:webHidden/>
                <w:color w:val="000000" w:themeColor="text1"/>
                <w:szCs w:val="24"/>
              </w:rPr>
              <w:fldChar w:fldCharType="end"/>
            </w:r>
          </w:hyperlink>
        </w:p>
        <w:p w14:paraId="4898D192"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0" w:history="1">
            <w:r w:rsidRPr="00356B79">
              <w:rPr>
                <w:rStyle w:val="Hyperlink"/>
                <w:rFonts w:ascii="Times New Roman" w:hAnsi="Times New Roman" w:cs="Times New Roman"/>
                <w:noProof/>
                <w:color w:val="000000" w:themeColor="text1"/>
                <w:szCs w:val="24"/>
              </w:rPr>
              <w:t>Introduction</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_Toc224846300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4</w:t>
            </w:r>
            <w:r w:rsidRPr="00356B79">
              <w:rPr>
                <w:rFonts w:ascii="Times New Roman" w:hAnsi="Times New Roman" w:cs="Times New Roman"/>
                <w:noProof/>
                <w:webHidden/>
                <w:color w:val="000000" w:themeColor="text1"/>
                <w:szCs w:val="24"/>
              </w:rPr>
              <w:fldChar w:fldCharType="end"/>
            </w:r>
          </w:hyperlink>
        </w:p>
        <w:p w14:paraId="29ACA110"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1" w:history="1">
            <w:r w:rsidRPr="00356B79">
              <w:rPr>
                <w:rStyle w:val="Hyperlink"/>
                <w:rFonts w:ascii="Times New Roman" w:hAnsi="Times New Roman" w:cs="Times New Roman"/>
                <w:noProof/>
                <w:color w:val="000000" w:themeColor="text1"/>
                <w:szCs w:val="24"/>
              </w:rPr>
              <w:t>Literature Review</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_Toc224846301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6</w:t>
            </w:r>
            <w:r w:rsidRPr="00356B79">
              <w:rPr>
                <w:rFonts w:ascii="Times New Roman" w:hAnsi="Times New Roman" w:cs="Times New Roman"/>
                <w:noProof/>
                <w:webHidden/>
                <w:color w:val="000000" w:themeColor="text1"/>
                <w:szCs w:val="24"/>
              </w:rPr>
              <w:fldChar w:fldCharType="end"/>
            </w:r>
          </w:hyperlink>
        </w:p>
        <w:p w14:paraId="5EABA02D"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2" w:history="1">
            <w:r w:rsidRPr="00356B79">
              <w:rPr>
                <w:rStyle w:val="Hyperlink"/>
                <w:rFonts w:ascii="Times New Roman" w:hAnsi="Times New Roman" w:cs="Times New Roman"/>
                <w:noProof/>
                <w:color w:val="000000" w:themeColor="text1"/>
                <w:szCs w:val="24"/>
              </w:rPr>
              <w:t>Methodology</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_Toc224846302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9</w:t>
            </w:r>
            <w:r w:rsidRPr="00356B79">
              <w:rPr>
                <w:rFonts w:ascii="Times New Roman" w:hAnsi="Times New Roman" w:cs="Times New Roman"/>
                <w:noProof/>
                <w:webHidden/>
                <w:color w:val="000000" w:themeColor="text1"/>
                <w:szCs w:val="24"/>
              </w:rPr>
              <w:fldChar w:fldCharType="end"/>
            </w:r>
          </w:hyperlink>
        </w:p>
        <w:p w14:paraId="792CD57B"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3" w:history="1">
            <w:r w:rsidRPr="00356B79">
              <w:rPr>
                <w:rStyle w:val="Hyperlink"/>
                <w:rFonts w:ascii="Times New Roman" w:hAnsi="Times New Roman" w:cs="Times New Roman"/>
                <w:noProof/>
                <w:color w:val="000000" w:themeColor="text1"/>
                <w:szCs w:val="24"/>
              </w:rPr>
              <w:t>Methodology</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_Toc224846303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11</w:t>
            </w:r>
            <w:r w:rsidRPr="00356B79">
              <w:rPr>
                <w:rFonts w:ascii="Times New Roman" w:hAnsi="Times New Roman" w:cs="Times New Roman"/>
                <w:noProof/>
                <w:webHidden/>
                <w:color w:val="000000" w:themeColor="text1"/>
                <w:szCs w:val="24"/>
              </w:rPr>
              <w:fldChar w:fldCharType="end"/>
            </w:r>
          </w:hyperlink>
        </w:p>
        <w:p w14:paraId="4806C88B"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4" w:history="1">
            <w:r w:rsidRPr="00356B79">
              <w:rPr>
                <w:rStyle w:val="Hyperlink"/>
                <w:rFonts w:ascii="Times New Roman" w:hAnsi="Times New Roman" w:cs="Times New Roman"/>
                <w:noProof/>
                <w:color w:val="000000" w:themeColor="text1"/>
                <w:szCs w:val="24"/>
              </w:rPr>
              <w:t>Findings</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_Toc224846304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13</w:t>
            </w:r>
            <w:r w:rsidRPr="00356B79">
              <w:rPr>
                <w:rFonts w:ascii="Times New Roman" w:hAnsi="Times New Roman" w:cs="Times New Roman"/>
                <w:noProof/>
                <w:webHidden/>
                <w:color w:val="000000" w:themeColor="text1"/>
                <w:szCs w:val="24"/>
              </w:rPr>
              <w:fldChar w:fldCharType="end"/>
            </w:r>
          </w:hyperlink>
        </w:p>
        <w:p w14:paraId="474855E3"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5" w:history="1">
            <w:r w:rsidRPr="00356B79">
              <w:rPr>
                <w:rStyle w:val="Hyperlink"/>
                <w:rFonts w:ascii="Times New Roman" w:hAnsi="Times New Roman" w:cs="Times New Roman"/>
                <w:noProof/>
                <w:color w:val="000000" w:themeColor="text1"/>
                <w:szCs w:val="24"/>
              </w:rPr>
              <w:t>Discussion</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_Toc224846305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16</w:t>
            </w:r>
            <w:r w:rsidRPr="00356B79">
              <w:rPr>
                <w:rFonts w:ascii="Times New Roman" w:hAnsi="Times New Roman" w:cs="Times New Roman"/>
                <w:noProof/>
                <w:webHidden/>
                <w:color w:val="000000" w:themeColor="text1"/>
                <w:szCs w:val="24"/>
              </w:rPr>
              <w:fldChar w:fldCharType="end"/>
            </w:r>
          </w:hyperlink>
        </w:p>
        <w:p w14:paraId="3D13B3B1"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6" w:history="1">
            <w:r w:rsidRPr="00356B79">
              <w:rPr>
                <w:rStyle w:val="Hyperlink"/>
                <w:rFonts w:ascii="Times New Roman" w:hAnsi="Times New Roman" w:cs="Times New Roman"/>
                <w:noProof/>
                <w:color w:val="000000" w:themeColor="text1"/>
                <w:szCs w:val="24"/>
              </w:rPr>
              <w:t>Conclusion</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_Toc224846306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20</w:t>
            </w:r>
            <w:r w:rsidRPr="00356B79">
              <w:rPr>
                <w:rFonts w:ascii="Times New Roman" w:hAnsi="Times New Roman" w:cs="Times New Roman"/>
                <w:noProof/>
                <w:webHidden/>
                <w:color w:val="000000" w:themeColor="text1"/>
                <w:szCs w:val="24"/>
              </w:rPr>
              <w:fldChar w:fldCharType="end"/>
            </w:r>
          </w:hyperlink>
        </w:p>
        <w:p w14:paraId="37E1590E" w14:textId="77777777" w:rsidR="00EB7C8C" w:rsidRPr="00356B79" w:rsidRDefault="00EB7C8C" w:rsidP="00356B79">
          <w:pPr>
            <w:pStyle w:val="TOC2"/>
            <w:tabs>
              <w:tab w:val="right" w:leader="dot" w:pos="9350"/>
            </w:tabs>
            <w:spacing w:line="480" w:lineRule="auto"/>
            <w:rPr>
              <w:rFonts w:ascii="Times New Roman" w:hAnsi="Times New Roman" w:cs="Times New Roman"/>
              <w:noProof/>
              <w:color w:val="000000" w:themeColor="text1"/>
              <w:szCs w:val="24"/>
            </w:rPr>
          </w:pPr>
          <w:hyperlink w:anchor="_Toc224846307" w:history="1">
            <w:r w:rsidRPr="00356B79">
              <w:rPr>
                <w:rStyle w:val="Hyperlink"/>
                <w:rFonts w:ascii="Times New Roman" w:hAnsi="Times New Roman" w:cs="Times New Roman"/>
                <w:noProof/>
                <w:color w:val="000000" w:themeColor="text1"/>
                <w:szCs w:val="24"/>
              </w:rPr>
              <w:t>References</w:t>
            </w:r>
            <w:r w:rsidRPr="00356B79">
              <w:rPr>
                <w:rFonts w:ascii="Times New Roman" w:hAnsi="Times New Roman" w:cs="Times New Roman"/>
                <w:noProof/>
                <w:webHidden/>
                <w:color w:val="000000" w:themeColor="text1"/>
                <w:szCs w:val="24"/>
              </w:rPr>
              <w:tab/>
            </w:r>
            <w:r w:rsidRPr="00356B79">
              <w:rPr>
                <w:rFonts w:ascii="Times New Roman" w:hAnsi="Times New Roman" w:cs="Times New Roman"/>
                <w:noProof/>
                <w:webHidden/>
                <w:color w:val="000000" w:themeColor="text1"/>
                <w:szCs w:val="24"/>
              </w:rPr>
              <w:fldChar w:fldCharType="begin"/>
            </w:r>
            <w:r w:rsidRPr="00356B79">
              <w:rPr>
                <w:rFonts w:ascii="Times New Roman" w:hAnsi="Times New Roman" w:cs="Times New Roman"/>
                <w:noProof/>
                <w:webHidden/>
                <w:color w:val="000000" w:themeColor="text1"/>
                <w:szCs w:val="24"/>
              </w:rPr>
              <w:instrText xml:space="preserve"> PAGEREF _Toc224846307 \h </w:instrText>
            </w:r>
            <w:r w:rsidRPr="00356B79">
              <w:rPr>
                <w:rFonts w:ascii="Times New Roman" w:hAnsi="Times New Roman" w:cs="Times New Roman"/>
                <w:noProof/>
                <w:webHidden/>
                <w:color w:val="000000" w:themeColor="text1"/>
                <w:szCs w:val="24"/>
              </w:rPr>
            </w:r>
            <w:r w:rsidRPr="00356B79">
              <w:rPr>
                <w:rFonts w:ascii="Times New Roman" w:hAnsi="Times New Roman" w:cs="Times New Roman"/>
                <w:noProof/>
                <w:webHidden/>
                <w:color w:val="000000" w:themeColor="text1"/>
                <w:szCs w:val="24"/>
              </w:rPr>
              <w:fldChar w:fldCharType="separate"/>
            </w:r>
            <w:r w:rsidRPr="00356B79">
              <w:rPr>
                <w:rFonts w:ascii="Times New Roman" w:hAnsi="Times New Roman" w:cs="Times New Roman"/>
                <w:noProof/>
                <w:webHidden/>
                <w:color w:val="000000" w:themeColor="text1"/>
                <w:szCs w:val="24"/>
              </w:rPr>
              <w:t>22</w:t>
            </w:r>
            <w:r w:rsidRPr="00356B79">
              <w:rPr>
                <w:rFonts w:ascii="Times New Roman" w:hAnsi="Times New Roman" w:cs="Times New Roman"/>
                <w:noProof/>
                <w:webHidden/>
                <w:color w:val="000000" w:themeColor="text1"/>
                <w:szCs w:val="24"/>
              </w:rPr>
              <w:fldChar w:fldCharType="end"/>
            </w:r>
          </w:hyperlink>
        </w:p>
        <w:p w14:paraId="5B223A10" w14:textId="77777777" w:rsidR="00EB7C8C" w:rsidRPr="00356B79" w:rsidRDefault="00EB7C8C"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b/>
              <w:bCs/>
              <w:noProof/>
              <w:color w:val="000000" w:themeColor="text1"/>
              <w:szCs w:val="24"/>
            </w:rPr>
            <w:fldChar w:fldCharType="end"/>
          </w:r>
        </w:p>
      </w:sdtContent>
    </w:sdt>
    <w:p w14:paraId="4B1A58B2"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4CC9792F"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683AD5B7"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3425BEEC"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271A3DBA"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34BEC1D1"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151E4013"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448CE7E0"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6CA86772"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12B6F150" w14:textId="77777777" w:rsidR="00EB7C8C" w:rsidRPr="00356B79" w:rsidRDefault="00EB7C8C" w:rsidP="00356B79">
      <w:pPr>
        <w:spacing w:line="480" w:lineRule="auto"/>
        <w:rPr>
          <w:rFonts w:ascii="Times New Roman" w:hAnsi="Times New Roman" w:cs="Times New Roman"/>
          <w:b/>
          <w:bCs/>
          <w:color w:val="000000" w:themeColor="text1"/>
          <w:szCs w:val="24"/>
        </w:rPr>
      </w:pPr>
    </w:p>
    <w:p w14:paraId="0F545179" w14:textId="77777777" w:rsidR="00EB7C8C" w:rsidRPr="00356B79" w:rsidRDefault="00EB7C8C" w:rsidP="00356B79">
      <w:pPr>
        <w:spacing w:line="480" w:lineRule="auto"/>
        <w:rPr>
          <w:rFonts w:ascii="Times New Roman" w:eastAsiaTheme="majorEastAsia" w:hAnsi="Times New Roman" w:cs="Times New Roman"/>
          <w:b/>
          <w:bCs/>
          <w:color w:val="000000" w:themeColor="text1"/>
          <w:szCs w:val="24"/>
        </w:rPr>
      </w:pPr>
      <w:r w:rsidRPr="00356B79">
        <w:rPr>
          <w:rFonts w:ascii="Times New Roman" w:eastAsiaTheme="majorEastAsia" w:hAnsi="Times New Roman" w:cs="Times New Roman"/>
          <w:b/>
          <w:bCs/>
          <w:color w:val="000000" w:themeColor="text1"/>
          <w:szCs w:val="24"/>
        </w:rPr>
        <w:t>Introduction</w:t>
      </w:r>
    </w:p>
    <w:p w14:paraId="629DCE2D" w14:textId="77777777" w:rsidR="00EB7C8C" w:rsidRPr="00356B79" w:rsidRDefault="00EB7C8C" w:rsidP="00356B79">
      <w:pPr>
        <w:spacing w:line="480" w:lineRule="auto"/>
        <w:rPr>
          <w:rFonts w:ascii="Times New Roman" w:eastAsiaTheme="majorEastAsia" w:hAnsi="Times New Roman" w:cs="Times New Roman"/>
          <w:color w:val="000000" w:themeColor="text1"/>
          <w:szCs w:val="24"/>
        </w:rPr>
      </w:pPr>
    </w:p>
    <w:p w14:paraId="5AFB6CFD" w14:textId="77777777" w:rsidR="00EB7C8C" w:rsidRPr="00356B79" w:rsidRDefault="00EB7C8C" w:rsidP="00356B79">
      <w:pPr>
        <w:spacing w:line="480" w:lineRule="auto"/>
        <w:rPr>
          <w:rFonts w:ascii="Times New Roman" w:eastAsiaTheme="majorEastAsia" w:hAnsi="Times New Roman" w:cs="Times New Roman"/>
          <w:color w:val="000000" w:themeColor="text1"/>
          <w:szCs w:val="24"/>
        </w:rPr>
      </w:pPr>
    </w:p>
    <w:p w14:paraId="7A90FB2D" w14:textId="77777777" w:rsidR="00EB7C8C" w:rsidRPr="00356B79" w:rsidRDefault="00EB7C8C" w:rsidP="00356B79">
      <w:pPr>
        <w:spacing w:line="480" w:lineRule="auto"/>
        <w:rPr>
          <w:rFonts w:ascii="Times New Roman" w:hAnsi="Times New Roman" w:cs="Times New Roman"/>
          <w:color w:val="000000" w:themeColor="text1"/>
          <w:szCs w:val="24"/>
        </w:rPr>
      </w:pPr>
    </w:p>
    <w:p w14:paraId="44C41D0D" w14:textId="77777777" w:rsidR="00682625" w:rsidRPr="00356B79" w:rsidRDefault="00682625" w:rsidP="00356B79">
      <w:pPr>
        <w:spacing w:line="480" w:lineRule="auto"/>
        <w:rPr>
          <w:rFonts w:ascii="Times New Roman" w:hAnsi="Times New Roman" w:cs="Times New Roman"/>
          <w:color w:val="000000" w:themeColor="text1"/>
          <w:szCs w:val="24"/>
        </w:rPr>
      </w:pPr>
    </w:p>
    <w:p w14:paraId="0C0EA869" w14:textId="77777777" w:rsidR="00682625" w:rsidRPr="00356B79" w:rsidRDefault="00682625" w:rsidP="00356B79">
      <w:pPr>
        <w:spacing w:line="480" w:lineRule="auto"/>
        <w:rPr>
          <w:rFonts w:ascii="Times New Roman" w:hAnsi="Times New Roman" w:cs="Times New Roman"/>
          <w:color w:val="000000" w:themeColor="text1"/>
          <w:szCs w:val="24"/>
        </w:rPr>
      </w:pPr>
    </w:p>
    <w:p w14:paraId="7D82D2C1" w14:textId="77777777" w:rsidR="00682625" w:rsidRPr="00356B79" w:rsidRDefault="00682625" w:rsidP="00356B79">
      <w:pPr>
        <w:spacing w:line="480" w:lineRule="auto"/>
        <w:rPr>
          <w:rFonts w:ascii="Times New Roman" w:hAnsi="Times New Roman" w:cs="Times New Roman"/>
          <w:color w:val="000000" w:themeColor="text1"/>
          <w:szCs w:val="24"/>
        </w:rPr>
      </w:pPr>
    </w:p>
    <w:p w14:paraId="6FB3059C" w14:textId="77777777" w:rsidR="00682625" w:rsidRPr="00356B79" w:rsidRDefault="00682625" w:rsidP="00356B79">
      <w:pPr>
        <w:spacing w:line="480" w:lineRule="auto"/>
        <w:rPr>
          <w:rFonts w:ascii="Times New Roman" w:hAnsi="Times New Roman" w:cs="Times New Roman"/>
          <w:color w:val="000000" w:themeColor="text1"/>
          <w:szCs w:val="24"/>
        </w:rPr>
      </w:pPr>
    </w:p>
    <w:p w14:paraId="1F48E75C" w14:textId="77777777" w:rsidR="00682625" w:rsidRPr="00356B79" w:rsidRDefault="00682625" w:rsidP="00356B79">
      <w:pPr>
        <w:spacing w:line="480" w:lineRule="auto"/>
        <w:rPr>
          <w:rFonts w:ascii="Times New Roman" w:hAnsi="Times New Roman" w:cs="Times New Roman"/>
          <w:color w:val="000000" w:themeColor="text1"/>
          <w:szCs w:val="24"/>
        </w:rPr>
      </w:pPr>
    </w:p>
    <w:p w14:paraId="3F4A3684" w14:textId="77777777" w:rsidR="00682625" w:rsidRPr="00356B79" w:rsidRDefault="00682625" w:rsidP="00356B79">
      <w:pPr>
        <w:spacing w:line="480" w:lineRule="auto"/>
        <w:rPr>
          <w:rFonts w:ascii="Times New Roman" w:hAnsi="Times New Roman" w:cs="Times New Roman"/>
          <w:color w:val="000000" w:themeColor="text1"/>
          <w:szCs w:val="24"/>
        </w:rPr>
      </w:pPr>
    </w:p>
    <w:p w14:paraId="1244A378" w14:textId="77777777" w:rsidR="00682625" w:rsidRPr="00356B79" w:rsidRDefault="00682625" w:rsidP="00356B79">
      <w:pPr>
        <w:spacing w:line="480" w:lineRule="auto"/>
        <w:rPr>
          <w:rFonts w:ascii="Times New Roman" w:hAnsi="Times New Roman" w:cs="Times New Roman"/>
          <w:color w:val="000000" w:themeColor="text1"/>
          <w:szCs w:val="24"/>
        </w:rPr>
      </w:pPr>
    </w:p>
    <w:p w14:paraId="15B6A0B4" w14:textId="77777777" w:rsidR="00682625" w:rsidRPr="00356B79" w:rsidRDefault="00682625" w:rsidP="00356B79">
      <w:pPr>
        <w:spacing w:line="480" w:lineRule="auto"/>
        <w:rPr>
          <w:rFonts w:ascii="Times New Roman" w:hAnsi="Times New Roman" w:cs="Times New Roman"/>
          <w:color w:val="000000" w:themeColor="text1"/>
          <w:szCs w:val="24"/>
        </w:rPr>
      </w:pPr>
    </w:p>
    <w:p w14:paraId="68C2F015" w14:textId="77777777" w:rsidR="00682625" w:rsidRPr="00356B79" w:rsidRDefault="00682625" w:rsidP="00356B79">
      <w:pPr>
        <w:spacing w:line="480" w:lineRule="auto"/>
        <w:rPr>
          <w:rFonts w:ascii="Times New Roman" w:hAnsi="Times New Roman" w:cs="Times New Roman"/>
          <w:color w:val="000000" w:themeColor="text1"/>
          <w:szCs w:val="24"/>
        </w:rPr>
      </w:pPr>
    </w:p>
    <w:p w14:paraId="5CA39495" w14:textId="77777777" w:rsidR="00682625" w:rsidRPr="00356B79" w:rsidRDefault="00682625" w:rsidP="00356B79">
      <w:pPr>
        <w:spacing w:line="480" w:lineRule="auto"/>
        <w:rPr>
          <w:rFonts w:ascii="Times New Roman" w:hAnsi="Times New Roman" w:cs="Times New Roman"/>
          <w:color w:val="000000" w:themeColor="text1"/>
          <w:szCs w:val="24"/>
        </w:rPr>
      </w:pPr>
    </w:p>
    <w:p w14:paraId="6F5F36BF" w14:textId="77777777" w:rsidR="00682625" w:rsidRPr="00356B79" w:rsidRDefault="00682625" w:rsidP="00356B79">
      <w:pPr>
        <w:spacing w:line="480" w:lineRule="auto"/>
        <w:rPr>
          <w:rFonts w:ascii="Times New Roman" w:hAnsi="Times New Roman" w:cs="Times New Roman"/>
          <w:color w:val="000000" w:themeColor="text1"/>
          <w:szCs w:val="24"/>
        </w:rPr>
      </w:pPr>
    </w:p>
    <w:p w14:paraId="2700E250" w14:textId="77777777" w:rsidR="00EB7C8C" w:rsidRPr="00356B79" w:rsidRDefault="00EB7C8C" w:rsidP="00356B79">
      <w:pPr>
        <w:pStyle w:val="Heading2"/>
        <w:spacing w:line="480" w:lineRule="auto"/>
        <w:rPr>
          <w:rFonts w:ascii="Times New Roman" w:hAnsi="Times New Roman" w:cs="Times New Roman"/>
          <w:b/>
          <w:bCs/>
          <w:color w:val="000000" w:themeColor="text1"/>
          <w:sz w:val="24"/>
          <w:szCs w:val="24"/>
        </w:rPr>
      </w:pPr>
      <w:bookmarkStart w:id="1" w:name="_Toc224846307"/>
      <w:r w:rsidRPr="00356B79">
        <w:rPr>
          <w:rFonts w:ascii="Times New Roman" w:hAnsi="Times New Roman" w:cs="Times New Roman"/>
          <w:b/>
          <w:bCs/>
          <w:color w:val="000000" w:themeColor="text1"/>
          <w:sz w:val="24"/>
          <w:szCs w:val="24"/>
        </w:rPr>
        <w:t>References</w:t>
      </w:r>
      <w:bookmarkEnd w:id="1"/>
    </w:p>
    <w:p w14:paraId="26920C53" w14:textId="77777777" w:rsidR="00682625" w:rsidRPr="00356B79" w:rsidRDefault="00682625" w:rsidP="00356B79">
      <w:pPr>
        <w:spacing w:line="480" w:lineRule="auto"/>
        <w:rPr>
          <w:rFonts w:ascii="Times New Roman" w:hAnsi="Times New Roman" w:cs="Times New Roman"/>
          <w:szCs w:val="24"/>
        </w:rPr>
      </w:pPr>
    </w:p>
    <w:p w14:paraId="5CF91565"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Barney, J. (1991). Firm resources and sustained competitive advantage. </w:t>
      </w:r>
      <w:r w:rsidRPr="00356B79">
        <w:rPr>
          <w:rFonts w:ascii="Times New Roman" w:hAnsi="Times New Roman" w:cs="Times New Roman"/>
          <w:i/>
          <w:iCs/>
          <w:color w:val="000000" w:themeColor="text1"/>
          <w:szCs w:val="24"/>
        </w:rPr>
        <w:t>Journal of Management</w:t>
      </w:r>
      <w:r w:rsidRPr="00356B79">
        <w:rPr>
          <w:rFonts w:ascii="Times New Roman" w:hAnsi="Times New Roman" w:cs="Times New Roman"/>
          <w:color w:val="000000" w:themeColor="text1"/>
          <w:szCs w:val="24"/>
        </w:rPr>
        <w:t xml:space="preserve">, 17(1), 99–120. </w:t>
      </w:r>
      <w:hyperlink r:id="rId5" w:tgtFrame="_new" w:history="1">
        <w:r w:rsidRPr="00356B79">
          <w:rPr>
            <w:rStyle w:val="Hyperlink"/>
            <w:rFonts w:ascii="Times New Roman" w:hAnsi="Times New Roman" w:cs="Times New Roman"/>
            <w:szCs w:val="24"/>
          </w:rPr>
          <w:t>https://doi.org/10.1177/014920639101700108</w:t>
        </w:r>
      </w:hyperlink>
    </w:p>
    <w:p w14:paraId="5AB69FA1"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Eisenhardt, K. M., &amp; Zbaracki, M. J. (1992). Strategic decision making. </w:t>
      </w:r>
      <w:r w:rsidRPr="00356B79">
        <w:rPr>
          <w:rFonts w:ascii="Times New Roman" w:hAnsi="Times New Roman" w:cs="Times New Roman"/>
          <w:i/>
          <w:iCs/>
          <w:color w:val="000000" w:themeColor="text1"/>
          <w:szCs w:val="24"/>
        </w:rPr>
        <w:t>Strategic Management Journal</w:t>
      </w:r>
      <w:r w:rsidRPr="00356B79">
        <w:rPr>
          <w:rFonts w:ascii="Times New Roman" w:hAnsi="Times New Roman" w:cs="Times New Roman"/>
          <w:color w:val="000000" w:themeColor="text1"/>
          <w:szCs w:val="24"/>
        </w:rPr>
        <w:t xml:space="preserve">, 13(S2), 17–37. </w:t>
      </w:r>
      <w:hyperlink r:id="rId6" w:tgtFrame="_new" w:history="1">
        <w:r w:rsidRPr="00356B79">
          <w:rPr>
            <w:rStyle w:val="Hyperlink"/>
            <w:rFonts w:ascii="Times New Roman" w:hAnsi="Times New Roman" w:cs="Times New Roman"/>
            <w:szCs w:val="24"/>
          </w:rPr>
          <w:t>https://doi.org/10.1002/smj.4250130904</w:t>
        </w:r>
      </w:hyperlink>
    </w:p>
    <w:p w14:paraId="2B16B875"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Gereffi, G. (2020). What does the COVID-19 pandemic teach us about global value chains? </w:t>
      </w:r>
      <w:r w:rsidRPr="00356B79">
        <w:rPr>
          <w:rFonts w:ascii="Times New Roman" w:hAnsi="Times New Roman" w:cs="Times New Roman"/>
          <w:i/>
          <w:iCs/>
          <w:color w:val="000000" w:themeColor="text1"/>
          <w:szCs w:val="24"/>
        </w:rPr>
        <w:t>Journal of International Business Policy</w:t>
      </w:r>
      <w:r w:rsidRPr="00356B79">
        <w:rPr>
          <w:rFonts w:ascii="Times New Roman" w:hAnsi="Times New Roman" w:cs="Times New Roman"/>
          <w:color w:val="000000" w:themeColor="text1"/>
          <w:szCs w:val="24"/>
        </w:rPr>
        <w:t xml:space="preserve">, 3(3), 287–301. </w:t>
      </w:r>
      <w:hyperlink r:id="rId7" w:tgtFrame="_new" w:history="1">
        <w:r w:rsidRPr="00356B79">
          <w:rPr>
            <w:rStyle w:val="Hyperlink"/>
            <w:rFonts w:ascii="Times New Roman" w:hAnsi="Times New Roman" w:cs="Times New Roman"/>
            <w:szCs w:val="24"/>
          </w:rPr>
          <w:t>https://doi.org/10.1057/s42214-020-00062-w</w:t>
        </w:r>
      </w:hyperlink>
    </w:p>
    <w:p w14:paraId="21AF3999"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Ivanov, D. (2021). Supply chain viability and resilience. </w:t>
      </w:r>
      <w:r w:rsidRPr="00356B79">
        <w:rPr>
          <w:rFonts w:ascii="Times New Roman" w:hAnsi="Times New Roman" w:cs="Times New Roman"/>
          <w:i/>
          <w:iCs/>
          <w:color w:val="000000" w:themeColor="text1"/>
          <w:szCs w:val="24"/>
        </w:rPr>
        <w:t>International Journal of Production Research</w:t>
      </w:r>
      <w:r w:rsidRPr="00356B79">
        <w:rPr>
          <w:rFonts w:ascii="Times New Roman" w:hAnsi="Times New Roman" w:cs="Times New Roman"/>
          <w:color w:val="000000" w:themeColor="text1"/>
          <w:szCs w:val="24"/>
        </w:rPr>
        <w:t>, 59(12), 3531–3549. https://doi.org/10.1080/00207543.2021.1890857</w:t>
      </w:r>
    </w:p>
    <w:p w14:paraId="5A4154EF"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lastRenderedPageBreak/>
        <w:t xml:space="preserve">Mintzberg, H., Ahlstrand, B., &amp; Lampel, J. (2009). </w:t>
      </w:r>
      <w:r w:rsidRPr="00356B79">
        <w:rPr>
          <w:rFonts w:ascii="Times New Roman" w:hAnsi="Times New Roman" w:cs="Times New Roman"/>
          <w:i/>
          <w:iCs/>
          <w:color w:val="000000" w:themeColor="text1"/>
          <w:szCs w:val="24"/>
        </w:rPr>
        <w:t>Strategy safari</w:t>
      </w:r>
      <w:r w:rsidRPr="00356B79">
        <w:rPr>
          <w:rFonts w:ascii="Times New Roman" w:hAnsi="Times New Roman" w:cs="Times New Roman"/>
          <w:color w:val="000000" w:themeColor="text1"/>
          <w:szCs w:val="24"/>
        </w:rPr>
        <w:t>. Pearson.</w:t>
      </w:r>
    </w:p>
    <w:p w14:paraId="17643110"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Pisano, G. P. (2017). Toward a prescriptive theory of dynamic capabilities. </w:t>
      </w:r>
      <w:r w:rsidRPr="00356B79">
        <w:rPr>
          <w:rFonts w:ascii="Times New Roman" w:hAnsi="Times New Roman" w:cs="Times New Roman"/>
          <w:i/>
          <w:iCs/>
          <w:color w:val="000000" w:themeColor="text1"/>
          <w:szCs w:val="24"/>
        </w:rPr>
        <w:t>Industrial and Corporate Change</w:t>
      </w:r>
      <w:r w:rsidRPr="00356B79">
        <w:rPr>
          <w:rFonts w:ascii="Times New Roman" w:hAnsi="Times New Roman" w:cs="Times New Roman"/>
          <w:color w:val="000000" w:themeColor="text1"/>
          <w:szCs w:val="24"/>
        </w:rPr>
        <w:t>, 26(5), 747–762. https://doi.org/10.1093/icc/dtx026</w:t>
      </w:r>
    </w:p>
    <w:p w14:paraId="79BAFD4A"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Porter, M. E. (1985). </w:t>
      </w:r>
      <w:r w:rsidRPr="00356B79">
        <w:rPr>
          <w:rFonts w:ascii="Times New Roman" w:hAnsi="Times New Roman" w:cs="Times New Roman"/>
          <w:i/>
          <w:iCs/>
          <w:color w:val="000000" w:themeColor="text1"/>
          <w:szCs w:val="24"/>
        </w:rPr>
        <w:t>Competitive advantage</w:t>
      </w:r>
      <w:r w:rsidRPr="00356B79">
        <w:rPr>
          <w:rFonts w:ascii="Times New Roman" w:hAnsi="Times New Roman" w:cs="Times New Roman"/>
          <w:color w:val="000000" w:themeColor="text1"/>
          <w:szCs w:val="24"/>
        </w:rPr>
        <w:t>. Free Press.</w:t>
      </w:r>
    </w:p>
    <w:p w14:paraId="1593EEDB"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Rigby, D. K., Sutherland, J., &amp; Takeuchi, H. (2016). Embracing agile. </w:t>
      </w:r>
      <w:r w:rsidRPr="00356B79">
        <w:rPr>
          <w:rFonts w:ascii="Times New Roman" w:hAnsi="Times New Roman" w:cs="Times New Roman"/>
          <w:i/>
          <w:iCs/>
          <w:color w:val="000000" w:themeColor="text1"/>
          <w:szCs w:val="24"/>
        </w:rPr>
        <w:t>Harvard Business Review</w:t>
      </w:r>
      <w:r w:rsidRPr="00356B79">
        <w:rPr>
          <w:rFonts w:ascii="Times New Roman" w:hAnsi="Times New Roman" w:cs="Times New Roman"/>
          <w:color w:val="000000" w:themeColor="text1"/>
          <w:szCs w:val="24"/>
        </w:rPr>
        <w:t>. https://doi.org/10.1225/R1605C</w:t>
      </w:r>
    </w:p>
    <w:p w14:paraId="673EFB7B"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Teece, D. J. (2018). Business models and dynamic capabilities. </w:t>
      </w:r>
      <w:r w:rsidRPr="00356B79">
        <w:rPr>
          <w:rFonts w:ascii="Times New Roman" w:hAnsi="Times New Roman" w:cs="Times New Roman"/>
          <w:i/>
          <w:iCs/>
          <w:color w:val="000000" w:themeColor="text1"/>
          <w:szCs w:val="24"/>
        </w:rPr>
        <w:t>Long Range Planning</w:t>
      </w:r>
      <w:r w:rsidRPr="00356B79">
        <w:rPr>
          <w:rFonts w:ascii="Times New Roman" w:hAnsi="Times New Roman" w:cs="Times New Roman"/>
          <w:color w:val="000000" w:themeColor="text1"/>
          <w:szCs w:val="24"/>
        </w:rPr>
        <w:t xml:space="preserve">, 51(1), 40–49. </w:t>
      </w:r>
      <w:hyperlink r:id="rId8" w:tgtFrame="_new" w:history="1">
        <w:r w:rsidRPr="00356B79">
          <w:rPr>
            <w:rStyle w:val="Hyperlink"/>
            <w:rFonts w:ascii="Times New Roman" w:hAnsi="Times New Roman" w:cs="Times New Roman"/>
            <w:szCs w:val="24"/>
          </w:rPr>
          <w:t>https://doi.org/10.1016/j.lrp.2017.06.007</w:t>
        </w:r>
      </w:hyperlink>
    </w:p>
    <w:p w14:paraId="7642992A"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Christopher, M., &amp; Peck, H. (2004). Building the resilient supply chain. </w:t>
      </w:r>
      <w:r w:rsidRPr="00356B79">
        <w:rPr>
          <w:rFonts w:ascii="Times New Roman" w:hAnsi="Times New Roman" w:cs="Times New Roman"/>
          <w:i/>
          <w:iCs/>
          <w:color w:val="000000" w:themeColor="text1"/>
          <w:szCs w:val="24"/>
        </w:rPr>
        <w:t>International Journal of Logistics Management</w:t>
      </w:r>
      <w:r w:rsidRPr="00356B79">
        <w:rPr>
          <w:rFonts w:ascii="Times New Roman" w:hAnsi="Times New Roman" w:cs="Times New Roman"/>
          <w:color w:val="000000" w:themeColor="text1"/>
          <w:szCs w:val="24"/>
        </w:rPr>
        <w:t xml:space="preserve">, 15(2), 1–14. </w:t>
      </w:r>
      <w:hyperlink r:id="rId9" w:tgtFrame="_new" w:history="1">
        <w:r w:rsidRPr="00356B79">
          <w:rPr>
            <w:rStyle w:val="Hyperlink"/>
            <w:rFonts w:ascii="Times New Roman" w:hAnsi="Times New Roman" w:cs="Times New Roman"/>
            <w:szCs w:val="24"/>
          </w:rPr>
          <w:t>https://doi.org/10.1108/09574090410700275</w:t>
        </w:r>
      </w:hyperlink>
    </w:p>
    <w:p w14:paraId="73FAC748"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Sheffi, Y., &amp; Rice, J. B. (2005). A supply chain view of resilience. </w:t>
      </w:r>
      <w:r w:rsidRPr="00356B79">
        <w:rPr>
          <w:rFonts w:ascii="Times New Roman" w:hAnsi="Times New Roman" w:cs="Times New Roman"/>
          <w:i/>
          <w:iCs/>
          <w:color w:val="000000" w:themeColor="text1"/>
          <w:szCs w:val="24"/>
        </w:rPr>
        <w:t>MIT Sloan Management Review</w:t>
      </w:r>
      <w:r w:rsidRPr="00356B79">
        <w:rPr>
          <w:rFonts w:ascii="Times New Roman" w:hAnsi="Times New Roman" w:cs="Times New Roman"/>
          <w:color w:val="000000" w:themeColor="text1"/>
          <w:szCs w:val="24"/>
        </w:rPr>
        <w:t>, 47(1), 41–48. https://doi.org/10.2139/ssrn.699861</w:t>
      </w:r>
    </w:p>
    <w:p w14:paraId="76BC0C10"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Choi, T. Y., Rogers, D., &amp; Vakil, B. (2020). Coronavirus is a wake-up call for supply chains. </w:t>
      </w:r>
      <w:r w:rsidRPr="00356B79">
        <w:rPr>
          <w:rFonts w:ascii="Times New Roman" w:hAnsi="Times New Roman" w:cs="Times New Roman"/>
          <w:i/>
          <w:iCs/>
          <w:color w:val="000000" w:themeColor="text1"/>
          <w:szCs w:val="24"/>
        </w:rPr>
        <w:t>Harvard Business Review</w:t>
      </w:r>
      <w:r w:rsidRPr="00356B79">
        <w:rPr>
          <w:rFonts w:ascii="Times New Roman" w:hAnsi="Times New Roman" w:cs="Times New Roman"/>
          <w:color w:val="000000" w:themeColor="text1"/>
          <w:szCs w:val="24"/>
        </w:rPr>
        <w:t>. https://doi.org/10.1225/H05N5X</w:t>
      </w:r>
    </w:p>
    <w:p w14:paraId="2727CC35"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Ketchen, D. J., &amp; Craighead, C. W. (2020). Research at the intersection of entrepreneurship and supply chain. </w:t>
      </w:r>
      <w:r w:rsidRPr="00356B79">
        <w:rPr>
          <w:rFonts w:ascii="Times New Roman" w:hAnsi="Times New Roman" w:cs="Times New Roman"/>
          <w:i/>
          <w:iCs/>
          <w:color w:val="000000" w:themeColor="text1"/>
          <w:szCs w:val="24"/>
        </w:rPr>
        <w:t>Journal of Supply Chain Management</w:t>
      </w:r>
      <w:r w:rsidRPr="00356B79">
        <w:rPr>
          <w:rFonts w:ascii="Times New Roman" w:hAnsi="Times New Roman" w:cs="Times New Roman"/>
          <w:color w:val="000000" w:themeColor="text1"/>
          <w:szCs w:val="24"/>
        </w:rPr>
        <w:t xml:space="preserve">, 56(1), 3–16. </w:t>
      </w:r>
      <w:hyperlink r:id="rId10" w:tgtFrame="_new" w:history="1">
        <w:r w:rsidRPr="00356B79">
          <w:rPr>
            <w:rStyle w:val="Hyperlink"/>
            <w:rFonts w:ascii="Times New Roman" w:hAnsi="Times New Roman" w:cs="Times New Roman"/>
            <w:szCs w:val="24"/>
          </w:rPr>
          <w:t>https://doi.org/10.1111/jscm.12225</w:t>
        </w:r>
      </w:hyperlink>
    </w:p>
    <w:p w14:paraId="3CD1D39D"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Schoemaker, P. J. H., Heaton, S., &amp; Teece, D. (2018). Innovation, dynamic capabilities. </w:t>
      </w:r>
      <w:r w:rsidRPr="00356B79">
        <w:rPr>
          <w:rFonts w:ascii="Times New Roman" w:hAnsi="Times New Roman" w:cs="Times New Roman"/>
          <w:i/>
          <w:iCs/>
          <w:color w:val="000000" w:themeColor="text1"/>
          <w:szCs w:val="24"/>
        </w:rPr>
        <w:t>California Management Review</w:t>
      </w:r>
      <w:r w:rsidRPr="00356B79">
        <w:rPr>
          <w:rFonts w:ascii="Times New Roman" w:hAnsi="Times New Roman" w:cs="Times New Roman"/>
          <w:color w:val="000000" w:themeColor="text1"/>
          <w:szCs w:val="24"/>
        </w:rPr>
        <w:t xml:space="preserve">, 61(1), 15–42. </w:t>
      </w:r>
      <w:hyperlink r:id="rId11" w:tgtFrame="_new" w:history="1">
        <w:r w:rsidRPr="00356B79">
          <w:rPr>
            <w:rStyle w:val="Hyperlink"/>
            <w:rFonts w:ascii="Times New Roman" w:hAnsi="Times New Roman" w:cs="Times New Roman"/>
            <w:szCs w:val="24"/>
          </w:rPr>
          <w:t>https://doi.org/10.1177/0008125618790246</w:t>
        </w:r>
      </w:hyperlink>
    </w:p>
    <w:p w14:paraId="58AFF704"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t xml:space="preserve">Bode, C., &amp; Wagner, S. M. (2015). Structural drivers of supply chain resilience. </w:t>
      </w:r>
      <w:r w:rsidRPr="00356B79">
        <w:rPr>
          <w:rFonts w:ascii="Times New Roman" w:hAnsi="Times New Roman" w:cs="Times New Roman"/>
          <w:i/>
          <w:iCs/>
          <w:color w:val="000000" w:themeColor="text1"/>
          <w:szCs w:val="24"/>
        </w:rPr>
        <w:t>Journal of Operations Management</w:t>
      </w:r>
      <w:r w:rsidRPr="00356B79">
        <w:rPr>
          <w:rFonts w:ascii="Times New Roman" w:hAnsi="Times New Roman" w:cs="Times New Roman"/>
          <w:color w:val="000000" w:themeColor="text1"/>
          <w:szCs w:val="24"/>
        </w:rPr>
        <w:t xml:space="preserve">, 36, 215–228. </w:t>
      </w:r>
      <w:hyperlink r:id="rId12" w:tgtFrame="_new" w:history="1">
        <w:r w:rsidRPr="00356B79">
          <w:rPr>
            <w:rStyle w:val="Hyperlink"/>
            <w:rFonts w:ascii="Times New Roman" w:hAnsi="Times New Roman" w:cs="Times New Roman"/>
            <w:szCs w:val="24"/>
          </w:rPr>
          <w:t>https://doi.org/10.1016/j.jom.2014.11.004</w:t>
        </w:r>
      </w:hyperlink>
    </w:p>
    <w:p w14:paraId="71A42B24" w14:textId="77777777" w:rsidR="00682625" w:rsidRPr="00356B79" w:rsidRDefault="00682625" w:rsidP="00356B79">
      <w:pPr>
        <w:spacing w:line="480" w:lineRule="auto"/>
        <w:rPr>
          <w:rFonts w:ascii="Times New Roman" w:hAnsi="Times New Roman" w:cs="Times New Roman"/>
          <w:color w:val="000000" w:themeColor="text1"/>
          <w:szCs w:val="24"/>
        </w:rPr>
      </w:pPr>
      <w:r w:rsidRPr="00356B79">
        <w:rPr>
          <w:rFonts w:ascii="Times New Roman" w:hAnsi="Times New Roman" w:cs="Times New Roman"/>
          <w:color w:val="000000" w:themeColor="text1"/>
          <w:szCs w:val="24"/>
        </w:rPr>
        <w:lastRenderedPageBreak/>
        <w:t xml:space="preserve">Simchi-Levi, D., Schmidt, W., &amp; Wei, Y. (2014). From superstorms to factory fires. </w:t>
      </w:r>
      <w:r w:rsidRPr="00356B79">
        <w:rPr>
          <w:rFonts w:ascii="Times New Roman" w:hAnsi="Times New Roman" w:cs="Times New Roman"/>
          <w:i/>
          <w:iCs/>
          <w:color w:val="000000" w:themeColor="text1"/>
          <w:szCs w:val="24"/>
        </w:rPr>
        <w:t>Harvard Business Review</w:t>
      </w:r>
      <w:r w:rsidRPr="00356B79">
        <w:rPr>
          <w:rFonts w:ascii="Times New Roman" w:hAnsi="Times New Roman" w:cs="Times New Roman"/>
          <w:color w:val="000000" w:themeColor="text1"/>
          <w:szCs w:val="24"/>
        </w:rPr>
        <w:t>. https://doi.org/10.1225/R1401K</w:t>
      </w:r>
    </w:p>
    <w:p w14:paraId="789F0B08" w14:textId="77777777" w:rsidR="00EB7C8C" w:rsidRPr="00356B79" w:rsidRDefault="00EB7C8C" w:rsidP="00356B79">
      <w:pPr>
        <w:spacing w:line="480" w:lineRule="auto"/>
        <w:rPr>
          <w:rFonts w:ascii="Times New Roman" w:hAnsi="Times New Roman" w:cs="Times New Roman"/>
          <w:szCs w:val="24"/>
        </w:rPr>
      </w:pPr>
    </w:p>
    <w:sectPr w:rsidR="00EB7C8C" w:rsidRPr="00356B7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C8C"/>
    <w:rsid w:val="002431FB"/>
    <w:rsid w:val="003163B4"/>
    <w:rsid w:val="00356B79"/>
    <w:rsid w:val="00435BD4"/>
    <w:rsid w:val="00584718"/>
    <w:rsid w:val="00682625"/>
    <w:rsid w:val="006845E0"/>
    <w:rsid w:val="00EB7C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1CE05"/>
  <w15:chartTrackingRefBased/>
  <w15:docId w15:val="{E8FF2B11-00D9-44DF-9E8C-B11D992FC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C8C"/>
  </w:style>
  <w:style w:type="paragraph" w:styleId="Heading1">
    <w:name w:val="heading 1"/>
    <w:basedOn w:val="Normal"/>
    <w:next w:val="Normal"/>
    <w:link w:val="Heading1Char"/>
    <w:uiPriority w:val="9"/>
    <w:qFormat/>
    <w:rsid w:val="00EB7C8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EB7C8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EB7C8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EB7C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7C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7C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7C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7C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7C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7C8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EB7C8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EB7C8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EB7C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7C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7C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7C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7C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7C8C"/>
    <w:rPr>
      <w:rFonts w:eastAsiaTheme="majorEastAsia" w:cstheme="majorBidi"/>
      <w:color w:val="272727" w:themeColor="text1" w:themeTint="D8"/>
    </w:rPr>
  </w:style>
  <w:style w:type="paragraph" w:styleId="Title">
    <w:name w:val="Title"/>
    <w:basedOn w:val="Normal"/>
    <w:next w:val="Normal"/>
    <w:link w:val="TitleChar"/>
    <w:uiPriority w:val="10"/>
    <w:qFormat/>
    <w:rsid w:val="00EB7C8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EB7C8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EB7C8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EB7C8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EB7C8C"/>
    <w:pPr>
      <w:spacing w:before="160"/>
      <w:jc w:val="center"/>
    </w:pPr>
    <w:rPr>
      <w:i/>
      <w:iCs/>
      <w:color w:val="404040" w:themeColor="text1" w:themeTint="BF"/>
    </w:rPr>
  </w:style>
  <w:style w:type="character" w:customStyle="1" w:styleId="QuoteChar">
    <w:name w:val="Quote Char"/>
    <w:basedOn w:val="DefaultParagraphFont"/>
    <w:link w:val="Quote"/>
    <w:uiPriority w:val="29"/>
    <w:rsid w:val="00EB7C8C"/>
    <w:rPr>
      <w:i/>
      <w:iCs/>
      <w:color w:val="404040" w:themeColor="text1" w:themeTint="BF"/>
    </w:rPr>
  </w:style>
  <w:style w:type="paragraph" w:styleId="ListParagraph">
    <w:name w:val="List Paragraph"/>
    <w:basedOn w:val="Normal"/>
    <w:uiPriority w:val="34"/>
    <w:qFormat/>
    <w:rsid w:val="00EB7C8C"/>
    <w:pPr>
      <w:ind w:left="720"/>
      <w:contextualSpacing/>
    </w:pPr>
  </w:style>
  <w:style w:type="character" w:styleId="IntenseEmphasis">
    <w:name w:val="Intense Emphasis"/>
    <w:basedOn w:val="DefaultParagraphFont"/>
    <w:uiPriority w:val="21"/>
    <w:qFormat/>
    <w:rsid w:val="00EB7C8C"/>
    <w:rPr>
      <w:i/>
      <w:iCs/>
      <w:color w:val="0F4761" w:themeColor="accent1" w:themeShade="BF"/>
    </w:rPr>
  </w:style>
  <w:style w:type="paragraph" w:styleId="IntenseQuote">
    <w:name w:val="Intense Quote"/>
    <w:basedOn w:val="Normal"/>
    <w:next w:val="Normal"/>
    <w:link w:val="IntenseQuoteChar"/>
    <w:uiPriority w:val="30"/>
    <w:qFormat/>
    <w:rsid w:val="00EB7C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7C8C"/>
    <w:rPr>
      <w:i/>
      <w:iCs/>
      <w:color w:val="0F4761" w:themeColor="accent1" w:themeShade="BF"/>
    </w:rPr>
  </w:style>
  <w:style w:type="character" w:styleId="IntenseReference">
    <w:name w:val="Intense Reference"/>
    <w:basedOn w:val="DefaultParagraphFont"/>
    <w:uiPriority w:val="32"/>
    <w:qFormat/>
    <w:rsid w:val="00EB7C8C"/>
    <w:rPr>
      <w:b/>
      <w:bCs/>
      <w:smallCaps/>
      <w:color w:val="0F4761" w:themeColor="accent1" w:themeShade="BF"/>
      <w:spacing w:val="5"/>
    </w:rPr>
  </w:style>
  <w:style w:type="character" w:styleId="Hyperlink">
    <w:name w:val="Hyperlink"/>
    <w:basedOn w:val="DefaultParagraphFont"/>
    <w:uiPriority w:val="99"/>
    <w:unhideWhenUsed/>
    <w:rsid w:val="00EB7C8C"/>
    <w:rPr>
      <w:color w:val="467886" w:themeColor="hyperlink"/>
      <w:u w:val="single"/>
    </w:rPr>
  </w:style>
  <w:style w:type="paragraph" w:styleId="TOCHeading">
    <w:name w:val="TOC Heading"/>
    <w:basedOn w:val="Heading1"/>
    <w:next w:val="Normal"/>
    <w:uiPriority w:val="39"/>
    <w:unhideWhenUsed/>
    <w:qFormat/>
    <w:rsid w:val="00EB7C8C"/>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EB7C8C"/>
    <w:pPr>
      <w:spacing w:after="100"/>
      <w:ind w:left="240"/>
    </w:pPr>
  </w:style>
  <w:style w:type="character" w:styleId="UnresolvedMention">
    <w:name w:val="Unresolved Mention"/>
    <w:basedOn w:val="DefaultParagraphFont"/>
    <w:uiPriority w:val="99"/>
    <w:semiHidden/>
    <w:unhideWhenUsed/>
    <w:rsid w:val="00682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rp.2017.06.007"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57/s42214-020-00062-w" TargetMode="External"/><Relationship Id="rId12" Type="http://schemas.openxmlformats.org/officeDocument/2006/relationships/hyperlink" Target="https://doi.org/10.1016/j.jom.2014.11.00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smj.4250130904" TargetMode="External"/><Relationship Id="rId11" Type="http://schemas.openxmlformats.org/officeDocument/2006/relationships/hyperlink" Target="https://doi.org/10.1177/0008125618790246" TargetMode="External"/><Relationship Id="rId5" Type="http://schemas.openxmlformats.org/officeDocument/2006/relationships/hyperlink" Target="https://doi.org/10.1177/014920639101700108" TargetMode="External"/><Relationship Id="rId10" Type="http://schemas.openxmlformats.org/officeDocument/2006/relationships/hyperlink" Target="https://doi.org/10.1111/jscm.12225" TargetMode="External"/><Relationship Id="rId4" Type="http://schemas.openxmlformats.org/officeDocument/2006/relationships/image" Target="media/image1.png"/><Relationship Id="rId9" Type="http://schemas.openxmlformats.org/officeDocument/2006/relationships/hyperlink" Target="https://doi.org/10.1108/0957409041070027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845</Words>
  <Characters>4823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2026-03-21T07:03:00Z</dcterms:created>
  <dcterms:modified xsi:type="dcterms:W3CDTF">2026-03-21T07:25:00Z</dcterms:modified>
</cp:coreProperties>
</file>