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7A191"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25B870F" wp14:editId="4C59243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D7E1723"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594A5CED"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14DBC751"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4E7A3263" w14:textId="77777777" w:rsidR="0019504D" w:rsidRDefault="0019504D"/>
    <w:p w14:paraId="40EBD023" w14:textId="77777777" w:rsidR="0019504D" w:rsidRDefault="0019504D"/>
    <w:p w14:paraId="319CB631" w14:textId="77777777" w:rsidR="0019504D" w:rsidRDefault="0019504D"/>
    <w:p w14:paraId="640649B8" w14:textId="77777777" w:rsidR="0019504D" w:rsidRDefault="0019504D"/>
    <w:p w14:paraId="60470277" w14:textId="77777777" w:rsidR="0019504D" w:rsidRDefault="0019504D"/>
    <w:p w14:paraId="1F367B48" w14:textId="77777777" w:rsidR="00CD620A" w:rsidRDefault="00CD620A"/>
    <w:p w14:paraId="082429CA" w14:textId="77777777" w:rsidR="00CD620A" w:rsidRDefault="00CD620A"/>
    <w:p w14:paraId="6E63D96F" w14:textId="77777777" w:rsidR="00CD620A" w:rsidRDefault="00CD620A"/>
    <w:p w14:paraId="07997A3A" w14:textId="77777777" w:rsidR="00CD620A" w:rsidRDefault="00CD620A"/>
    <w:p w14:paraId="25F2C323" w14:textId="77777777" w:rsidR="00CD620A" w:rsidRDefault="00CD620A"/>
    <w:p w14:paraId="6D34D4CD" w14:textId="77777777" w:rsidR="00EA737F" w:rsidRDefault="00EA737F"/>
    <w:p w14:paraId="1ED4BA6E" w14:textId="77777777" w:rsidR="0019504D" w:rsidRDefault="0019504D"/>
    <w:p w14:paraId="6200CE79" w14:textId="77777777" w:rsidR="0019504D" w:rsidRDefault="0019504D"/>
    <w:p w14:paraId="53FDE0DB"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4DA816C9" w14:textId="77777777" w:rsidR="00CA2604" w:rsidRDefault="00CA2604" w:rsidP="00EA737F">
      <w:pPr>
        <w:spacing w:line="276" w:lineRule="auto"/>
        <w:rPr>
          <w:b/>
          <w:bCs/>
          <w:lang w:val="en-US"/>
        </w:rPr>
      </w:pPr>
    </w:p>
    <w:p w14:paraId="447F0612" w14:textId="77777777" w:rsidR="00CA2604" w:rsidRPr="00EA737F" w:rsidRDefault="00CA2604" w:rsidP="00EA737F">
      <w:pPr>
        <w:spacing w:line="276" w:lineRule="auto"/>
        <w:rPr>
          <w:b/>
          <w:bCs/>
          <w:lang w:val="en-US"/>
        </w:rPr>
      </w:pPr>
    </w:p>
    <w:p w14:paraId="5818AD57" w14:textId="77777777" w:rsidR="00EA737F" w:rsidRDefault="00EA737F" w:rsidP="00EA737F">
      <w:pPr>
        <w:spacing w:line="276" w:lineRule="auto"/>
        <w:rPr>
          <w:lang w:val="en-US"/>
        </w:rPr>
      </w:pPr>
    </w:p>
    <w:p w14:paraId="45BEC36A"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5CBDB443" w14:textId="77777777" w:rsidR="00FF0488" w:rsidRDefault="00FF0488" w:rsidP="00CA2604">
      <w:pPr>
        <w:spacing w:line="276" w:lineRule="auto"/>
        <w:rPr>
          <w:lang w:val="en-US"/>
        </w:rPr>
      </w:pPr>
    </w:p>
    <w:p w14:paraId="025AE6AA" w14:textId="77777777" w:rsidR="00FF0488" w:rsidRDefault="00FF0488" w:rsidP="00CA2604">
      <w:pPr>
        <w:spacing w:line="276" w:lineRule="auto"/>
        <w:rPr>
          <w:lang w:val="en-US"/>
        </w:rPr>
      </w:pPr>
    </w:p>
    <w:p w14:paraId="310B4744" w14:textId="77777777" w:rsidR="00FF0488" w:rsidRDefault="00FF0488" w:rsidP="00CA2604">
      <w:pPr>
        <w:spacing w:line="276" w:lineRule="auto"/>
        <w:rPr>
          <w:lang w:val="en-US"/>
        </w:rPr>
      </w:pPr>
    </w:p>
    <w:p w14:paraId="2BA6CE27" w14:textId="77777777" w:rsidR="00FF0488" w:rsidRDefault="00FF0488" w:rsidP="00CA2604">
      <w:pPr>
        <w:spacing w:line="276" w:lineRule="auto"/>
        <w:rPr>
          <w:lang w:val="en-US"/>
        </w:rPr>
      </w:pPr>
    </w:p>
    <w:p w14:paraId="541B145D" w14:textId="77777777" w:rsidR="00FF0488" w:rsidRDefault="00FF0488" w:rsidP="00CA2604">
      <w:pPr>
        <w:spacing w:line="276" w:lineRule="auto"/>
        <w:rPr>
          <w:lang w:val="en-US"/>
        </w:rPr>
      </w:pPr>
    </w:p>
    <w:p w14:paraId="64209DBD" w14:textId="77777777" w:rsidR="00FF0488" w:rsidRDefault="00FF0488" w:rsidP="00CA2604">
      <w:pPr>
        <w:spacing w:line="276" w:lineRule="auto"/>
        <w:rPr>
          <w:lang w:val="en-US"/>
        </w:rPr>
      </w:pPr>
    </w:p>
    <w:p w14:paraId="6D461CF5" w14:textId="77777777" w:rsidR="00FF0488" w:rsidRDefault="00FF0488" w:rsidP="00CA2604">
      <w:pPr>
        <w:spacing w:line="276" w:lineRule="auto"/>
        <w:rPr>
          <w:lang w:val="en-US"/>
        </w:rPr>
      </w:pPr>
    </w:p>
    <w:p w14:paraId="4F81FFF3" w14:textId="77777777" w:rsidR="00FF0488" w:rsidRDefault="00FF0488" w:rsidP="00CA2604">
      <w:pPr>
        <w:spacing w:line="276" w:lineRule="auto"/>
        <w:rPr>
          <w:lang w:val="en-US"/>
        </w:rPr>
      </w:pPr>
    </w:p>
    <w:p w14:paraId="74071432" w14:textId="77777777" w:rsidR="00FF0488" w:rsidRDefault="00FF0488" w:rsidP="00CA2604">
      <w:pPr>
        <w:spacing w:line="276" w:lineRule="auto"/>
        <w:rPr>
          <w:lang w:val="en-US"/>
        </w:rPr>
      </w:pPr>
    </w:p>
    <w:p w14:paraId="3ACD0AE5" w14:textId="77777777" w:rsidR="00FF0488" w:rsidRDefault="00FF0488" w:rsidP="00CA2604">
      <w:pPr>
        <w:spacing w:line="276" w:lineRule="auto"/>
        <w:rPr>
          <w:lang w:val="en-US"/>
        </w:rPr>
      </w:pPr>
    </w:p>
    <w:p w14:paraId="7B95AD39" w14:textId="77777777" w:rsidR="00FF0488" w:rsidRDefault="00FF0488" w:rsidP="00CA2604">
      <w:pPr>
        <w:spacing w:line="276" w:lineRule="auto"/>
        <w:rPr>
          <w:lang w:val="en-US"/>
        </w:rPr>
      </w:pPr>
    </w:p>
    <w:p w14:paraId="40A89439" w14:textId="77777777" w:rsidR="00FF0488" w:rsidRDefault="00FF0488" w:rsidP="00CA2604">
      <w:pPr>
        <w:spacing w:line="276" w:lineRule="auto"/>
        <w:rPr>
          <w:lang w:val="en-US"/>
        </w:rPr>
      </w:pPr>
    </w:p>
    <w:p w14:paraId="42E105BB" w14:textId="77777777" w:rsidR="00FF0488" w:rsidRDefault="00FF0488" w:rsidP="00CA2604">
      <w:pPr>
        <w:spacing w:line="276" w:lineRule="auto"/>
        <w:rPr>
          <w:lang w:val="en-US"/>
        </w:rPr>
      </w:pPr>
    </w:p>
    <w:p w14:paraId="6A10BB5D" w14:textId="77777777" w:rsidR="00FF0488" w:rsidRDefault="00FF0488" w:rsidP="00CA2604">
      <w:pPr>
        <w:spacing w:line="276" w:lineRule="auto"/>
        <w:rPr>
          <w:lang w:val="en-US"/>
        </w:rPr>
      </w:pPr>
    </w:p>
    <w:p w14:paraId="18BE8C0F" w14:textId="77777777" w:rsidR="00FF0488" w:rsidRDefault="00FF0488" w:rsidP="00CA2604">
      <w:pPr>
        <w:spacing w:line="276" w:lineRule="auto"/>
        <w:rPr>
          <w:lang w:val="en-US"/>
        </w:rPr>
      </w:pPr>
    </w:p>
    <w:p w14:paraId="3A78DE1E" w14:textId="77777777" w:rsidR="00FF0488" w:rsidRDefault="00FF0488" w:rsidP="00CA2604">
      <w:pPr>
        <w:spacing w:line="276" w:lineRule="auto"/>
        <w:rPr>
          <w:lang w:val="en-US"/>
        </w:rPr>
      </w:pPr>
    </w:p>
    <w:p w14:paraId="4AB705CE" w14:textId="77777777" w:rsidR="00FF0488" w:rsidRDefault="00FF0488" w:rsidP="00CA2604">
      <w:pPr>
        <w:spacing w:line="276" w:lineRule="auto"/>
        <w:rPr>
          <w:lang w:val="en-US"/>
        </w:rPr>
      </w:pPr>
    </w:p>
    <w:p w14:paraId="7C0CD463" w14:textId="77777777" w:rsidR="00FF0488" w:rsidRDefault="00FF0488" w:rsidP="00CA2604">
      <w:pPr>
        <w:spacing w:line="276" w:lineRule="auto"/>
        <w:rPr>
          <w:lang w:val="en-US"/>
        </w:rPr>
      </w:pPr>
    </w:p>
    <w:p w14:paraId="1D34BBDB" w14:textId="77777777" w:rsidR="00FF0488" w:rsidRDefault="00FF0488" w:rsidP="00CA2604">
      <w:pPr>
        <w:spacing w:line="276" w:lineRule="auto"/>
        <w:rPr>
          <w:lang w:val="en-US"/>
        </w:rPr>
      </w:pPr>
    </w:p>
    <w:p w14:paraId="1F43DE01" w14:textId="77777777" w:rsidR="00FF0488" w:rsidRDefault="00FF0488" w:rsidP="00CA2604">
      <w:pPr>
        <w:spacing w:line="276" w:lineRule="auto"/>
        <w:rPr>
          <w:lang w:val="en-US"/>
        </w:rPr>
      </w:pPr>
    </w:p>
    <w:p w14:paraId="3F78F3D7" w14:textId="77777777" w:rsidR="0037112D" w:rsidRPr="0037112D" w:rsidRDefault="0037112D" w:rsidP="0037112D">
      <w:pPr>
        <w:spacing w:line="276" w:lineRule="auto"/>
        <w:rPr>
          <w:b/>
          <w:bCs/>
          <w:lang w:val="en-GB"/>
        </w:rPr>
      </w:pPr>
      <w:r w:rsidRPr="0037112D">
        <w:rPr>
          <w:b/>
          <w:bCs/>
          <w:lang w:val="en-GB"/>
        </w:rPr>
        <w:lastRenderedPageBreak/>
        <w:t>How can Canada benefit from applying the Global Code of Ethics for Tourism in practice?</w:t>
      </w:r>
    </w:p>
    <w:p w14:paraId="1E2F631A" w14:textId="77777777" w:rsidR="0037112D" w:rsidRPr="0037112D" w:rsidRDefault="0037112D" w:rsidP="0037112D">
      <w:pPr>
        <w:spacing w:line="276" w:lineRule="auto"/>
        <w:rPr>
          <w:lang w:val="en-GB"/>
        </w:rPr>
      </w:pPr>
      <w:r w:rsidRPr="0037112D">
        <w:rPr>
          <w:lang w:val="en-GB"/>
        </w:rPr>
        <w:t>The practical application of the Global Code of Ethics for Tourism (GCET), developed by the World Tourism Organization (UNWTO), can deliver substantial benefits to Canada by strengthening sustainable tourism governance, protecting indigenous cultures, and enhancing long-term economic resilience. As a destination known for its natural landscapes, multicultural society, and indigenous heritage, Canada faces ethical challenges related to environmental conservation, reconciliation, and equitable benefit distribution in tourism.</w:t>
      </w:r>
    </w:p>
    <w:p w14:paraId="1AF98C1A" w14:textId="77777777" w:rsidR="0037112D" w:rsidRPr="0037112D" w:rsidRDefault="0037112D" w:rsidP="0037112D">
      <w:pPr>
        <w:spacing w:line="276" w:lineRule="auto"/>
        <w:rPr>
          <w:lang w:val="en-GB"/>
        </w:rPr>
      </w:pPr>
      <w:r w:rsidRPr="0037112D">
        <w:rPr>
          <w:lang w:val="en-GB"/>
        </w:rPr>
        <w:t>A primary benefit of applying the GCET in Canada is environmental sustainability and responsible destination management. Canada’s tourism economy relies heavily on national parks, coastal regions, and wildlife-based tourism, which are vulnerable to climate change and overuse. The GCET emphasizes responsible consumption of natural resources and ecosystem protection. By embedding these principles into tourism planning, Canada can better manage visitor flows, reduce carbon impacts, and protect fragile ecosystems, particularly in Arctic and coastal regions (</w:t>
      </w:r>
      <w:proofErr w:type="spellStart"/>
      <w:r w:rsidRPr="0037112D">
        <w:rPr>
          <w:lang w:val="en-GB"/>
        </w:rPr>
        <w:t>Gössling</w:t>
      </w:r>
      <w:proofErr w:type="spellEnd"/>
      <w:r w:rsidRPr="0037112D">
        <w:rPr>
          <w:lang w:val="en-GB"/>
        </w:rPr>
        <w:t xml:space="preserve"> et al., 2012).</w:t>
      </w:r>
    </w:p>
    <w:p w14:paraId="72808900" w14:textId="77777777" w:rsidR="0037112D" w:rsidRPr="0037112D" w:rsidRDefault="0037112D" w:rsidP="0037112D">
      <w:pPr>
        <w:spacing w:line="276" w:lineRule="auto"/>
        <w:rPr>
          <w:lang w:val="en-GB"/>
        </w:rPr>
      </w:pPr>
      <w:r w:rsidRPr="0037112D">
        <w:rPr>
          <w:lang w:val="en-GB"/>
        </w:rPr>
        <w:t xml:space="preserve">Another important benefit is advancing Indigenous inclusion and cultural protection. Tourism development in Canada increasingly intersects with Indigenous lands, traditions, and governance rights. The GCET promotes respect for host communities, cultural authenticity, and social justice. Applying ethical tourism principles can support Indigenous-led tourism enterprises, protect cultural knowledge from exploitation, and encourage meaningful partnerships between Indigenous communities, governments, and tourism operators. This aligns with Canada’s reconciliation agenda and strengthens community empowerment (Whitford &amp; </w:t>
      </w:r>
      <w:proofErr w:type="spellStart"/>
      <w:r w:rsidRPr="0037112D">
        <w:rPr>
          <w:lang w:val="en-GB"/>
        </w:rPr>
        <w:t>Ruhanen</w:t>
      </w:r>
      <w:proofErr w:type="spellEnd"/>
      <w:r w:rsidRPr="0037112D">
        <w:rPr>
          <w:lang w:val="en-GB"/>
        </w:rPr>
        <w:t>, 2016).</w:t>
      </w:r>
    </w:p>
    <w:p w14:paraId="4814B0BF" w14:textId="77777777" w:rsidR="0037112D" w:rsidRPr="0037112D" w:rsidRDefault="0037112D" w:rsidP="0037112D">
      <w:pPr>
        <w:spacing w:line="276" w:lineRule="auto"/>
        <w:rPr>
          <w:lang w:val="en-GB"/>
        </w:rPr>
      </w:pPr>
      <w:r w:rsidRPr="0037112D">
        <w:rPr>
          <w:lang w:val="en-GB"/>
        </w:rPr>
        <w:t xml:space="preserve">The GCET also supports ethical employment and social responsibility within the tourism workforce. Canada’s tourism sector employs a diverse </w:t>
      </w:r>
      <w:proofErr w:type="spellStart"/>
      <w:r w:rsidRPr="0037112D">
        <w:rPr>
          <w:lang w:val="en-GB"/>
        </w:rPr>
        <w:t>labor</w:t>
      </w:r>
      <w:proofErr w:type="spellEnd"/>
      <w:r w:rsidRPr="0037112D">
        <w:rPr>
          <w:lang w:val="en-GB"/>
        </w:rPr>
        <w:t xml:space="preserve"> force, including migrants, seasonal workers, and youth. Ethical guidelines encourage fair working conditions, non-discrimination, and skills development. Implementing these standards can improve job quality, reduce </w:t>
      </w:r>
      <w:proofErr w:type="spellStart"/>
      <w:r w:rsidRPr="0037112D">
        <w:rPr>
          <w:lang w:val="en-GB"/>
        </w:rPr>
        <w:t>labor</w:t>
      </w:r>
      <w:proofErr w:type="spellEnd"/>
      <w:r w:rsidRPr="0037112D">
        <w:rPr>
          <w:lang w:val="en-GB"/>
        </w:rPr>
        <w:t xml:space="preserve"> precarity, and enhance service excellence, contributing to a more resilient tourism workforce (Baum et al., 2016).</w:t>
      </w:r>
    </w:p>
    <w:p w14:paraId="5CCD7104" w14:textId="77777777" w:rsidR="0037112D" w:rsidRPr="0037112D" w:rsidRDefault="0037112D" w:rsidP="0037112D">
      <w:pPr>
        <w:spacing w:line="276" w:lineRule="auto"/>
        <w:rPr>
          <w:lang w:val="en-GB"/>
        </w:rPr>
      </w:pPr>
      <w:r w:rsidRPr="0037112D">
        <w:rPr>
          <w:lang w:val="en-GB"/>
        </w:rPr>
        <w:t xml:space="preserve">Furthermore, applying the GCET enhances destination credibility and international competitiveness. Global </w:t>
      </w:r>
      <w:proofErr w:type="spellStart"/>
      <w:r w:rsidRPr="0037112D">
        <w:rPr>
          <w:lang w:val="en-GB"/>
        </w:rPr>
        <w:t>travelers</w:t>
      </w:r>
      <w:proofErr w:type="spellEnd"/>
      <w:r w:rsidRPr="0037112D">
        <w:rPr>
          <w:lang w:val="en-GB"/>
        </w:rPr>
        <w:t xml:space="preserve"> increasingly seek destinations that demonstrate ethical, sustainable, and socially responsible practices. By aligning tourism policies with international ethical standards, Canada can strengthen tourist trust, attract responsible </w:t>
      </w:r>
      <w:proofErr w:type="spellStart"/>
      <w:r w:rsidRPr="0037112D">
        <w:rPr>
          <w:lang w:val="en-GB"/>
        </w:rPr>
        <w:t>travelers</w:t>
      </w:r>
      <w:proofErr w:type="spellEnd"/>
      <w:r w:rsidRPr="0037112D">
        <w:rPr>
          <w:lang w:val="en-GB"/>
        </w:rPr>
        <w:t>, and secure long-term investment. Ethical governance also improves transparency and policy coherence across federal, provincial, and local tourism institutions (Bramwell &amp; Lane, 2011).</w:t>
      </w:r>
    </w:p>
    <w:p w14:paraId="50759A4B" w14:textId="77777777" w:rsidR="0037112D" w:rsidRPr="0037112D" w:rsidRDefault="0037112D" w:rsidP="0037112D">
      <w:pPr>
        <w:spacing w:line="276" w:lineRule="auto"/>
        <w:rPr>
          <w:lang w:val="en-GB"/>
        </w:rPr>
      </w:pPr>
      <w:r w:rsidRPr="0037112D">
        <w:rPr>
          <w:lang w:val="en-GB"/>
        </w:rPr>
        <w:t xml:space="preserve">In conclusion, applying the Global Code of Ethics for Tourism in practice can help Canada protect its natural environment, support Indigenous reconciliation, improve </w:t>
      </w:r>
      <w:proofErr w:type="spellStart"/>
      <w:r w:rsidRPr="0037112D">
        <w:rPr>
          <w:lang w:val="en-GB"/>
        </w:rPr>
        <w:t>labor</w:t>
      </w:r>
      <w:proofErr w:type="spellEnd"/>
      <w:r w:rsidRPr="0037112D">
        <w:rPr>
          <w:lang w:val="en-GB"/>
        </w:rPr>
        <w:t xml:space="preserve"> standards, and strengthen global competitiveness. Ethical tourism provides Canada with a strategic framework to ensure that tourism growth remains inclusive, responsible, and sustainable over the long term.</w:t>
      </w:r>
    </w:p>
    <w:p w14:paraId="4AAD020B" w14:textId="17906E78" w:rsidR="0037112D" w:rsidRPr="0037112D" w:rsidRDefault="0037112D" w:rsidP="0037112D">
      <w:pPr>
        <w:spacing w:line="276" w:lineRule="auto"/>
        <w:rPr>
          <w:b/>
          <w:bCs/>
          <w:lang w:val="en-GB"/>
        </w:rPr>
      </w:pPr>
    </w:p>
    <w:p w14:paraId="6A342ED2" w14:textId="77777777" w:rsidR="0037112D" w:rsidRPr="0037112D" w:rsidRDefault="0037112D" w:rsidP="0037112D">
      <w:pPr>
        <w:spacing w:line="276" w:lineRule="auto"/>
        <w:rPr>
          <w:b/>
          <w:bCs/>
          <w:lang w:val="en-GB"/>
        </w:rPr>
      </w:pPr>
      <w:r w:rsidRPr="0037112D">
        <w:rPr>
          <w:b/>
          <w:bCs/>
          <w:lang w:val="en-GB"/>
        </w:rPr>
        <w:t>References (DOI only)</w:t>
      </w:r>
    </w:p>
    <w:p w14:paraId="6EF50B6C" w14:textId="77777777" w:rsidR="0037112D" w:rsidRPr="0037112D" w:rsidRDefault="0037112D" w:rsidP="0037112D">
      <w:pPr>
        <w:numPr>
          <w:ilvl w:val="0"/>
          <w:numId w:val="2"/>
        </w:numPr>
        <w:spacing w:line="276" w:lineRule="auto"/>
        <w:rPr>
          <w:b/>
          <w:bCs/>
          <w:lang w:val="en-GB"/>
        </w:rPr>
      </w:pPr>
      <w:r w:rsidRPr="0037112D">
        <w:rPr>
          <w:b/>
          <w:bCs/>
          <w:lang w:val="en-GB"/>
        </w:rPr>
        <w:lastRenderedPageBreak/>
        <w:t xml:space="preserve">Baum, T., Kralj, A., Robinson, R. N. S., &amp; </w:t>
      </w:r>
      <w:proofErr w:type="spellStart"/>
      <w:r w:rsidRPr="0037112D">
        <w:rPr>
          <w:b/>
          <w:bCs/>
          <w:lang w:val="en-GB"/>
        </w:rPr>
        <w:t>Solnet</w:t>
      </w:r>
      <w:proofErr w:type="spellEnd"/>
      <w:r w:rsidRPr="0037112D">
        <w:rPr>
          <w:b/>
          <w:bCs/>
          <w:lang w:val="en-GB"/>
        </w:rPr>
        <w:t xml:space="preserve">, D. J. (2016). Tourism workforce research: A review. </w:t>
      </w:r>
      <w:r w:rsidRPr="0037112D">
        <w:rPr>
          <w:b/>
          <w:bCs/>
          <w:i/>
          <w:iCs/>
          <w:lang w:val="en-GB"/>
        </w:rPr>
        <w:t>Annals of Tourism Research, 60</w:t>
      </w:r>
      <w:r w:rsidRPr="0037112D">
        <w:rPr>
          <w:b/>
          <w:bCs/>
          <w:lang w:val="en-GB"/>
        </w:rPr>
        <w:t>, 1–22. https://doi.org/10.1016/j.annals.2016.05.003</w:t>
      </w:r>
    </w:p>
    <w:p w14:paraId="49C425F8" w14:textId="77777777" w:rsidR="0037112D" w:rsidRPr="0037112D" w:rsidRDefault="0037112D" w:rsidP="0037112D">
      <w:pPr>
        <w:numPr>
          <w:ilvl w:val="0"/>
          <w:numId w:val="2"/>
        </w:numPr>
        <w:spacing w:line="276" w:lineRule="auto"/>
        <w:rPr>
          <w:b/>
          <w:bCs/>
          <w:lang w:val="en-GB"/>
        </w:rPr>
      </w:pPr>
      <w:r w:rsidRPr="0037112D">
        <w:rPr>
          <w:b/>
          <w:bCs/>
          <w:lang w:val="en-GB"/>
        </w:rPr>
        <w:t xml:space="preserve">Bramwell, B., &amp; Lane, B. (2011). Critical research on governance for sustainable tourism. </w:t>
      </w:r>
      <w:r w:rsidRPr="0037112D">
        <w:rPr>
          <w:b/>
          <w:bCs/>
          <w:i/>
          <w:iCs/>
          <w:lang w:val="en-GB"/>
        </w:rPr>
        <w:t>Journal of Sustainable Tourism, 19</w:t>
      </w:r>
      <w:r w:rsidRPr="0037112D">
        <w:rPr>
          <w:b/>
          <w:bCs/>
          <w:lang w:val="en-GB"/>
        </w:rPr>
        <w:t xml:space="preserve">(4–5), 411–421. </w:t>
      </w:r>
      <w:hyperlink r:id="rId6" w:tgtFrame="_new" w:history="1">
        <w:r w:rsidRPr="0037112D">
          <w:rPr>
            <w:rStyle w:val="Hyperlink"/>
            <w:b/>
            <w:bCs/>
            <w:lang w:val="en-GB"/>
          </w:rPr>
          <w:t>https://doi.org/10.1080/09669582.2011.580586</w:t>
        </w:r>
      </w:hyperlink>
    </w:p>
    <w:p w14:paraId="04F17F20" w14:textId="77777777" w:rsidR="0037112D" w:rsidRPr="0037112D" w:rsidRDefault="0037112D" w:rsidP="0037112D">
      <w:pPr>
        <w:numPr>
          <w:ilvl w:val="0"/>
          <w:numId w:val="2"/>
        </w:numPr>
        <w:spacing w:line="276" w:lineRule="auto"/>
        <w:rPr>
          <w:b/>
          <w:bCs/>
          <w:lang w:val="en-GB"/>
        </w:rPr>
      </w:pPr>
      <w:proofErr w:type="spellStart"/>
      <w:r w:rsidRPr="0037112D">
        <w:rPr>
          <w:b/>
          <w:bCs/>
          <w:lang w:val="en-GB"/>
        </w:rPr>
        <w:t>Gössling</w:t>
      </w:r>
      <w:proofErr w:type="spellEnd"/>
      <w:r w:rsidRPr="0037112D">
        <w:rPr>
          <w:b/>
          <w:bCs/>
          <w:lang w:val="en-GB"/>
        </w:rPr>
        <w:t xml:space="preserve">, S., Scott, D., Hall, C. M., Ceron, J.-P., &amp; Dubois, G. (2012). Consumer behaviour and climate change. </w:t>
      </w:r>
      <w:r w:rsidRPr="0037112D">
        <w:rPr>
          <w:b/>
          <w:bCs/>
          <w:i/>
          <w:iCs/>
          <w:lang w:val="en-GB"/>
        </w:rPr>
        <w:t>Annals of Tourism Research, 39</w:t>
      </w:r>
      <w:r w:rsidRPr="0037112D">
        <w:rPr>
          <w:b/>
          <w:bCs/>
          <w:lang w:val="en-GB"/>
        </w:rPr>
        <w:t>(1), 36–58. https://doi.org/10.1016/j.annals.2011.06.002</w:t>
      </w:r>
    </w:p>
    <w:p w14:paraId="3FA6B4E8" w14:textId="77777777" w:rsidR="0037112D" w:rsidRPr="0037112D" w:rsidRDefault="0037112D" w:rsidP="0037112D">
      <w:pPr>
        <w:numPr>
          <w:ilvl w:val="0"/>
          <w:numId w:val="2"/>
        </w:numPr>
        <w:spacing w:line="276" w:lineRule="auto"/>
        <w:rPr>
          <w:b/>
          <w:bCs/>
          <w:lang w:val="en-GB"/>
        </w:rPr>
      </w:pPr>
      <w:r w:rsidRPr="0037112D">
        <w:rPr>
          <w:b/>
          <w:bCs/>
          <w:lang w:val="en-GB"/>
        </w:rPr>
        <w:t xml:space="preserve">Whitford, M., &amp; </w:t>
      </w:r>
      <w:proofErr w:type="spellStart"/>
      <w:r w:rsidRPr="0037112D">
        <w:rPr>
          <w:b/>
          <w:bCs/>
          <w:lang w:val="en-GB"/>
        </w:rPr>
        <w:t>Ruhanen</w:t>
      </w:r>
      <w:proofErr w:type="spellEnd"/>
      <w:r w:rsidRPr="0037112D">
        <w:rPr>
          <w:b/>
          <w:bCs/>
          <w:lang w:val="en-GB"/>
        </w:rPr>
        <w:t xml:space="preserve">, L. (2016). Indigenous tourism businesses in Australia. </w:t>
      </w:r>
      <w:r w:rsidRPr="0037112D">
        <w:rPr>
          <w:b/>
          <w:bCs/>
          <w:i/>
          <w:iCs/>
          <w:lang w:val="en-GB"/>
        </w:rPr>
        <w:t>Tourism Management, 52</w:t>
      </w:r>
      <w:r w:rsidRPr="0037112D">
        <w:rPr>
          <w:b/>
          <w:bCs/>
          <w:lang w:val="en-GB"/>
        </w:rPr>
        <w:t>, 65–76. https://doi.org/10.1016/j.tourman.2015.06.014</w:t>
      </w:r>
    </w:p>
    <w:p w14:paraId="775DD3DB" w14:textId="77777777" w:rsidR="00FF0488" w:rsidRPr="00903466" w:rsidRDefault="00FF0488" w:rsidP="0037112D">
      <w:pPr>
        <w:spacing w:line="276" w:lineRule="auto"/>
        <w:rPr>
          <w:lang w:val="en-US"/>
        </w:rPr>
      </w:pPr>
    </w:p>
    <w:sectPr w:rsidR="00FF0488"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DDB1376-C32D-4D29-91E1-CA5F26CAA6E5}"/>
    <w:embedBold r:id="rId2" w:fontKey="{7F6B4CD9-17B6-4B00-AC49-80A0AE97D8F2}"/>
    <w:embedBoldItalic r:id="rId3" w:fontKey="{BAB9F925-2824-4B3D-96BC-9E9E9933903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27EBD38-CAC7-4DA0-AF7E-D4278C43ACB4}"/>
  </w:font>
  <w:font w:name="Calibri Light">
    <w:panose1 w:val="020F0302020204030204"/>
    <w:charset w:val="00"/>
    <w:family w:val="swiss"/>
    <w:pitch w:val="variable"/>
    <w:sig w:usb0="E4002EFF" w:usb1="C000247B" w:usb2="00000009" w:usb3="00000000" w:csb0="000001FF" w:csb1="00000000"/>
    <w:embedRegular r:id="rId5" w:fontKey="{8DAE32F6-1093-4AC2-A823-CECFC82570C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B0162"/>
    <w:multiLevelType w:val="multilevel"/>
    <w:tmpl w:val="8DBA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B14029"/>
    <w:multiLevelType w:val="multilevel"/>
    <w:tmpl w:val="4882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367739">
    <w:abstractNumId w:val="0"/>
  </w:num>
  <w:num w:numId="2" w16cid:durableId="780494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4233F"/>
    <w:rsid w:val="001700EC"/>
    <w:rsid w:val="00174BB1"/>
    <w:rsid w:val="0019504D"/>
    <w:rsid w:val="00224FD9"/>
    <w:rsid w:val="002F4AE0"/>
    <w:rsid w:val="0037112D"/>
    <w:rsid w:val="00384E8A"/>
    <w:rsid w:val="003D1074"/>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25F5B"/>
    <w:rsid w:val="00F837B1"/>
    <w:rsid w:val="00FF048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DDB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37112D"/>
    <w:rPr>
      <w:color w:val="0563C1" w:themeColor="hyperlink"/>
      <w:u w:val="single"/>
    </w:rPr>
  </w:style>
  <w:style w:type="character" w:styleId="UnresolvedMention">
    <w:name w:val="Unresolved Mention"/>
    <w:basedOn w:val="DefaultParagraphFont"/>
    <w:uiPriority w:val="99"/>
    <w:semiHidden/>
    <w:unhideWhenUsed/>
    <w:rsid w:val="003711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2.2011.58058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643</Words>
  <Characters>3671</Characters>
  <Application>Microsoft Office Word</Application>
  <DocSecurity>0</DocSecurity>
  <Lines>30</Lines>
  <Paragraphs>8</Paragraphs>
  <ScaleCrop>false</ScaleCrop>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2026-01-27T06:58:00Z</dcterms:created>
  <dcterms:modified xsi:type="dcterms:W3CDTF">2026-01-27T06:58:00Z</dcterms:modified>
</cp:coreProperties>
</file>