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0" w:after="360"/>
        <w:jc w:val="center"/>
      </w:pPr>
      <w:r>
        <w:rPr>
          <w:rFonts w:ascii="Times New Roman" w:hAnsi="Times New Roman" w:eastAsia="Times New Roman"/>
          <w:b/>
          <w:sz w:val="24"/>
        </w:rPr>
        <w:t>Algorithmic Pricing, Consumer Welfare and Demand Elasticity: Evidence from Delta Air Lines and Marriott International</w:t>
      </w:r>
    </w:p>
    <w:p>
      <w:pPr>
        <w:spacing w:line="480" w:lineRule="auto"/>
        <w:jc w:val="center"/>
      </w:pPr>
      <w:r>
        <w:rPr>
          <w:rFonts w:ascii="Times New Roman" w:hAnsi="Times New Roman" w:eastAsia="Times New Roman"/>
          <w:b/>
          <w:sz w:val="24"/>
        </w:rPr>
        <w:t>Fundamentals of Economics – Detailed Project Report</w:t>
      </w:r>
    </w:p>
    <w:p>
      <w:pPr>
        <w:jc w:val="center"/>
      </w:pPr>
      <w:r>
        <w:rPr>
          <w:rFonts w:ascii="Times New Roman" w:hAnsi="Times New Roman" w:eastAsia="Times New Roman"/>
          <w:i/>
          <w:sz w:val="24"/>
        </w:rPr>
        <w:t>Option 1: Price Elasticity, Market Equilibrium, and Dynamic Pricing in Tourism</w:t>
      </w:r>
    </w:p>
    <w:p/>
    <w:p>
      <w:pPr>
        <w:spacing w:line="480" w:lineRule="auto"/>
        <w:jc w:val="center"/>
      </w:pPr>
      <w:r>
        <w:rPr>
          <w:rFonts w:ascii="Times New Roman" w:hAnsi="Times New Roman" w:eastAsia="Times New Roman"/>
          <w:sz w:val="24"/>
        </w:rPr>
        <w:t>Student: Student 2 – Name: ____________________</w:t>
      </w:r>
    </w:p>
    <w:p>
      <w:pPr>
        <w:spacing w:line="480" w:lineRule="auto"/>
        <w:jc w:val="center"/>
      </w:pPr>
      <w:r>
        <w:rPr>
          <w:rFonts w:ascii="Times New Roman" w:hAnsi="Times New Roman" w:eastAsia="Times New Roman"/>
          <w:sz w:val="24"/>
        </w:rPr>
        <w:t>Student ID: ____________________</w:t>
      </w:r>
    </w:p>
    <w:p>
      <w:pPr>
        <w:spacing w:line="480" w:lineRule="auto"/>
        <w:jc w:val="center"/>
      </w:pPr>
      <w:r>
        <w:rPr>
          <w:rFonts w:ascii="Times New Roman" w:hAnsi="Times New Roman" w:eastAsia="Times New Roman"/>
          <w:sz w:val="24"/>
        </w:rPr>
        <w:t>Module: Fundamentals of Economics</w:t>
      </w:r>
    </w:p>
    <w:p>
      <w:pPr>
        <w:spacing w:line="480" w:lineRule="auto"/>
        <w:jc w:val="center"/>
      </w:pPr>
      <w:r>
        <w:rPr>
          <w:rFonts w:ascii="Times New Roman" w:hAnsi="Times New Roman" w:eastAsia="Times New Roman"/>
          <w:sz w:val="24"/>
        </w:rPr>
        <w:t>Submission: Academic Year 2026</w:t>
      </w:r>
    </w:p>
    <w:p>
      <w:pPr>
        <w:spacing w:line="480" w:lineRule="auto"/>
        <w:jc w:val="center"/>
      </w:pPr>
      <w:r>
        <w:rPr>
          <w:rFonts w:ascii="Times New Roman" w:hAnsi="Times New Roman" w:eastAsia="Times New Roman"/>
          <w:sz w:val="24"/>
        </w:rPr>
        <w:t>Main-text word count: 4019</w:t>
      </w:r>
    </w:p>
    <w:p>
      <w:r>
        <w:br w:type="page"/>
      </w:r>
    </w:p>
    <w:p>
      <w:pPr>
        <w:pStyle w:val="Heading1"/>
        <w:pageBreakBefore w:val="0"/>
      </w:pPr>
      <w:r>
        <w:rPr>
          <w:rFonts w:ascii="Times New Roman" w:hAnsi="Times New Roman" w:eastAsia="Times New Roman"/>
          <w:b/>
          <w:sz w:val="24"/>
        </w:rPr>
        <w:t>Table of Contents</w:t>
      </w:r>
    </w:p>
    <w:p>
      <w:pPr>
        <w:tabs>
          <w:tab w:pos="8856" w:val="right" w:leader="dot"/>
        </w:tabs>
        <w:spacing w:line="480" w:lineRule="auto" w:before="0" w:after="0"/>
        <w:ind w:firstLine="0"/>
        <w:jc w:val="left"/>
      </w:pPr>
      <w:r>
        <w:rPr>
          <w:rFonts w:ascii="Times New Roman" w:hAnsi="Times New Roman"/>
          <w:sz w:val="24"/>
        </w:rPr>
        <w:t>Executive Summary</w:t>
      </w:r>
      <w:r>
        <w:rPr>
          <w:rFonts w:ascii="Times New Roman" w:hAnsi="Times New Roman"/>
          <w:sz w:val="24"/>
        </w:rPr>
        <w:tab/>
      </w:r>
      <w:r>
        <w:rPr>
          <w:rFonts w:ascii="Times New Roman" w:hAnsi="Times New Roman"/>
          <w:sz w:val="24"/>
        </w:rPr>
        <w:t>3</w:t>
        <w:br/>
      </w:r>
      <w:r>
        <w:rPr>
          <w:rFonts w:ascii="Times New Roman" w:hAnsi="Times New Roman"/>
          <w:sz w:val="24"/>
        </w:rPr>
        <w:t>Introduction</w:t>
      </w:r>
      <w:r>
        <w:rPr>
          <w:rFonts w:ascii="Times New Roman" w:hAnsi="Times New Roman"/>
          <w:sz w:val="24"/>
        </w:rPr>
        <w:tab/>
      </w:r>
      <w:r>
        <w:rPr>
          <w:rFonts w:ascii="Times New Roman" w:hAnsi="Times New Roman"/>
          <w:sz w:val="24"/>
        </w:rPr>
        <w:t>4</w:t>
        <w:br/>
      </w:r>
      <w:r>
        <w:rPr>
          <w:rFonts w:ascii="Times New Roman" w:hAnsi="Times New Roman"/>
          <w:sz w:val="24"/>
        </w:rPr>
        <w:t>Microeconomic Analysis &amp; Market Structure</w:t>
      </w:r>
      <w:r>
        <w:rPr>
          <w:rFonts w:ascii="Times New Roman" w:hAnsi="Times New Roman"/>
          <w:sz w:val="24"/>
        </w:rPr>
        <w:tab/>
      </w:r>
      <w:r>
        <w:rPr>
          <w:rFonts w:ascii="Times New Roman" w:hAnsi="Times New Roman"/>
          <w:sz w:val="24"/>
        </w:rPr>
        <w:t>6</w:t>
        <w:br/>
      </w:r>
      <w:r>
        <w:rPr>
          <w:rFonts w:ascii="Times New Roman" w:hAnsi="Times New Roman"/>
          <w:sz w:val="24"/>
        </w:rPr>
        <w:t>Macroeconomic Environment &amp; Policy Impact</w:t>
      </w:r>
      <w:r>
        <w:rPr>
          <w:rFonts w:ascii="Times New Roman" w:hAnsi="Times New Roman"/>
          <w:sz w:val="24"/>
        </w:rPr>
        <w:tab/>
      </w:r>
      <w:r>
        <w:rPr>
          <w:rFonts w:ascii="Times New Roman" w:hAnsi="Times New Roman"/>
          <w:sz w:val="24"/>
        </w:rPr>
        <w:t>10</w:t>
        <w:br/>
      </w:r>
      <w:r>
        <w:rPr>
          <w:rFonts w:ascii="Times New Roman" w:hAnsi="Times New Roman"/>
          <w:sz w:val="24"/>
        </w:rPr>
        <w:t>Empirical Data &amp; Case Study Analysis</w:t>
      </w:r>
      <w:r>
        <w:rPr>
          <w:rFonts w:ascii="Times New Roman" w:hAnsi="Times New Roman"/>
          <w:sz w:val="24"/>
        </w:rPr>
        <w:tab/>
      </w:r>
      <w:r>
        <w:rPr>
          <w:rFonts w:ascii="Times New Roman" w:hAnsi="Times New Roman"/>
          <w:sz w:val="24"/>
        </w:rPr>
        <w:t>12</w:t>
        <w:br/>
      </w:r>
      <w:r>
        <w:rPr>
          <w:rFonts w:ascii="Times New Roman" w:hAnsi="Times New Roman"/>
          <w:sz w:val="24"/>
        </w:rPr>
        <w:t>Strategic Implications for Tourism</w:t>
      </w:r>
      <w:r>
        <w:rPr>
          <w:rFonts w:ascii="Times New Roman" w:hAnsi="Times New Roman"/>
          <w:sz w:val="24"/>
        </w:rPr>
        <w:tab/>
      </w:r>
      <w:r>
        <w:rPr>
          <w:rFonts w:ascii="Times New Roman" w:hAnsi="Times New Roman"/>
          <w:sz w:val="24"/>
        </w:rPr>
        <w:t>18</w:t>
        <w:br/>
      </w:r>
      <w:r>
        <w:rPr>
          <w:rFonts w:ascii="Times New Roman" w:hAnsi="Times New Roman"/>
          <w:sz w:val="24"/>
        </w:rPr>
        <w:t>Conclusion &amp; Recommendations</w:t>
      </w:r>
      <w:r>
        <w:rPr>
          <w:rFonts w:ascii="Times New Roman" w:hAnsi="Times New Roman"/>
          <w:sz w:val="24"/>
        </w:rPr>
        <w:tab/>
      </w:r>
      <w:r>
        <w:rPr>
          <w:rFonts w:ascii="Times New Roman" w:hAnsi="Times New Roman"/>
          <w:sz w:val="24"/>
        </w:rPr>
        <w:t>21</w:t>
        <w:br/>
      </w:r>
      <w:r>
        <w:rPr>
          <w:rFonts w:ascii="Times New Roman" w:hAnsi="Times New Roman"/>
          <w:sz w:val="24"/>
        </w:rPr>
        <w:t>References</w:t>
      </w:r>
      <w:r>
        <w:rPr>
          <w:rFonts w:ascii="Times New Roman" w:hAnsi="Times New Roman"/>
          <w:sz w:val="24"/>
        </w:rPr>
        <w:tab/>
      </w:r>
      <w:r>
        <w:rPr>
          <w:rFonts w:ascii="Times New Roman" w:hAnsi="Times New Roman"/>
          <w:sz w:val="24"/>
        </w:rPr>
        <w:t>22</w:t>
        <w:br/>
      </w:r>
      <w:r>
        <w:rPr>
          <w:rFonts w:ascii="Times New Roman" w:hAnsi="Times New Roman"/>
          <w:sz w:val="24"/>
        </w:rPr>
        <w:t>Appendices</w:t>
      </w:r>
      <w:r>
        <w:rPr>
          <w:rFonts w:ascii="Times New Roman" w:hAnsi="Times New Roman"/>
          <w:sz w:val="24"/>
        </w:rPr>
        <w:tab/>
      </w:r>
      <w:r>
        <w:rPr>
          <w:rFonts w:ascii="Times New Roman" w:hAnsi="Times New Roman"/>
          <w:sz w:val="24"/>
        </w:rPr>
        <w:t>24</w:t>
      </w:r>
    </w:p>
    <w:p>
      <w:r>
        <w:br w:type="page"/>
      </w:r>
    </w:p>
    <w:p>
      <w:pPr>
        <w:pStyle w:val="Heading1"/>
        <w:pageBreakBefore w:val="0"/>
      </w:pPr>
      <w:r>
        <w:rPr>
          <w:rFonts w:ascii="Times New Roman" w:hAnsi="Times New Roman" w:eastAsia="Times New Roman"/>
          <w:b/>
          <w:sz w:val="24"/>
        </w:rPr>
        <w:t>Executive Summary</w:t>
      </w:r>
    </w:p>
    <w:p>
      <w:pPr>
        <w:spacing w:line="480" w:lineRule="auto" w:before="0" w:after="0"/>
        <w:ind w:firstLine="720"/>
        <w:jc w:val="both"/>
      </w:pPr>
      <w:r>
        <w:rPr>
          <w:rFonts w:ascii="Times New Roman" w:hAnsi="Times New Roman" w:eastAsia="Times New Roman"/>
          <w:sz w:val="24"/>
        </w:rPr>
        <w:t>This report investigates dynamic pricing from the perspective of consumer welfare and perceived fairness, using Delta Air Lines and Marriott International as contemporary tourism cases. The analysis begins with price elasticity of demand (PED) and income elasticity of demand (YED), but places particular emphasis on how algorithmic systems convert those elasticities into different prices over time. Research in airline markets shows that dynamic pricing can increase the efficiency of capacity allocation, yet its distributional effect depends on which travellers receive lower or higher prices and whether additional output is created (Williams, 2022). Research in digital travel booking similarly shows that customers judge variable prices through fairness cues, reference prices and the transparency of the mechanism rather than through economic efficiency alone (Alderighi et al., 2022).</w:t>
      </w:r>
    </w:p>
    <w:p>
      <w:pPr>
        <w:spacing w:line="480" w:lineRule="auto" w:before="0" w:after="0"/>
        <w:ind w:firstLine="720"/>
        <w:jc w:val="both"/>
      </w:pPr>
      <w:r>
        <w:rPr>
          <w:rFonts w:ascii="Times New Roman" w:hAnsi="Times New Roman" w:eastAsia="Times New Roman"/>
          <w:sz w:val="24"/>
        </w:rPr>
        <w:t>Delta's 2025 results illustrate why segmentation matters. The airline generated $63.364 billion in operating revenue and $51.768 billion in passenger revenue; premium-product ticket revenue rose 7% while main-cabin ticket revenue fell 5% year on year (Delta Air Lines, 2026). Marriott provides a lodging comparison: worldwide RevPAR increased 2.0% in 2025, its system approached 1.78 million rooms, and Bonvoy membership reached nearly 271 million (Marriott International, 2026). These businesses have rich data and strong loyalty ecosystems, increasing both the potential accuracy of demand prediction and the governance responsibility associated with personalisation. The report recommends “bounded personalisation”: use inventory, timing, product attributes and opt-in loyalty benefits to improve matching, but avoid price rules that appear to exploit an individual's inferred urgency. Transparent explanation, audit trails, price-consistency controls and long-run customer value should sit beside revenue as explicit objectives.</w:t>
      </w:r>
    </w:p>
    <w:p>
      <w:pPr>
        <w:pStyle w:val="Heading1"/>
        <w:pageBreakBefore/>
      </w:pPr>
      <w:r>
        <w:rPr>
          <w:rFonts w:ascii="Times New Roman" w:hAnsi="Times New Roman" w:eastAsia="Times New Roman"/>
          <w:b/>
          <w:sz w:val="24"/>
        </w:rPr>
        <w:t>Introduction</w:t>
      </w:r>
    </w:p>
    <w:p>
      <w:pPr>
        <w:spacing w:line="480" w:lineRule="auto" w:before="0" w:after="0"/>
        <w:ind w:firstLine="720"/>
        <w:jc w:val="both"/>
      </w:pPr>
      <w:r>
        <w:rPr>
          <w:rFonts w:ascii="Times New Roman" w:hAnsi="Times New Roman" w:eastAsia="Times New Roman"/>
          <w:sz w:val="24"/>
        </w:rPr>
        <w:t>The internet transformed tourism pricing by making prices easier to compare while simultaneously enabling sellers to update them more frequently. In an earlier fixed-price environment, an airline published fare classes and a hotel distributed relatively stable rate sheets. Today, digital channels can evaluate remaining capacity, search volume, booking pace, competitor rates, customer history and time to consumption in seconds. The resulting price is not simply a posted number; it is the output of a prediction and optimisation process. This technological shift creates a classic economic opportunity because customers have different willingness to pay, but it also creates a behavioural challenge because two customers can interpret different prices as evidence of unfair treatment.</w:t>
      </w:r>
    </w:p>
    <w:p>
      <w:pPr>
        <w:spacing w:line="480" w:lineRule="auto" w:before="0" w:after="0"/>
        <w:ind w:firstLine="720"/>
        <w:jc w:val="both"/>
      </w:pPr>
      <w:r>
        <w:rPr>
          <w:rFonts w:ascii="Times New Roman" w:hAnsi="Times New Roman" w:eastAsia="Times New Roman"/>
          <w:sz w:val="24"/>
        </w:rPr>
        <w:t>PED remains the starting point. If a 1% increase in price produces a quantity decline greater than 1%, the affected demand is elastic and the price increase tends to reduce revenue, all else equal. If the quantity response is smaller, the firm has greater short-run pricing power. Yet “the” elasticity of an airline route or hotel is an average across customers with different purposes and constraints. Business travellers, family holidaymakers, loyalty members and event visitors face different substitutes and different costs of delaying purchase. Algorithmic pricing becomes valuable because it can condition decisions on the demand state rather than applying one average rule.</w:t>
      </w:r>
    </w:p>
    <w:p>
      <w:pPr>
        <w:spacing w:line="480" w:lineRule="auto" w:before="0" w:after="0"/>
        <w:ind w:firstLine="720"/>
        <w:jc w:val="both"/>
      </w:pPr>
      <w:r>
        <w:rPr>
          <w:rFonts w:ascii="Times New Roman" w:hAnsi="Times New Roman" w:eastAsia="Times New Roman"/>
          <w:sz w:val="24"/>
        </w:rPr>
        <w:t>YED adds the income dimension. Premium cabins and luxury rooms are discretionary for many leisure customers, so demand can respond strongly to changes in disposable income. Midscale and select-service hotels can be more resilient when travellers trade down from luxury instead of cancelling the trip. The same income shock may therefore shift market share across price tiers even when aggregate arrivals change modestly. A revenue system that responds only to the hotel's own booking history may confuse a macroeconomic trading-down effect with a brand-specific loss of preference.</w:t>
      </w:r>
    </w:p>
    <w:p>
      <w:pPr>
        <w:spacing w:line="480" w:lineRule="auto" w:before="0" w:after="0"/>
        <w:ind w:firstLine="720"/>
        <w:jc w:val="both"/>
      </w:pPr>
      <w:r>
        <w:rPr>
          <w:rFonts w:ascii="Times New Roman" w:hAnsi="Times New Roman" w:eastAsia="Times New Roman"/>
          <w:sz w:val="24"/>
        </w:rPr>
        <w:t>This report differs from a narrow revenue-management study by asking who gains and loses from algorithmic pricing. Williams (2022) provides evidence that dynamic pricing in airline markets can alter total welfare and the distribution of surplus. Aryal et al. (2024) show that international airline markets provide substantial scope for price discrimination when travellers have heterogeneous valuations. The commercial implication is that a revenue gain is not automatically evidence of sustainable value creation. A firm can capture more consumer surplus today while damaging trust, switching behaviour and future demand.</w:t>
      </w:r>
    </w:p>
    <w:p>
      <w:pPr>
        <w:pStyle w:val="Heading1"/>
        <w:pageBreakBefore/>
      </w:pPr>
      <w:r>
        <w:rPr>
          <w:rFonts w:ascii="Times New Roman" w:hAnsi="Times New Roman" w:eastAsia="Times New Roman"/>
          <w:b/>
          <w:sz w:val="24"/>
        </w:rPr>
        <w:t>Microeconomic Analysis &amp; Market Structure</w:t>
      </w:r>
    </w:p>
    <w:p>
      <w:pPr>
        <w:pStyle w:val="Heading2"/>
      </w:pPr>
      <w:r>
        <w:rPr>
          <w:rFonts w:ascii="Times New Roman" w:hAnsi="Times New Roman" w:eastAsia="Times New Roman"/>
          <w:b/>
          <w:sz w:val="24"/>
        </w:rPr>
        <w:t>Segmented Elasticity and the Logic of Personalised Offers</w:t>
      </w:r>
    </w:p>
    <w:p>
      <w:pPr>
        <w:spacing w:line="480" w:lineRule="auto" w:before="0" w:after="0"/>
        <w:ind w:firstLine="720"/>
        <w:jc w:val="both"/>
      </w:pPr>
      <w:r>
        <w:rPr>
          <w:rFonts w:ascii="Times New Roman" w:hAnsi="Times New Roman" w:eastAsia="Times New Roman"/>
          <w:sz w:val="24"/>
        </w:rPr>
        <w:t>In tourism, substitution determines much of PED. A Delta customer flying between two major U.S. cities may compare several airlines, departure times and airports. A traveller to a hub-dominated destination may face fewer practical substitutes. Marriott guests can compare thousands of independent and branded hotels, short-term rentals and alternative neighbourhoods, yet a specific convention hotel on a sold-out night can temporarily gain market power. Elasticity therefore changes with geographic market definition, trip purpose, time and capacity.</w:t>
      </w:r>
    </w:p>
    <w:p>
      <w:pPr>
        <w:spacing w:line="480" w:lineRule="auto" w:before="0" w:after="0"/>
        <w:ind w:firstLine="720"/>
        <w:jc w:val="both"/>
      </w:pPr>
      <w:r>
        <w:rPr>
          <w:rFonts w:ascii="Times New Roman" w:hAnsi="Times New Roman" w:eastAsia="Times New Roman"/>
          <w:sz w:val="24"/>
        </w:rPr>
        <w:t>Personalisation attempts to infer these differences before the customer reveals them through purchase. A loyalty member's prior cabin choice, typical booking lead time and response to promotions can improve demand forecasts. Economically, better information reduces the seller's uncertainty about the position and slope of an individual or segment demand curve. However, personalised dynamic pricing is different from personalised marketing. Priester et al. (2020) find that a price described as individually tailored can trigger adverse fairness perceptions. The firm may gain informational rent but simultaneously raise the psychological cost of the transaction.</w:t>
      </w:r>
    </w:p>
    <w:p>
      <w:pPr>
        <w:spacing w:line="480" w:lineRule="auto" w:before="0" w:after="0"/>
        <w:ind w:firstLine="720"/>
        <w:jc w:val="both"/>
      </w:pPr>
      <w:r>
        <w:rPr>
          <w:rFonts w:ascii="Times New Roman" w:hAnsi="Times New Roman" w:eastAsia="Times New Roman"/>
          <w:sz w:val="24"/>
        </w:rPr>
        <w:t>A safer economic design distinguishes personalised value from personalised extraction. A hotel can personalise a package—late checkout, breakfast, room attributes or points—without changing the base room price solely because one guest appears willing to pay more. An airline can personalise upgrade offers based on unsold premium inventory while maintaining coherent public fare logic. This preserves the efficiency advantage of matching heterogeneous preferences while limiting the perception that the algorithm is charging a “penalty” for being a high-value customer.</w:t>
      </w:r>
    </w:p>
    <w:p>
      <w:pPr>
        <w:keepNext/>
        <w:jc w:val="center"/>
      </w:pPr>
      <w:r>
        <w:drawing>
          <wp:inline xmlns:a="http://schemas.openxmlformats.org/drawingml/2006/main" xmlns:pic="http://schemas.openxmlformats.org/drawingml/2006/picture">
            <wp:extent cx="5852160" cy="3366367"/>
            <wp:docPr id="1" name="Picture 1"/>
            <wp:cNvGraphicFramePr>
              <a:graphicFrameLocks noChangeAspect="1"/>
            </wp:cNvGraphicFramePr>
            <a:graphic>
              <a:graphicData uri="http://schemas.openxmlformats.org/drawingml/2006/picture">
                <pic:pic>
                  <pic:nvPicPr>
                    <pic:cNvPr id="0" name="figure_1.png"/>
                    <pic:cNvPicPr/>
                  </pic:nvPicPr>
                  <pic:blipFill>
                    <a:blip r:embed="rId10"/>
                    <a:stretch>
                      <a:fillRect/>
                    </a:stretch>
                  </pic:blipFill>
                  <pic:spPr>
                    <a:xfrm>
                      <a:off x="0" y="0"/>
                      <a:ext cx="5852160" cy="3366367"/>
                    </a:xfrm>
                    <a:prstGeom prst="rect"/>
                  </pic:spPr>
                </pic:pic>
              </a:graphicData>
            </a:graphic>
          </wp:inline>
        </w:drawing>
      </w:r>
    </w:p>
    <w:p>
      <w:pPr>
        <w:spacing w:line="240" w:lineRule="auto" w:after="120"/>
        <w:jc w:val="center"/>
      </w:pPr>
      <w:r>
        <w:rPr>
          <w:rFonts w:ascii="Times New Roman" w:hAnsi="Times New Roman" w:eastAsia="Times New Roman"/>
          <w:i/>
          <w:sz w:val="20"/>
        </w:rPr>
        <w:t>Figure 1. Illustrative price variation across booking situations. The figure demonstrates segmentation mechanics and does not reproduce Delta or Marriott proprietary prices.</w:t>
      </w:r>
    </w:p>
    <w:p>
      <w:pPr>
        <w:pStyle w:val="Heading2"/>
      </w:pPr>
      <w:r>
        <w:rPr>
          <w:rFonts w:ascii="Times New Roman" w:hAnsi="Times New Roman" w:eastAsia="Times New Roman"/>
          <w:b/>
          <w:sz w:val="24"/>
        </w:rPr>
        <w:t>Income Elasticity, Premiumisation and Trading Down</w:t>
      </w:r>
    </w:p>
    <w:p>
      <w:pPr>
        <w:spacing w:line="480" w:lineRule="auto" w:before="0" w:after="0"/>
        <w:ind w:firstLine="720"/>
        <w:jc w:val="both"/>
      </w:pPr>
      <w:r>
        <w:rPr>
          <w:rFonts w:ascii="Times New Roman" w:hAnsi="Times New Roman" w:eastAsia="Times New Roman"/>
          <w:sz w:val="24"/>
        </w:rPr>
        <w:t>Delta's reported 2025 mix provides an instructive signal. Premium-product ticket revenue increased 7% to $22.097 billion, while main-cabin ticket revenue decreased 5% to $23.391 billion (Delta Air Lines, 2026). These figures do not directly estimate YED, because product mix is also affected by capacity, corporate travel, loyalty and strategy. They do show that premium demand can evolve differently from the mass-market cabin, making a single aggregate demand forecast less useful for pricing. A macroeconomic slowdown could reverse or moderate this divergence, especially if households substitute toward basic economy or defer discretionary upgrades.</w:t>
      </w:r>
    </w:p>
    <w:p>
      <w:pPr>
        <w:spacing w:line="480" w:lineRule="auto" w:before="0" w:after="0"/>
        <w:ind w:firstLine="720"/>
        <w:jc w:val="both"/>
      </w:pPr>
      <w:r>
        <w:rPr>
          <w:rFonts w:ascii="Times New Roman" w:hAnsi="Times New Roman" w:eastAsia="Times New Roman"/>
          <w:sz w:val="24"/>
        </w:rPr>
        <w:t>Marriott faces a similar portfolio issue across luxury, premium, select and midscale lodging. Luxury travel can have high positive YED because guests buy space, exclusivity and experience above the minimum required accommodation service. Select-service demand includes more price-conscious leisure and corporate travellers. Consequently, changes in real income can alter not only total room nights but the mix of brands selected. Managers should model cross-price elasticity across their own brand tiers, because a rate increase at one property may divert a guest to another brand in the same portfolio rather than lose the guest to a competitor.</w:t>
      </w:r>
    </w:p>
    <w:p>
      <w:pPr>
        <w:spacing w:line="480" w:lineRule="auto" w:before="0" w:after="0"/>
        <w:ind w:firstLine="720"/>
        <w:jc w:val="both"/>
      </w:pPr>
      <w:r>
        <w:rPr>
          <w:rFonts w:ascii="Times New Roman" w:hAnsi="Times New Roman" w:eastAsia="Times New Roman"/>
          <w:sz w:val="24"/>
        </w:rPr>
        <w:t>The strategic objective is contribution at portfolio level. If a luxury rate increase shifts an elastic guest to a sister midscale brand, some consumer surplus is preserved and the group retains the customer relationship. If the same increase pushes the guest to a rival platform or alternative accommodation, future loyalty value may be lost. Dynamic pricing should therefore incorporate substitution pathways, not treat each hotel or cabin as an isolated profit centre.</w:t>
      </w:r>
    </w:p>
    <w:p>
      <w:pPr>
        <w:spacing w:line="240" w:lineRule="auto" w:after="120"/>
        <w:jc w:val="center"/>
      </w:pPr>
      <w:r>
        <w:rPr>
          <w:rFonts w:ascii="Times New Roman" w:hAnsi="Times New Roman" w:eastAsia="Times New Roman"/>
          <w:i/>
          <w:sz w:val="20"/>
        </w:rPr>
        <w:t>Table 1. Elasticity patterns relevant to Delta and Marriott</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244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Demand condition</w:t>
            </w:r>
          </w:p>
        </w:tc>
        <w:tc>
          <w:tcPr>
            <w:tcW w:type="dxa" w:w="3024"/>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Likely elasticity effect</w:t>
            </w:r>
          </w:p>
        </w:tc>
        <w:tc>
          <w:tcPr>
            <w:tcW w:type="dxa" w:w="316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Managerial response</w:t>
            </w:r>
          </w:p>
        </w:tc>
      </w:tr>
      <w:tr>
        <w:tc>
          <w:tcPr>
            <w:tcW w:type="dxa" w:w="244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Late, time-critical air travel</w:t>
            </w:r>
          </w:p>
        </w:tc>
        <w:tc>
          <w:tcPr>
            <w:tcW w:type="dxa" w:w="302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Lower PED when substitutes are costly</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Protect scarce inventory but monitor competitive schedules</w:t>
            </w:r>
          </w:p>
        </w:tc>
      </w:tr>
      <w:tr>
        <w:tc>
          <w:tcPr>
            <w:tcW w:type="dxa" w:w="244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Early leisure search</w:t>
            </w:r>
          </w:p>
        </w:tc>
        <w:tc>
          <w:tcPr>
            <w:tcW w:type="dxa" w:w="302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Higher PED and high comparison intensity</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Use advance-purchase value and targeted packages</w:t>
            </w:r>
          </w:p>
        </w:tc>
      </w:tr>
      <w:tr>
        <w:tc>
          <w:tcPr>
            <w:tcW w:type="dxa" w:w="244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Luxury discretionary stay</w:t>
            </w:r>
          </w:p>
        </w:tc>
        <w:tc>
          <w:tcPr>
            <w:tcW w:type="dxa" w:w="302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 positive YED for many leisure guests</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Track income/confidence and trade-down behaviour</w:t>
            </w:r>
          </w:p>
        </w:tc>
      </w:tr>
      <w:tr>
        <w:tc>
          <w:tcPr>
            <w:tcW w:type="dxa" w:w="244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Convention/special event</w:t>
            </w:r>
          </w:p>
        </w:tc>
        <w:tc>
          <w:tcPr>
            <w:tcW w:type="dxa" w:w="302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Short-run PED may fall as local capacity tightens</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Use scarcity pricing with visible terms</w:t>
            </w:r>
          </w:p>
        </w:tc>
      </w:tr>
      <w:tr>
        <w:tc>
          <w:tcPr>
            <w:tcW w:type="dxa" w:w="244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Loyalty member with alternatives</w:t>
            </w:r>
          </w:p>
        </w:tc>
        <w:tc>
          <w:tcPr>
            <w:tcW w:type="dxa" w:w="302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Switching costs lower PED, but trust has long-run value</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Prefer benefits and product differentiation to opaque individual mark-ups</w:t>
            </w:r>
          </w:p>
        </w:tc>
      </w:tr>
    </w:tbl>
    <w:p>
      <w:pPr>
        <w:spacing w:after="120"/>
      </w:pPr>
    </w:p>
    <w:p>
      <w:pPr>
        <w:pStyle w:val="Heading2"/>
      </w:pPr>
      <w:r>
        <w:rPr>
          <w:rFonts w:ascii="Times New Roman" w:hAnsi="Times New Roman" w:eastAsia="Times New Roman"/>
          <w:b/>
          <w:sz w:val="24"/>
        </w:rPr>
        <w:t>Consumer Surplus, Deadweight Loss and Market Clearing</w:t>
      </w:r>
    </w:p>
    <w:p>
      <w:pPr>
        <w:spacing w:line="480" w:lineRule="auto" w:before="0" w:after="0"/>
        <w:ind w:firstLine="720"/>
        <w:jc w:val="both"/>
      </w:pPr>
      <w:r>
        <w:rPr>
          <w:rFonts w:ascii="Times New Roman" w:hAnsi="Times New Roman" w:eastAsia="Times New Roman"/>
          <w:sz w:val="24"/>
        </w:rPr>
        <w:t>A uniform price can be inefficient when willingness to pay varies widely. If a carrier sets one high price to capture business demand, price-sensitive leisure customers who could have filled otherwise empty seats may be excluded. If it sets one low price, high-willingness-to-pay customers receive large surplus and scarce seats may sell before late urgent demand arrives. Dynamic pricing can improve allocation by offering lower prices when capacity is abundant and raising prices as scarcity increases. Williams (2022) demonstrates that the welfare effect in airline markets depends on both reallocation and changes in output, not just transfers between consumers and the firm.</w:t>
      </w:r>
    </w:p>
    <w:p>
      <w:pPr>
        <w:spacing w:line="480" w:lineRule="auto" w:before="0" w:after="0"/>
        <w:ind w:firstLine="720"/>
        <w:jc w:val="both"/>
      </w:pPr>
      <w:r>
        <w:rPr>
          <w:rFonts w:ascii="Times New Roman" w:hAnsi="Times New Roman" w:eastAsia="Times New Roman"/>
          <w:sz w:val="24"/>
        </w:rPr>
        <w:t>Deadweight loss arises when mutually beneficial trades do not occur. An algorithm that overestimates demand can create such loss by holding prices too high and allowing capacity to perish. An algorithm that underestimates late demand can sell too cheaply early and leave high-value travellers without seats or rooms. Both errors have a social and commercial cost. The first wastes physical capacity; the second allocates capacity to lower-valued use when a higher-valued trade would have been possible. Forecast accuracy therefore has a welfare dimension.</w:t>
      </w:r>
    </w:p>
    <w:p>
      <w:pPr>
        <w:spacing w:line="480" w:lineRule="auto" w:before="0" w:after="0"/>
        <w:ind w:firstLine="720"/>
        <w:jc w:val="both"/>
      </w:pPr>
      <w:r>
        <w:rPr>
          <w:rFonts w:ascii="Times New Roman" w:hAnsi="Times New Roman" w:eastAsia="Times New Roman"/>
          <w:sz w:val="24"/>
        </w:rPr>
        <w:t>Digital price discrimination also changes the distribution of consumer surplus. Aryal et al. (2024) show how heterogeneous travellers and market structure interact in international airline price discrimination. From a managerial perspective, the key distinction is between segmentation that enables additional low-price transactions and segmentation that only identifies customers from whom a higher price can be extracted. The former can expand quantity and total surplus; the latter is more likely to generate fairness resistance because the customer sees no compensating product or availability benefit.</w:t>
      </w:r>
    </w:p>
    <w:p>
      <w:pPr>
        <w:pStyle w:val="Heading1"/>
        <w:pageBreakBefore/>
      </w:pPr>
      <w:r>
        <w:rPr>
          <w:rFonts w:ascii="Times New Roman" w:hAnsi="Times New Roman" w:eastAsia="Times New Roman"/>
          <w:b/>
          <w:sz w:val="24"/>
        </w:rPr>
        <w:t>Macroeconomic Environment &amp; Policy Impact</w:t>
      </w:r>
    </w:p>
    <w:p>
      <w:pPr>
        <w:pStyle w:val="Heading2"/>
      </w:pPr>
      <w:r>
        <w:rPr>
          <w:rFonts w:ascii="Times New Roman" w:hAnsi="Times New Roman" w:eastAsia="Times New Roman"/>
          <w:b/>
          <w:sz w:val="24"/>
        </w:rPr>
        <w:t>Macroeconomic Signals in Algorithmic Demand Forecasts</w:t>
      </w:r>
    </w:p>
    <w:p>
      <w:pPr>
        <w:spacing w:line="480" w:lineRule="auto" w:before="0" w:after="0"/>
        <w:ind w:firstLine="720"/>
        <w:jc w:val="both"/>
      </w:pPr>
      <w:r>
        <w:rPr>
          <w:rFonts w:ascii="Times New Roman" w:hAnsi="Times New Roman" w:eastAsia="Times New Roman"/>
          <w:sz w:val="24"/>
        </w:rPr>
        <w:t>Inflation, interest rates and income growth change tourism demand through household budgets and business travel policies. Persistent inflation raises the nominal price of accommodation, food and local transport, so even an unchanged hotel room rate can become less affordable within the total trip bundle. Higher interest rates can weaken discretionary spending and investment, while labour-market strength can support premium demand. Revenue algorithms should include these variables as context because an observed slowdown in booking pace may reflect a broad income effect rather than a failure of a specific promotion.</w:t>
      </w:r>
    </w:p>
    <w:p>
      <w:pPr>
        <w:spacing w:line="480" w:lineRule="auto" w:before="0" w:after="0"/>
        <w:ind w:firstLine="720"/>
        <w:jc w:val="both"/>
      </w:pPr>
      <w:r>
        <w:rPr>
          <w:rFonts w:ascii="Times New Roman" w:hAnsi="Times New Roman" w:eastAsia="Times New Roman"/>
          <w:sz w:val="24"/>
        </w:rPr>
        <w:t>Exchange rates are especially important for international Marriott properties and Delta's cross-border markets. A stronger U.S. dollar can make foreign destinations cheaper for U.S. outbound travellers while making U.S. hotels and services more expensive for some inbound visitors. The price elasticity observed in local currency can therefore differ from the elasticity experienced by a foreign customer. Dynamic systems should work with “effective trip price” where possible, including exchange-rate changes and taxes, rather than focusing narrowly on the supplier's posted currency.</w:t>
      </w:r>
    </w:p>
    <w:p>
      <w:pPr>
        <w:spacing w:line="480" w:lineRule="auto" w:before="0" w:after="0"/>
        <w:ind w:firstLine="720"/>
        <w:jc w:val="both"/>
      </w:pPr>
      <w:r>
        <w:rPr>
          <w:rFonts w:ascii="Times New Roman" w:hAnsi="Times New Roman" w:eastAsia="Times New Roman"/>
          <w:sz w:val="24"/>
        </w:rPr>
        <w:t>Macroeconomic regime shifts also weaken purely historical machine-learning models. A model trained in a low-inflation period may assign excessive importance to past seasonal patterns when consumers suddenly become more price sensitive. The appropriate response is not simply more data; it is structural monitoring. Model governance should include checks for breaks in booking lead time, cancellation behaviour, product mix and origin-market spending power.</w:t>
      </w:r>
    </w:p>
    <w:p>
      <w:pPr>
        <w:pStyle w:val="Heading2"/>
      </w:pPr>
      <w:r>
        <w:rPr>
          <w:rFonts w:ascii="Times New Roman" w:hAnsi="Times New Roman" w:eastAsia="Times New Roman"/>
          <w:b/>
          <w:sz w:val="24"/>
        </w:rPr>
        <w:t>Consumer Policy, Data Governance and Explainability</w:t>
      </w:r>
    </w:p>
    <w:p>
      <w:pPr>
        <w:spacing w:line="480" w:lineRule="auto" w:before="0" w:after="0"/>
        <w:ind w:firstLine="720"/>
        <w:jc w:val="both"/>
      </w:pPr>
      <w:r>
        <w:rPr>
          <w:rFonts w:ascii="Times New Roman" w:hAnsi="Times New Roman" w:eastAsia="Times New Roman"/>
          <w:sz w:val="24"/>
        </w:rPr>
        <w:t>Algorithmic pricing sits at the intersection of economics and consumer governance. The firm needs enough data to predict demand, but the marginal value of additional personal data may be smaller than the reputational risk of appearing intrusive. Choi et al. (2023) show that algorithmic cues can influence how consumers perceive price discrimination. This means that disclosure design matters: explaining that prices vary with availability and booking conditions may reassure customers, whereas highlighting that an individual's profile generated a special price can heighten unfairness concerns.</w:t>
      </w:r>
    </w:p>
    <w:p>
      <w:pPr>
        <w:spacing w:line="480" w:lineRule="auto" w:before="0" w:after="0"/>
        <w:ind w:firstLine="720"/>
        <w:jc w:val="both"/>
      </w:pPr>
      <w:r>
        <w:rPr>
          <w:rFonts w:ascii="Times New Roman" w:hAnsi="Times New Roman" w:eastAsia="Times New Roman"/>
          <w:sz w:val="24"/>
        </w:rPr>
        <w:t>Hotel research reaches a similar conclusion. Choi and Mattila (2005) find that information about revenue-management practices affects fairness judgments. More recently, Guillet et al. (2026) examine attribute-based hotel pricing, a model in which guests assemble and pay for attributes rather than being sorted only into fixed room categories. Attribute pricing can make differences more intelligible because the customer sees what additional payment buys. It therefore provides an alternative to opaque personalisation: price the product configuration, not the customer's identity.</w:t>
      </w:r>
    </w:p>
    <w:p>
      <w:pPr>
        <w:spacing w:line="480" w:lineRule="auto" w:before="0" w:after="0"/>
        <w:ind w:firstLine="720"/>
        <w:jc w:val="both"/>
      </w:pPr>
      <w:r>
        <w:rPr>
          <w:rFonts w:ascii="Times New Roman" w:hAnsi="Times New Roman" w:eastAsia="Times New Roman"/>
          <w:sz w:val="24"/>
        </w:rPr>
        <w:t>A governance framework should document inputs, permitted uses and escalation rules. Variables linked to inventory, date, product attributes and observable booking conditions have a direct economic rationale. Variables that proxy vulnerability or urgency require much greater caution. Every automated recommendation should be traceable to the factors that produced it, and high-impact price changes should be reviewable by a human revenue manager. Explainability is not only a compliance feature; it makes models easier to diagnose when market conditions change.</w:t>
      </w:r>
    </w:p>
    <w:p>
      <w:pPr>
        <w:pStyle w:val="Heading1"/>
        <w:pageBreakBefore/>
      </w:pPr>
      <w:r>
        <w:rPr>
          <w:rFonts w:ascii="Times New Roman" w:hAnsi="Times New Roman" w:eastAsia="Times New Roman"/>
          <w:b/>
          <w:sz w:val="24"/>
        </w:rPr>
        <w:t>Empirical Data &amp; Case Study Analysis</w:t>
      </w:r>
    </w:p>
    <w:p>
      <w:pPr>
        <w:pStyle w:val="Heading2"/>
      </w:pPr>
      <w:r>
        <w:rPr>
          <w:rFonts w:ascii="Times New Roman" w:hAnsi="Times New Roman" w:eastAsia="Times New Roman"/>
          <w:b/>
          <w:sz w:val="24"/>
        </w:rPr>
        <w:t>Delta Air Lines: Premium Mix and Capacity Economics</w:t>
      </w:r>
    </w:p>
    <w:p>
      <w:pPr>
        <w:spacing w:line="480" w:lineRule="auto" w:before="0" w:after="0"/>
        <w:ind w:firstLine="720"/>
        <w:jc w:val="both"/>
      </w:pPr>
      <w:r>
        <w:rPr>
          <w:rFonts w:ascii="Times New Roman" w:hAnsi="Times New Roman" w:eastAsia="Times New Roman"/>
          <w:sz w:val="24"/>
        </w:rPr>
        <w:t>Delta reported $63.364 billion of operating revenue in 2025, including $51.768 billion of passenger revenue (Delta Air Lines, 2026). The composition of passenger revenue is particularly relevant to elasticity analysis: premium-product ticket revenue was $22.097 billion, up 7%, while main-cabin ticket revenue was $23.391 billion, down 5%. This divergence is consistent with a strategy in which product segmentation, premium amenities and loyalty relationships matter as much as a single route-level fare. It also demonstrates why average fare movements can conceal substantial differences across products.</w:t>
      </w:r>
    </w:p>
    <w:p>
      <w:pPr>
        <w:spacing w:line="480" w:lineRule="auto" w:before="0" w:after="0"/>
        <w:ind w:firstLine="720"/>
        <w:jc w:val="both"/>
      </w:pPr>
      <w:r>
        <w:rPr>
          <w:rFonts w:ascii="Times New Roman" w:hAnsi="Times New Roman" w:eastAsia="Times New Roman"/>
          <w:sz w:val="24"/>
        </w:rPr>
        <w:t>For pricing, premium growth creates both opportunity and risk. A revenue system may infer that high-value travellers have low PED and progressively protect more premium inventory. But if competitors expand premium capacity or corporate travel budgets weaken, that historical relationship can break. The correct control is to estimate incremental willingness to pay for the premium product relative to the next-best substitute. The relevant question is not “Will this passenger pay more?” but “How much additional contribution can be earned before the passenger switches cabin, flight or carrier?”</w:t>
      </w:r>
    </w:p>
    <w:p>
      <w:pPr>
        <w:spacing w:line="480" w:lineRule="auto" w:before="0" w:after="0"/>
        <w:ind w:firstLine="720"/>
        <w:jc w:val="both"/>
      </w:pPr>
      <w:r>
        <w:rPr>
          <w:rFonts w:ascii="Times New Roman" w:hAnsi="Times New Roman" w:eastAsia="Times New Roman"/>
          <w:sz w:val="24"/>
        </w:rPr>
        <w:t>Delta's loyalty ecosystem can improve prediction because repeat customers reveal preferences over time. Yet loyalty should reduce rather than intensify extractive pricing. A member who contributes substantial lifetime value should not routinely face higher base prices merely because the system predicts low switching probability. A more sustainable use of data is to personalise upgrade timing, bundled benefits and service recovery while keeping the public fare architecture coherent. This turns information into better matching instead of a tax on loyalty.</w:t>
      </w:r>
    </w:p>
    <w:p>
      <w:pPr>
        <w:spacing w:line="240" w:lineRule="auto" w:after="120"/>
        <w:jc w:val="center"/>
      </w:pPr>
      <w:r>
        <w:rPr>
          <w:rFonts w:ascii="Times New Roman" w:hAnsi="Times New Roman" w:eastAsia="Times New Roman"/>
          <w:i/>
          <w:sz w:val="20"/>
        </w:rPr>
        <w:t>Table 2. Selected Delta 2025 passenger-revenue indicators</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237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Metric</w:t>
            </w:r>
          </w:p>
        </w:tc>
        <w:tc>
          <w:tcPr>
            <w:tcW w:type="dxa" w:w="237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2025 outcome</w:t>
            </w:r>
          </w:p>
        </w:tc>
        <w:tc>
          <w:tcPr>
            <w:tcW w:type="dxa" w:w="388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Pricing implication</w:t>
            </w:r>
          </w:p>
        </w:tc>
      </w:tr>
      <w:tr>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Operating revenue</w:t>
            </w:r>
          </w:p>
        </w:tc>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$63.364bn</w:t>
            </w:r>
          </w:p>
        </w:tc>
        <w:tc>
          <w:tcPr>
            <w:tcW w:type="dxa" w:w="38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Scale magnifies gains and errors from automated pricing</w:t>
            </w:r>
          </w:p>
        </w:tc>
      </w:tr>
      <w:tr>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Passenger revenue</w:t>
            </w:r>
          </w:p>
        </w:tc>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$51.768bn</w:t>
            </w:r>
          </w:p>
        </w:tc>
        <w:tc>
          <w:tcPr>
            <w:tcW w:type="dxa" w:w="38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Core pricing decisions remain central to total revenue</w:t>
            </w:r>
          </w:p>
        </w:tc>
      </w:tr>
      <w:tr>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Main-cabin ticket revenue</w:t>
            </w:r>
          </w:p>
        </w:tc>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$23.391bn; down 5%</w:t>
            </w:r>
          </w:p>
        </w:tc>
        <w:tc>
          <w:tcPr>
            <w:tcW w:type="dxa" w:w="38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Mass-market demand requires close elasticity monitoring</w:t>
            </w:r>
          </w:p>
        </w:tc>
      </w:tr>
      <w:tr>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Premium-product ticket revenue</w:t>
            </w:r>
          </w:p>
        </w:tc>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$22.097bn; up 7%</w:t>
            </w:r>
          </w:p>
        </w:tc>
        <w:tc>
          <w:tcPr>
            <w:tcW w:type="dxa" w:w="38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Premium demand and differentiation are strategically important</w:t>
            </w:r>
          </w:p>
        </w:tc>
      </w:tr>
      <w:tr>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Loyalty travel awards revenue</w:t>
            </w:r>
          </w:p>
        </w:tc>
        <w:tc>
          <w:tcPr>
            <w:tcW w:type="dxa" w:w="237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$4.237bn; up 10%</w:t>
            </w:r>
          </w:p>
        </w:tc>
        <w:tc>
          <w:tcPr>
            <w:tcW w:type="dxa" w:w="38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Loyalty behaviour is economically material to demand design</w:t>
            </w:r>
          </w:p>
        </w:tc>
      </w:tr>
    </w:tbl>
    <w:p>
      <w:pPr>
        <w:spacing w:after="120"/>
      </w:pPr>
    </w:p>
    <w:p>
      <w:pPr>
        <w:pStyle w:val="Heading2"/>
      </w:pPr>
      <w:r>
        <w:rPr>
          <w:rFonts w:ascii="Times New Roman" w:hAnsi="Times New Roman" w:eastAsia="Times New Roman"/>
          <w:b/>
          <w:sz w:val="24"/>
        </w:rPr>
        <w:t>Marriott International: Scale, Loyalty and Revenue Management</w:t>
      </w:r>
    </w:p>
    <w:p>
      <w:pPr>
        <w:spacing w:line="480" w:lineRule="auto" w:before="0" w:after="0"/>
        <w:ind w:firstLine="720"/>
        <w:jc w:val="both"/>
      </w:pPr>
      <w:r>
        <w:rPr>
          <w:rFonts w:ascii="Times New Roman" w:hAnsi="Times New Roman" w:eastAsia="Times New Roman"/>
          <w:sz w:val="24"/>
        </w:rPr>
        <w:t>Marriott's 2025 performance offers a hotel-side comparison. Worldwide RevPAR increased 2.0%; net rooms grew more than 4.3%; the system reached nearly 1.78 million rooms across more than 9,800 properties; and Bonvoy membership approached 271 million (Marriott International, 2026). Member stays represented a large share of room nights, giving the company a powerful direct relationship with repeat customers. Economically, this lowers some search and acquisition costs, but it also raises the value of preserving trust in the pricing system.</w:t>
      </w:r>
    </w:p>
    <w:p>
      <w:pPr>
        <w:spacing w:line="480" w:lineRule="auto" w:before="0" w:after="0"/>
        <w:ind w:firstLine="720"/>
        <w:jc w:val="both"/>
      </w:pPr>
      <w:r>
        <w:rPr>
          <w:rFonts w:ascii="Times New Roman" w:hAnsi="Times New Roman" w:eastAsia="Times New Roman"/>
          <w:sz w:val="24"/>
        </w:rPr>
        <w:t>The portfolio's breadth means a single algorithm must respect local market structure. A Marriott-branded hotel in a dense urban market may compete with dozens of close substitutes, producing high PED. A resort in a constrained destination during a holiday week may face much less elastic demand. Marriott's asset-light model further means that pricing decisions affect both guest relationships and property-owner economics. Revenue optimisation must therefore balance brand-level consistency with local owner incentives and market conditions.</w:t>
      </w:r>
    </w:p>
    <w:p>
      <w:pPr>
        <w:spacing w:line="480" w:lineRule="auto" w:before="0" w:after="0"/>
        <w:ind w:firstLine="720"/>
        <w:jc w:val="both"/>
      </w:pPr>
      <w:r>
        <w:rPr>
          <w:rFonts w:ascii="Times New Roman" w:hAnsi="Times New Roman" w:eastAsia="Times New Roman"/>
          <w:sz w:val="24"/>
        </w:rPr>
        <w:t>Kim and Yi (2026) study “blended pricing,” where room rates vary within a stay, and show why presenting variable nightly rates in an intelligible way matters for fairness. This is directly relevant to hotels: a guest staying across a high-demand Saturday and a lower-demand Sunday may accept different nightly values if the pattern is visible before purchase. Hidden recalculation or unexplained changes after search create a different fairness response. The interface is therefore part of the economic mechanism because it shapes the customer's reference transaction.</w:t>
      </w:r>
    </w:p>
    <w:p>
      <w:pPr>
        <w:pStyle w:val="Heading2"/>
      </w:pPr>
      <w:r>
        <w:rPr>
          <w:rFonts w:ascii="Times New Roman" w:hAnsi="Times New Roman" w:eastAsia="Times New Roman"/>
          <w:b/>
          <w:sz w:val="24"/>
        </w:rPr>
        <w:t>Comparison: Revenue Gain Versus Perceived Fairness</w:t>
      </w:r>
    </w:p>
    <w:p>
      <w:pPr>
        <w:spacing w:line="480" w:lineRule="auto" w:before="0" w:after="0"/>
        <w:ind w:firstLine="720"/>
        <w:jc w:val="both"/>
      </w:pPr>
      <w:r>
        <w:rPr>
          <w:rFonts w:ascii="Times New Roman" w:hAnsi="Times New Roman" w:eastAsia="Times New Roman"/>
          <w:sz w:val="24"/>
        </w:rPr>
        <w:t>Booking platforms make price histories and alternatives highly salient. Alderighi et al. (2022), using evidence from Booking.com, show that dynamic pricing interacts with consumer perceptions of fairness. A customer does not observe the firm's full demand forecast; they observe that a price changed. Their inference about the reason for the change determines whether the difference feels legitimate. Scarcity, room attributes and refundable conditions are easier to understand than a price generated by an unknown personal profile.</w:t>
      </w:r>
    </w:p>
    <w:p>
      <w:pPr>
        <w:spacing w:line="480" w:lineRule="auto" w:before="0" w:after="0"/>
        <w:ind w:firstLine="720"/>
        <w:jc w:val="both"/>
      </w:pPr>
      <w:r>
        <w:rPr>
          <w:rFonts w:ascii="Times New Roman" w:hAnsi="Times New Roman" w:eastAsia="Times New Roman"/>
          <w:sz w:val="24"/>
        </w:rPr>
        <w:t>This creates an economic feedback loop. Perceived unfairness can increase search, reduce conversion, encourage channel switching and weaken loyalty. In elasticity terms, customers may become more price sensitive because trust no longer reduces search costs. A firm that extracts more surplus from today's transaction can therefore make tomorrow's demand curve flatter. The proper evaluation period for algorithmic pricing must extend beyond the stay or flight currently being sold.</w:t>
      </w:r>
    </w:p>
    <w:p>
      <w:pPr>
        <w:pStyle w:val="Heading2"/>
      </w:pPr>
      <w:r>
        <w:rPr>
          <w:rFonts w:ascii="Times New Roman" w:hAnsi="Times New Roman" w:eastAsia="Times New Roman"/>
          <w:b/>
          <w:sz w:val="24"/>
        </w:rPr>
        <w:t>Measurement, Fairness Testing and Long-Run Welfare</w:t>
      </w:r>
    </w:p>
    <w:p>
      <w:pPr>
        <w:spacing w:line="480" w:lineRule="auto" w:before="0" w:after="0"/>
        <w:ind w:firstLine="720"/>
        <w:jc w:val="both"/>
      </w:pPr>
      <w:r>
        <w:rPr>
          <w:rFonts w:ascii="Times New Roman" w:hAnsi="Times New Roman" w:eastAsia="Times New Roman"/>
          <w:sz w:val="24"/>
        </w:rPr>
        <w:t>A bounded-personalisation policy requires a measurement design that can separate genuine demand matching from extraction. The first test is incremental output. If an algorithm creates more completed trips or occupied room nights by offering lower prices to elastic customers in weak periods, it can reduce deadweight loss and improve utilisation. If total output is unchanged and the only effect is to charge identifiable customers more, the gain is primarily a transfer of consumer surplus to the firm. Williams (2022) shows why this distinction matters in welfare analysis of airline dynamic pricing. Managers should therefore report incremental volume and contribution beside average price.</w:t>
      </w:r>
    </w:p>
    <w:p>
      <w:pPr>
        <w:spacing w:line="480" w:lineRule="auto" w:before="0" w:after="0"/>
        <w:ind w:firstLine="720"/>
        <w:jc w:val="both"/>
      </w:pPr>
      <w:r>
        <w:rPr>
          <w:rFonts w:ascii="Times New Roman" w:hAnsi="Times New Roman" w:eastAsia="Times New Roman"/>
          <w:sz w:val="24"/>
        </w:rPr>
        <w:t>The second test is distributional. Average revenue can improve while a particular segment experiences large price increases. A dashboard should compare realised rates across booking windows, product conditions and customer groups after controlling for legitimate differences in itinerary or room attributes. The purpose is not to force identical prices; it is to identify whether a variable that has no defensible connection to cost, scarcity or product value is systematically producing different outcomes. This is particularly important when machine-learning models use hundreds of correlated features that can obscure the economic logic of a recommendation.</w:t>
      </w:r>
    </w:p>
    <w:p>
      <w:pPr>
        <w:spacing w:line="480" w:lineRule="auto" w:before="0" w:after="0"/>
        <w:ind w:firstLine="720"/>
        <w:jc w:val="both"/>
      </w:pPr>
      <w:r>
        <w:rPr>
          <w:rFonts w:ascii="Times New Roman" w:hAnsi="Times New Roman" w:eastAsia="Times New Roman"/>
          <w:sz w:val="24"/>
        </w:rPr>
        <w:t>Fairness also needs experimental measurement. Survey questions can ask customers whether the reason for a price difference is understandable, but behavioural outcomes provide stronger evidence. Search abandonment after a price refresh, repeated checking across devices, contact-centre complaints and loyalty disengagement can all indicate distrust. Alderighi et al. (2022) show that price fairness in online booking is shaped by how consumers interpret dynamic changes. Marriott and Delta can therefore treat fairness signals as leading indicators of future elasticity rather than as purely reputational metrics.</w:t>
      </w:r>
    </w:p>
    <w:p>
      <w:pPr>
        <w:spacing w:line="480" w:lineRule="auto" w:before="0" w:after="0"/>
        <w:ind w:firstLine="720"/>
        <w:jc w:val="both"/>
      </w:pPr>
      <w:r>
        <w:rPr>
          <w:rFonts w:ascii="Times New Roman" w:hAnsi="Times New Roman" w:eastAsia="Times New Roman"/>
          <w:sz w:val="24"/>
        </w:rPr>
        <w:t>Presentation architecture should be tested separately from the underlying price. Two identical economic prices can generate different reactions depending on whether the customer sees a clear nightly breakdown, a fare-family comparison or an unexplained total. Kim and Yi (2026) demonstrate the importance of how intrastay rate variability is framed. A useful design principle is to show the product logic first: what is refundable, what is included, which night or flight is scarce, and how the alternative differs. Transparency can preserve self-selection while reducing the feeling of arbitrary discrimination.</w:t>
      </w:r>
    </w:p>
    <w:p>
      <w:pPr>
        <w:spacing w:line="480" w:lineRule="auto" w:before="0" w:after="0"/>
        <w:ind w:firstLine="720"/>
        <w:jc w:val="both"/>
      </w:pPr>
      <w:r>
        <w:rPr>
          <w:rFonts w:ascii="Times New Roman" w:hAnsi="Times New Roman" w:eastAsia="Times New Roman"/>
          <w:sz w:val="24"/>
        </w:rPr>
        <w:t>Loyalty data create a further long-run issue. A customer with high switching costs may appear to have inelastic demand, encouraging the optimiser to raise price. But loyalty is an asset created by prior value and trust; exploiting that asset can erode it. The appropriate shadow cost of a price increase should include the expected reduction in future contribution if the member becomes less engaged. This converts customer lifetime value into an explicit constraint on short-run surplus extraction. It also aligns pricing with the commercial purpose of a loyalty programme: retention, not identification of customers who can be charged the most.</w:t>
      </w:r>
    </w:p>
    <w:p>
      <w:pPr>
        <w:spacing w:line="480" w:lineRule="auto" w:before="0" w:after="0"/>
        <w:ind w:firstLine="720"/>
        <w:jc w:val="both"/>
      </w:pPr>
      <w:r>
        <w:rPr>
          <w:rFonts w:ascii="Times New Roman" w:hAnsi="Times New Roman" w:eastAsia="Times New Roman"/>
          <w:sz w:val="24"/>
        </w:rPr>
        <w:t>Algorithmic systems should be stress-tested for unusual events. Weather disruption, a citywide convention or a sudden capacity cancellation can produce extreme scarcity signals. A model trained on ordinary periods may recommend prices far outside customers’ reference range. Human review is economically justified when the cost of a false extreme recommendation includes media attention, regulatory scrutiny and long-term demand effects. The threshold can be defined objectively as a rate change beyond a specified percentile of historical movement without a verified inventory shock.</w:t>
      </w:r>
    </w:p>
    <w:p>
      <w:pPr>
        <w:spacing w:line="480" w:lineRule="auto" w:before="0" w:after="0"/>
        <w:ind w:firstLine="720"/>
        <w:jc w:val="both"/>
      </w:pPr>
      <w:r>
        <w:rPr>
          <w:rFonts w:ascii="Times New Roman" w:hAnsi="Times New Roman" w:eastAsia="Times New Roman"/>
          <w:sz w:val="24"/>
        </w:rPr>
        <w:t>The final test is reversibility. A pricing system should learn quickly when a demand forecast is wrong. If conversion falls below a trigger, lower price classes or room rates should reopen automatically within agreed limits rather than waiting for a manual weekly meeting. This reduces spoilage and protects welfare because profitable transactions are not excluded for long periods. Dynamic pricing is valuable precisely because it can adapt; a system that changes prices rapidly upward but slowly downward is not genuinely responsive to demand.</w:t>
      </w:r>
    </w:p>
    <w:p>
      <w:pPr>
        <w:spacing w:line="480" w:lineRule="auto" w:before="0" w:after="0"/>
        <w:ind w:firstLine="720"/>
        <w:jc w:val="both"/>
      </w:pPr>
      <w:r>
        <w:rPr>
          <w:rFonts w:ascii="Times New Roman" w:hAnsi="Times New Roman" w:eastAsia="Times New Roman"/>
          <w:sz w:val="24"/>
        </w:rPr>
        <w:t>A further control is price-history consistency. Customers often search repeatedly before purchase, so an unexplained increase within minutes can be interpreted as surveillance even when the true cause is inventory movement. The firm should log the market-level reason for material changes and test whether cached or channel-specific prices create misleading inconsistencies. Choi et al. (2023) show that algorithmic cues influence reactions to price discrimination; reducing avoidable inconsistency can therefore protect conversion without preventing legitimate scarcity pricing.</w:t>
      </w:r>
    </w:p>
    <w:p>
      <w:pPr>
        <w:spacing w:line="480" w:lineRule="auto" w:before="0" w:after="0"/>
        <w:ind w:firstLine="720"/>
        <w:jc w:val="both"/>
      </w:pPr>
      <w:r>
        <w:rPr>
          <w:rFonts w:ascii="Times New Roman" w:hAnsi="Times New Roman" w:eastAsia="Times New Roman"/>
          <w:sz w:val="24"/>
        </w:rPr>
        <w:t>Managers should also examine heterogeneity in fairness response. Frequent business travellers may understand airline revenue management better than occasional leisure passengers, while experienced hotel users may accept weekend/weekday variation more readily than personalised differences. Segment education and interface design can be targeted accordingly. The goal is not to convince customers that every high price is fair; it is to make legitimate product and scarcity differences visible enough that consumers can make an informed comparison.</w:t>
      </w:r>
    </w:p>
    <w:p>
      <w:pPr>
        <w:spacing w:line="480" w:lineRule="auto" w:before="0" w:after="0"/>
        <w:ind w:firstLine="720"/>
        <w:jc w:val="both"/>
      </w:pPr>
      <w:r>
        <w:rPr>
          <w:rFonts w:ascii="Times New Roman" w:hAnsi="Times New Roman" w:eastAsia="Times New Roman"/>
          <w:sz w:val="24"/>
        </w:rPr>
        <w:t>Taken together, these controls convert algorithmic pricing into an accountable management process. Economic efficiency, customer welfare and commercial sustainability are not identical objectives, but they can be measured simultaneously. A system that raises contribution while expanding output, preserving loyalty and keeping fairness indicators stable provides stronger evidence of value creation than one that reports only a higher average transaction price.</w:t>
      </w:r>
    </w:p>
    <w:p>
      <w:pPr>
        <w:pStyle w:val="Heading1"/>
        <w:pageBreakBefore/>
      </w:pPr>
      <w:r>
        <w:rPr>
          <w:rFonts w:ascii="Times New Roman" w:hAnsi="Times New Roman" w:eastAsia="Times New Roman"/>
          <w:b/>
          <w:sz w:val="24"/>
        </w:rPr>
        <w:t>Strategic Implications for Tourism</w:t>
      </w:r>
    </w:p>
    <w:p>
      <w:pPr>
        <w:pStyle w:val="Heading2"/>
      </w:pPr>
      <w:r>
        <w:rPr>
          <w:rFonts w:ascii="Times New Roman" w:hAnsi="Times New Roman" w:eastAsia="Times New Roman"/>
          <w:b/>
          <w:sz w:val="24"/>
        </w:rPr>
        <w:t>Bounded Personalisation Framework</w:t>
      </w:r>
    </w:p>
    <w:p>
      <w:pPr>
        <w:spacing w:line="480" w:lineRule="auto" w:before="0" w:after="0"/>
        <w:ind w:firstLine="720"/>
        <w:jc w:val="both"/>
      </w:pPr>
      <w:r>
        <w:rPr>
          <w:rFonts w:ascii="Times New Roman" w:hAnsi="Times New Roman" w:eastAsia="Times New Roman"/>
          <w:sz w:val="24"/>
        </w:rPr>
        <w:t>A practical policy for Delta and Marriott is bounded personalisation. The first boundary concerns price drivers: core rates should be determined by inventory, booking horizon, product attributes, market demand and transparent conditions. Personal history can be used primarily to choose which offer, benefit or bundle is shown. The second boundary concerns magnitude: unusually large automated price changes should trigger validation against actual capacity, event and competitor data. The third boundary concerns persistence: models should not assume that a customer who once paid a high rate will always have low elasticity.</w:t>
      </w:r>
    </w:p>
    <w:p>
      <w:pPr>
        <w:spacing w:line="480" w:lineRule="auto" w:before="0" w:after="0"/>
        <w:ind w:firstLine="720"/>
        <w:jc w:val="both"/>
      </w:pPr>
      <w:r>
        <w:rPr>
          <w:rFonts w:ascii="Times New Roman" w:hAnsi="Times New Roman" w:eastAsia="Times New Roman"/>
          <w:sz w:val="24"/>
        </w:rPr>
        <w:t>The fourth boundary is experimental discipline. Price tests should be designed to learn elasticity without creating arbitrary customer treatment. Comparable markets or dates can be used, with pre-specified guardrails and monitoring of conversion, contribution and complaints. The fifth boundary is communication. A price difference should be explainable through a rate condition or product difference whenever feasible. This does not require revealing proprietary algorithms; it requires giving the customer a coherent reason for the transaction.</w:t>
      </w:r>
    </w:p>
    <w:p>
      <w:pPr>
        <w:spacing w:line="480" w:lineRule="auto" w:before="0" w:after="0"/>
        <w:ind w:firstLine="720"/>
        <w:jc w:val="both"/>
      </w:pPr>
      <w:r>
        <w:rPr>
          <w:rFonts w:ascii="Times New Roman" w:hAnsi="Times New Roman" w:eastAsia="Times New Roman"/>
          <w:sz w:val="24"/>
        </w:rPr>
        <w:t>Finally, revenue objectives should include long-run value. The optimisation function can incorporate expected repeat probability, loyalty activity and service-recovery cost. A price that maximises immediate transaction revenue may be rejected if it materially increases churn among valuable customers. This converts fairness from a vague ethical aspiration into an economically measurable constraint.</w:t>
      </w:r>
    </w:p>
    <w:p>
      <w:pPr>
        <w:spacing w:line="240" w:lineRule="auto" w:after="120"/>
        <w:jc w:val="center"/>
      </w:pPr>
      <w:r>
        <w:rPr>
          <w:rFonts w:ascii="Times New Roman" w:hAnsi="Times New Roman" w:eastAsia="Times New Roman"/>
          <w:i/>
          <w:sz w:val="20"/>
        </w:rPr>
        <w:t>Table 3. Governance scorecard for bounded personalisation</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1944"/>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Dimension</w:t>
            </w:r>
          </w:p>
        </w:tc>
        <w:tc>
          <w:tcPr>
            <w:tcW w:type="dxa" w:w="4104"/>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Operational question</w:t>
            </w:r>
          </w:p>
        </w:tc>
        <w:tc>
          <w:tcPr>
            <w:tcW w:type="dxa" w:w="259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Evidence/KPI</w:t>
            </w:r>
          </w:p>
        </w:tc>
      </w:tr>
      <w:tr>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Economic logic</w:t>
            </w:r>
          </w:p>
        </w:tc>
        <w:tc>
          <w:tcPr>
            <w:tcW w:type="dxa" w:w="41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Is the rate linked to scarcity, timing or product value?</w:t>
            </w:r>
          </w:p>
        </w:tc>
        <w:tc>
          <w:tcPr>
            <w:tcW w:type="dxa" w:w="2592"/>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Price-driver audit</w:t>
            </w:r>
          </w:p>
        </w:tc>
      </w:tr>
      <w:tr>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Elasticity</w:t>
            </w:r>
          </w:p>
        </w:tc>
        <w:tc>
          <w:tcPr>
            <w:tcW w:type="dxa" w:w="41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Did quantity respond as forecast?</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Realised conversion by price band</w:t>
            </w:r>
          </w:p>
        </w:tc>
      </w:tr>
      <w:tr>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Fairness</w:t>
            </w:r>
          </w:p>
        </w:tc>
        <w:tc>
          <w:tcPr>
            <w:tcW w:type="dxa" w:w="41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Can customers understand the rate difference?</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Complaint and abandonment rate</w:t>
            </w:r>
          </w:p>
        </w:tc>
      </w:tr>
      <w:tr>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Loyalty</w:t>
            </w:r>
          </w:p>
        </w:tc>
        <w:tc>
          <w:tcPr>
            <w:tcW w:type="dxa" w:w="41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Does pricing protect repeat value?</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Retention and repeat contribution</w:t>
            </w:r>
          </w:p>
        </w:tc>
      </w:tr>
      <w:tr>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Model risk</w:t>
            </w:r>
          </w:p>
        </w:tc>
        <w:tc>
          <w:tcPr>
            <w:tcW w:type="dxa" w:w="41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Are structural breaks being detected?</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Forecast bias and drift alerts</w:t>
            </w:r>
          </w:p>
        </w:tc>
      </w:tr>
      <w:tr>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Human control</w:t>
            </w:r>
          </w:p>
        </w:tc>
        <w:tc>
          <w:tcPr>
            <w:tcW w:type="dxa" w:w="41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Can exceptional recommendations be reviewed?</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Override rate and documented rationale</w:t>
            </w:r>
          </w:p>
        </w:tc>
      </w:tr>
    </w:tbl>
    <w:p>
      <w:pPr>
        <w:spacing w:after="120"/>
      </w:pPr>
    </w:p>
    <w:p>
      <w:pPr>
        <w:pStyle w:val="Heading2"/>
      </w:pPr>
      <w:r>
        <w:rPr>
          <w:rFonts w:ascii="Times New Roman" w:hAnsi="Times New Roman" w:eastAsia="Times New Roman"/>
          <w:b/>
          <w:sz w:val="24"/>
        </w:rPr>
        <w:t>Implementation Priorities</w:t>
      </w:r>
    </w:p>
    <w:p>
      <w:pPr>
        <w:spacing w:line="480" w:lineRule="auto" w:before="0" w:after="0"/>
        <w:ind w:firstLine="720"/>
        <w:jc w:val="both"/>
      </w:pPr>
      <w:r>
        <w:rPr>
          <w:rFonts w:ascii="Times New Roman" w:hAnsi="Times New Roman" w:eastAsia="Times New Roman"/>
          <w:sz w:val="24"/>
        </w:rPr>
        <w:t>Implementation should begin with a model inventory identifying every system that recommends fares, room rates, upgrades or packages. For each model, managers should record the target variable, training period, data inputs, assumptions and permitted decision range. This is particularly important when multiple tools interact, because a demand forecast can feed an optimiser whose output is then modified by channel or loyalty rules. Without a clear map, accountability becomes fragmented.</w:t>
      </w:r>
    </w:p>
    <w:p>
      <w:pPr>
        <w:spacing w:line="480" w:lineRule="auto" w:before="0" w:after="0"/>
        <w:ind w:firstLine="720"/>
        <w:jc w:val="both"/>
      </w:pPr>
      <w:r>
        <w:rPr>
          <w:rFonts w:ascii="Times New Roman" w:hAnsi="Times New Roman" w:eastAsia="Times New Roman"/>
          <w:sz w:val="24"/>
        </w:rPr>
        <w:t>Second, management should create a joint revenue-and-customer review. Finance and revenue teams can assess contribution, while customer, legal and analytics teams assess fairness signals and model drift. The review should focus on exceptions rather than manually approving ordinary prices. Third, the organisation should establish a post-event protocol for sold-out periods, disruptions and major conventions. These are exactly the moments when scarcity pricing is economically strongest and reputational risk is highest.</w:t>
      </w:r>
    </w:p>
    <w:p>
      <w:pPr>
        <w:spacing w:line="480" w:lineRule="auto" w:before="0" w:after="0"/>
        <w:ind w:firstLine="720"/>
        <w:jc w:val="both"/>
      </w:pPr>
      <w:r>
        <w:rPr>
          <w:rFonts w:ascii="Times New Roman" w:hAnsi="Times New Roman" w:eastAsia="Times New Roman"/>
          <w:sz w:val="24"/>
        </w:rPr>
        <w:t>Fourth, firms should expand value differentiation. Attribute-based hotel products and cabin/ancillary bundles let customers self-select according to preferences. Guillet et al. (2026) show the relevance of attribute-based pricing in hospitality. When extra payment corresponds to extra flexibility, comfort or convenience, the firm captures willingness to pay through product design rather than invisible profiling. This is likely to be more robust over time because consumers can compare value, not only price.</w:t>
      </w:r>
    </w:p>
    <w:p>
      <w:pPr>
        <w:pStyle w:val="Heading1"/>
        <w:pageBreakBefore/>
      </w:pPr>
      <w:r>
        <w:rPr>
          <w:rFonts w:ascii="Times New Roman" w:hAnsi="Times New Roman" w:eastAsia="Times New Roman"/>
          <w:b/>
          <w:sz w:val="24"/>
        </w:rPr>
        <w:t>Conclusion &amp; Recommendations</w:t>
      </w:r>
    </w:p>
    <w:p>
      <w:pPr>
        <w:spacing w:line="480" w:lineRule="auto" w:before="0" w:after="0"/>
        <w:ind w:firstLine="720"/>
        <w:jc w:val="both"/>
      </w:pPr>
      <w:r>
        <w:rPr>
          <w:rFonts w:ascii="Times New Roman" w:hAnsi="Times New Roman" w:eastAsia="Times New Roman"/>
          <w:sz w:val="24"/>
        </w:rPr>
        <w:t>Dynamic pricing is an economic response to perishable capacity and heterogeneous demand, but algorithmic sophistication does not remove the basic constraints of elasticity. A price rise is profitable only when the lost quantity is small enough; a premium offer creates value only when willingness to pay exceeds the opportunity cost; and a forecast is useful only while the behavioural regime remains stable. Delta's 2025 revenue mix and Marriott's scale and loyalty data demonstrate the commercial significance of segmentation, yet they also illustrate why customer relationships are valuable assets that pricing systems should protect.</w:t>
      </w:r>
    </w:p>
    <w:p>
      <w:pPr>
        <w:spacing w:line="480" w:lineRule="auto" w:before="0" w:after="0"/>
        <w:ind w:firstLine="720"/>
        <w:jc w:val="both"/>
      </w:pPr>
      <w:r>
        <w:rPr>
          <w:rFonts w:ascii="Times New Roman" w:hAnsi="Times New Roman" w:eastAsia="Times New Roman"/>
          <w:sz w:val="24"/>
        </w:rPr>
        <w:t>The strongest policy is therefore bounded rather than unlimited personalisation. Delta and Marriott should use inventory, timing, product attributes and market demand as principal rate drivers; refresh PED and YED estimates as economic conditions change; present variable prices transparently; personalise benefits and bundles more aggressively than base prices; audit algorithms for drift and problematic proxies; and include retention and fairness metrics in the optimisation objective. This approach does not reject price discrimination. It channels it toward self-selection and capacity efficiency, where lower prices can stimulate incremental demand and higher prices can ration genuine scarcity. In that form, algorithmic pricing can improve profitability while preserving the credibility required for long-run tourism demand.</w:t>
      </w:r>
    </w:p>
    <w:p>
      <w:pPr>
        <w:pStyle w:val="Heading1"/>
        <w:pageBreakBefore/>
      </w:pPr>
      <w:r>
        <w:rPr>
          <w:rFonts w:ascii="Times New Roman" w:hAnsi="Times New Roman" w:eastAsia="Times New Roman"/>
          <w:b/>
          <w:sz w:val="24"/>
        </w:rPr>
        <w:t>References</w:t>
      </w:r>
    </w:p>
    <w:p>
      <w:pPr>
        <w:spacing w:line="480" w:lineRule="auto" w:after="0"/>
        <w:ind w:left="720" w:hanging="720"/>
      </w:pPr>
      <w:r>
        <w:rPr>
          <w:rFonts w:ascii="Times New Roman" w:hAnsi="Times New Roman" w:eastAsia="Times New Roman"/>
          <w:sz w:val="24"/>
        </w:rPr>
        <w:t>Alderighi, M., Nava, C. R., Calabrese, M., Christille, J.-M., &amp; Salvemini, C. B. (2022). Consumer perception of price fairness and dynamic pricing: Evidence from Booking.com. Journal of Business Research, 145, 769–783. https://doi.org/10.1016/j.jbusres.2022.03.017</w:t>
      </w:r>
    </w:p>
    <w:p>
      <w:pPr>
        <w:spacing w:line="480" w:lineRule="auto" w:after="0"/>
        <w:ind w:left="720" w:hanging="720"/>
      </w:pPr>
      <w:r>
        <w:rPr>
          <w:rFonts w:ascii="Times New Roman" w:hAnsi="Times New Roman" w:eastAsia="Times New Roman"/>
          <w:sz w:val="24"/>
        </w:rPr>
        <w:t>Aryal, G., Murry, C., &amp; Williams, J. W. (2024). Price discrimination in international airline markets. The Review of Economic Studies, 91(2), 641–689. https://doi.org/10.1093/restud/rdad037</w:t>
      </w:r>
    </w:p>
    <w:p>
      <w:pPr>
        <w:spacing w:line="480" w:lineRule="auto" w:after="0"/>
        <w:ind w:left="720" w:hanging="720"/>
      </w:pPr>
      <w:r>
        <w:rPr>
          <w:rFonts w:ascii="Times New Roman" w:hAnsi="Times New Roman" w:eastAsia="Times New Roman"/>
          <w:sz w:val="24"/>
        </w:rPr>
        <w:t>Choi, S., &amp; Mattila, A. S. (2005). Impact of information on customer fairness perceptions of hotel revenue management. Cornell Hotel and Restaurant Administration Quarterly, 46(4), 444–451. https://doi.org/10.1177/0010880404270032</w:t>
      </w:r>
    </w:p>
    <w:p>
      <w:pPr>
        <w:spacing w:line="480" w:lineRule="auto" w:after="0"/>
        <w:ind w:left="720" w:hanging="720"/>
      </w:pPr>
      <w:r>
        <w:rPr>
          <w:rFonts w:ascii="Times New Roman" w:hAnsi="Times New Roman" w:eastAsia="Times New Roman"/>
          <w:sz w:val="24"/>
        </w:rPr>
        <w:t>Choi, S., Song, M., &amp; Jing, L. (2023). Let your algorithm shine: The impact of algorithmic cues on consumer perceptions of price discrimination. Tourism Management, 99, 104792. https://doi.org/10.1016/j.tourman.2023.104792</w:t>
      </w:r>
    </w:p>
    <w:p>
      <w:pPr>
        <w:spacing w:line="480" w:lineRule="auto" w:after="0"/>
        <w:ind w:left="720" w:hanging="720"/>
      </w:pPr>
      <w:r>
        <w:rPr>
          <w:rFonts w:ascii="Times New Roman" w:hAnsi="Times New Roman" w:eastAsia="Times New Roman"/>
          <w:sz w:val="24"/>
        </w:rPr>
        <w:t>Delta Air Lines. (2026, January 13). Delta Air Lines announces December quarter and full year 2025 financial results. https://ir.delta.com/</w:t>
      </w:r>
    </w:p>
    <w:p>
      <w:pPr>
        <w:spacing w:line="480" w:lineRule="auto" w:after="0"/>
        <w:ind w:left="720" w:hanging="720"/>
      </w:pPr>
      <w:r>
        <w:rPr>
          <w:rFonts w:ascii="Times New Roman" w:hAnsi="Times New Roman" w:eastAsia="Times New Roman"/>
          <w:sz w:val="24"/>
        </w:rPr>
        <w:t>Guillet, B. D., Zhang, Y., Madanoglu, M., &amp; Gao, L. (2026). Attribute-based pricing in hotels: Analyzing industry, customer, and behavioral insights. International Journal of Hospitality Management, 133, 104445. https://doi.org/10.1016/j.ijhm.2025.104445</w:t>
      </w:r>
    </w:p>
    <w:p>
      <w:pPr>
        <w:spacing w:line="480" w:lineRule="auto" w:after="0"/>
        <w:ind w:left="720" w:hanging="720"/>
      </w:pPr>
      <w:r>
        <w:rPr>
          <w:rFonts w:ascii="Times New Roman" w:hAnsi="Times New Roman" w:eastAsia="Times New Roman"/>
          <w:sz w:val="24"/>
        </w:rPr>
        <w:t>Kim, J. H., &amp; Yi, Y. (2026). Blended pricing and fairness perceptions: Managing intrastay rate variability in hotel bookings. Cornell Hospitality Quarterly, 67(3), 304–315. https://doi.org/10.1177/19389655261431753</w:t>
      </w:r>
    </w:p>
    <w:p>
      <w:pPr>
        <w:spacing w:line="480" w:lineRule="auto" w:after="0"/>
        <w:ind w:left="720" w:hanging="720"/>
      </w:pPr>
      <w:r>
        <w:rPr>
          <w:rFonts w:ascii="Times New Roman" w:hAnsi="Times New Roman" w:eastAsia="Times New Roman"/>
          <w:sz w:val="24"/>
        </w:rPr>
        <w:t>Marriott International. (2026). 2025 annual report. https://marriott.gcs-web.com/annual</w:t>
      </w:r>
    </w:p>
    <w:p>
      <w:pPr>
        <w:spacing w:line="480" w:lineRule="auto" w:after="0"/>
        <w:ind w:left="720" w:hanging="720"/>
      </w:pPr>
      <w:r>
        <w:rPr>
          <w:rFonts w:ascii="Times New Roman" w:hAnsi="Times New Roman" w:eastAsia="Times New Roman"/>
          <w:sz w:val="24"/>
        </w:rPr>
        <w:t>Priester, A., Robbert, T., &amp; Roth, S. (2020). A special price just for you: Effects of personalized dynamic pricing on consumer fairness perceptions. Journal of Revenue and Pricing Management, 19, 99–112.</w:t>
      </w:r>
    </w:p>
    <w:p>
      <w:pPr>
        <w:spacing w:line="480" w:lineRule="auto" w:after="0"/>
        <w:ind w:left="720" w:hanging="720"/>
      </w:pPr>
      <w:r>
        <w:rPr>
          <w:rFonts w:ascii="Times New Roman" w:hAnsi="Times New Roman" w:eastAsia="Times New Roman"/>
          <w:sz w:val="24"/>
        </w:rPr>
        <w:t>Williams, K. R. (2022). The welfare effects of dynamic pricing: Evidence from airline markets. Econometrica, 90(2), 831–858. https://doi.org/10.3982/ECTA16180</w:t>
      </w:r>
    </w:p>
    <w:p>
      <w:pPr>
        <w:pStyle w:val="Heading1"/>
        <w:pageBreakBefore/>
      </w:pPr>
      <w:r>
        <w:rPr>
          <w:rFonts w:ascii="Times New Roman" w:hAnsi="Times New Roman" w:eastAsia="Times New Roman"/>
          <w:b/>
          <w:sz w:val="24"/>
        </w:rPr>
        <w:t>Appendices</w:t>
      </w:r>
    </w:p>
    <w:p>
      <w:pPr>
        <w:spacing w:line="480" w:lineRule="auto" w:before="0" w:after="0"/>
        <w:ind w:firstLine="0"/>
        <w:jc w:val="both"/>
      </w:pPr>
      <w:r>
        <w:rPr>
          <w:rFonts w:ascii="Times New Roman" w:hAnsi="Times New Roman" w:eastAsia="Times New Roman"/>
          <w:sz w:val="24"/>
        </w:rPr>
        <w:t>Appendix A. Delta data used in the case table are taken from the company’s full-year 2025 financial results. Marriott system, RevPAR and loyalty statistics are taken from its 2025 annual report.</w:t>
      </w:r>
    </w:p>
    <w:p>
      <w:pPr>
        <w:spacing w:line="480" w:lineRule="auto" w:before="0" w:after="0"/>
        <w:ind w:firstLine="0"/>
        <w:jc w:val="both"/>
      </w:pPr>
      <w:r>
        <w:rPr>
          <w:rFonts w:ascii="Times New Roman" w:hAnsi="Times New Roman" w:eastAsia="Times New Roman"/>
          <w:sz w:val="24"/>
        </w:rPr>
        <w:t>Appendix B. Conceptual welfare note: a transfer of consumer surplus to the producer is not, by itself, deadweight loss. Deadweight loss occurs when a trade with benefits exceeding costs does not take place. Dynamic pricing can therefore either reduce or increase deadweight loss depending on its effect on output and allocation.</w:t>
      </w:r>
    </w:p>
    <w:sectPr w:rsidR="00FC693F" w:rsidRPr="0006063C" w:rsidSect="00034616">
      <w:footerReference w:type="default" r:id="rId9"/>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0" w:line="480" w:lineRule="auto"/>
      <w:outlineLvl w:val="0"/>
    </w:pPr>
    <w:rPr>
      <w:rFonts w:asciiTheme="majorHAnsi" w:eastAsiaTheme="majorEastAsia" w:hAnsiTheme="majorHAnsi" w:cstheme="majorBidi" w:ascii="Times New Roman" w:hAnsi="Times New Roman"/>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120" w:after="0" w:line="480" w:lineRule="auto"/>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120" w:after="0" w:line="480" w:lineRule="auto"/>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