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26592" w:rsidRDefault="00D26592" w:rsidP="00D26592">
      <w:pPr>
        <w:jc w:val="center"/>
        <w:rPr>
          <w:b/>
          <w:bCs/>
          <w:sz w:val="48"/>
          <w:szCs w:val="48"/>
        </w:rPr>
      </w:pPr>
      <w:r>
        <w:rPr>
          <w:b/>
          <w:noProof/>
          <w:sz w:val="48"/>
          <w:szCs w:val="48"/>
        </w:rPr>
        <w:drawing>
          <wp:inline distT="0" distB="0" distL="0" distR="0">
            <wp:extent cx="5474970" cy="1715770"/>
            <wp:effectExtent l="0" t="0" r="0" b="0"/>
            <wp:docPr id="1" name="Picture 53" descr="European Institute of Innovation, Entrepreneurship and Techn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European Institute of Innovation, Entrepreneurship and Technology"/>
                    <pic:cNvPicPr>
                      <a:picLocks noChangeAspect="1" noChangeArrowheads="1"/>
                    </pic:cNvPicPr>
                  </pic:nvPicPr>
                  <pic:blipFill>
                    <a:blip r:embed="rId5"/>
                    <a:srcRect/>
                    <a:stretch>
                      <a:fillRect/>
                    </a:stretch>
                  </pic:blipFill>
                  <pic:spPr bwMode="auto">
                    <a:xfrm>
                      <a:off x="0" y="0"/>
                      <a:ext cx="5474970" cy="1715770"/>
                    </a:xfrm>
                    <a:prstGeom prst="rect">
                      <a:avLst/>
                    </a:prstGeom>
                    <a:noFill/>
                    <a:ln w="9525">
                      <a:noFill/>
                      <a:miter lim="800000"/>
                      <a:headEnd/>
                      <a:tailEnd/>
                    </a:ln>
                  </pic:spPr>
                </pic:pic>
              </a:graphicData>
            </a:graphic>
          </wp:inline>
        </w:drawing>
      </w:r>
    </w:p>
    <w:p w:rsidR="00D26592" w:rsidRDefault="00D26592" w:rsidP="00D26592">
      <w:pPr>
        <w:jc w:val="center"/>
        <w:rPr>
          <w:sz w:val="48"/>
          <w:szCs w:val="48"/>
        </w:rPr>
      </w:pPr>
      <w:r>
        <w:rPr>
          <w:b/>
          <w:bCs/>
          <w:sz w:val="48"/>
          <w:szCs w:val="48"/>
        </w:rPr>
        <w:t xml:space="preserve">Title: </w:t>
      </w:r>
      <w:r w:rsidR="00557702" w:rsidRPr="00557702">
        <w:rPr>
          <w:b/>
          <w:bCs/>
          <w:sz w:val="48"/>
          <w:szCs w:val="48"/>
        </w:rPr>
        <w:t>Strategic Workforce Recovery Plan for Italy’s Tourism Industry Post-COVID Crisis</w:t>
      </w:r>
    </w:p>
    <w:p w:rsidR="00D26592" w:rsidRDefault="00D26592" w:rsidP="00CF1F7F">
      <w:pPr>
        <w:jc w:val="center"/>
        <w:rPr>
          <w:sz w:val="44"/>
          <w:szCs w:val="44"/>
        </w:rPr>
      </w:pPr>
      <w:r>
        <w:rPr>
          <w:b/>
          <w:sz w:val="40"/>
          <w:szCs w:val="40"/>
        </w:rPr>
        <w:br/>
      </w:r>
      <w:r>
        <w:rPr>
          <w:sz w:val="40"/>
          <w:szCs w:val="40"/>
        </w:rPr>
        <w:br/>
      </w:r>
      <w:r w:rsidR="00CF1F7F" w:rsidRPr="00CF1F7F">
        <w:rPr>
          <w:sz w:val="44"/>
          <w:szCs w:val="44"/>
        </w:rPr>
        <w:t xml:space="preserve">Student Name: Ms. </w:t>
      </w:r>
      <w:proofErr w:type="spellStart"/>
      <w:r w:rsidR="00CF1F7F" w:rsidRPr="00CF1F7F">
        <w:rPr>
          <w:sz w:val="44"/>
          <w:szCs w:val="44"/>
        </w:rPr>
        <w:t>Asha</w:t>
      </w:r>
      <w:proofErr w:type="spellEnd"/>
      <w:r w:rsidR="00CF1F7F" w:rsidRPr="00CF1F7F">
        <w:rPr>
          <w:sz w:val="44"/>
          <w:szCs w:val="44"/>
        </w:rPr>
        <w:t xml:space="preserve"> </w:t>
      </w:r>
      <w:proofErr w:type="spellStart"/>
      <w:r w:rsidR="00CF1F7F" w:rsidRPr="00CF1F7F">
        <w:rPr>
          <w:sz w:val="44"/>
          <w:szCs w:val="44"/>
        </w:rPr>
        <w:t>Rani</w:t>
      </w:r>
      <w:proofErr w:type="spellEnd"/>
      <w:r w:rsidR="00CF1F7F" w:rsidRPr="00CF1F7F">
        <w:rPr>
          <w:sz w:val="44"/>
          <w:szCs w:val="44"/>
        </w:rPr>
        <w:br/>
        <w:t>Student ID: DE240018</w:t>
      </w:r>
    </w:p>
    <w:p w:rsidR="00CF1F7F" w:rsidRDefault="00CF1F7F" w:rsidP="00CF1F7F">
      <w:pPr>
        <w:rPr>
          <w:sz w:val="44"/>
          <w:szCs w:val="44"/>
        </w:rPr>
      </w:pPr>
    </w:p>
    <w:p w:rsidR="00D26592" w:rsidRDefault="00D26592" w:rsidP="00D26592">
      <w:pPr>
        <w:jc w:val="center"/>
        <w:rPr>
          <w:sz w:val="44"/>
          <w:szCs w:val="44"/>
        </w:rPr>
      </w:pPr>
      <w:r>
        <w:rPr>
          <w:sz w:val="44"/>
          <w:szCs w:val="44"/>
        </w:rPr>
        <w:t>Submission date: 25.06.2025</w:t>
      </w:r>
    </w:p>
    <w:p w:rsidR="00672EA7" w:rsidRDefault="00672EA7" w:rsidP="00D26592"/>
    <w:p w:rsidR="0066625D" w:rsidRDefault="0066625D" w:rsidP="00D26592"/>
    <w:p w:rsidR="0066625D" w:rsidRDefault="0066625D" w:rsidP="00D26592"/>
    <w:p w:rsidR="0066625D" w:rsidRDefault="0066625D" w:rsidP="00D26592"/>
    <w:p w:rsidR="0066625D" w:rsidRDefault="0066625D" w:rsidP="00D26592"/>
    <w:p w:rsidR="0066625D" w:rsidRDefault="0066625D" w:rsidP="00D26592"/>
    <w:p w:rsidR="0066625D" w:rsidRDefault="0066625D" w:rsidP="00D26592"/>
    <w:p w:rsidR="0066625D" w:rsidRDefault="0066625D" w:rsidP="00D26592"/>
    <w:p w:rsidR="00557702" w:rsidRDefault="00557702" w:rsidP="00557702">
      <w:pPr>
        <w:pStyle w:val="Heading3"/>
      </w:pPr>
      <w:r>
        <w:lastRenderedPageBreak/>
        <w:t>Table of Contents</w:t>
      </w:r>
    </w:p>
    <w:p w:rsidR="00557702" w:rsidRDefault="00557702" w:rsidP="00557702">
      <w:pPr>
        <w:pStyle w:val="NormalWeb"/>
        <w:numPr>
          <w:ilvl w:val="0"/>
          <w:numId w:val="13"/>
        </w:numPr>
      </w:pPr>
      <w:r>
        <w:t>Abstract</w:t>
      </w:r>
    </w:p>
    <w:p w:rsidR="00557702" w:rsidRDefault="00557702" w:rsidP="00557702">
      <w:pPr>
        <w:pStyle w:val="NormalWeb"/>
        <w:numPr>
          <w:ilvl w:val="0"/>
          <w:numId w:val="13"/>
        </w:numPr>
      </w:pPr>
      <w:r>
        <w:t>Introduction</w:t>
      </w:r>
    </w:p>
    <w:p w:rsidR="00557702" w:rsidRDefault="00557702" w:rsidP="00557702">
      <w:pPr>
        <w:pStyle w:val="NormalWeb"/>
        <w:numPr>
          <w:ilvl w:val="0"/>
          <w:numId w:val="13"/>
        </w:numPr>
      </w:pPr>
      <w:r>
        <w:t>Literature Review</w:t>
      </w:r>
    </w:p>
    <w:p w:rsidR="00557702" w:rsidRDefault="00557702" w:rsidP="00557702">
      <w:pPr>
        <w:pStyle w:val="NormalWeb"/>
        <w:numPr>
          <w:ilvl w:val="0"/>
          <w:numId w:val="13"/>
        </w:numPr>
      </w:pPr>
      <w:r>
        <w:t>Methodology</w:t>
      </w:r>
    </w:p>
    <w:p w:rsidR="00557702" w:rsidRDefault="00557702" w:rsidP="00557702">
      <w:pPr>
        <w:pStyle w:val="NormalWeb"/>
        <w:numPr>
          <w:ilvl w:val="0"/>
          <w:numId w:val="13"/>
        </w:numPr>
      </w:pPr>
      <w:r>
        <w:t>Findings</w:t>
      </w:r>
    </w:p>
    <w:p w:rsidR="00557702" w:rsidRDefault="00557702" w:rsidP="00557702">
      <w:pPr>
        <w:pStyle w:val="NormalWeb"/>
        <w:numPr>
          <w:ilvl w:val="0"/>
          <w:numId w:val="13"/>
        </w:numPr>
      </w:pPr>
      <w:r>
        <w:t>Discussion</w:t>
      </w:r>
    </w:p>
    <w:p w:rsidR="00557702" w:rsidRDefault="00557702" w:rsidP="00557702">
      <w:pPr>
        <w:pStyle w:val="NormalWeb"/>
        <w:numPr>
          <w:ilvl w:val="0"/>
          <w:numId w:val="13"/>
        </w:numPr>
      </w:pPr>
      <w:r>
        <w:t>Conclusion</w:t>
      </w:r>
    </w:p>
    <w:p w:rsidR="00557702" w:rsidRDefault="00557702" w:rsidP="00557702">
      <w:pPr>
        <w:pStyle w:val="NormalWeb"/>
        <w:numPr>
          <w:ilvl w:val="0"/>
          <w:numId w:val="13"/>
        </w:numPr>
      </w:pPr>
      <w:r>
        <w:t>References</w:t>
      </w:r>
    </w:p>
    <w:p w:rsidR="009B453C" w:rsidRDefault="009B453C" w:rsidP="00557702">
      <w:pPr>
        <w:pStyle w:val="Heading3"/>
      </w:pPr>
    </w:p>
    <w:p w:rsidR="006900DE" w:rsidRPr="006900DE" w:rsidRDefault="006900DE" w:rsidP="006900DE">
      <w:pPr>
        <w:spacing w:before="100" w:beforeAutospacing="1" w:after="100" w:afterAutospacing="1" w:line="240" w:lineRule="auto"/>
        <w:outlineLvl w:val="1"/>
        <w:rPr>
          <w:rFonts w:ascii="Times New Roman" w:eastAsia="Times New Roman" w:hAnsi="Times New Roman" w:cs="Times New Roman"/>
          <w:b/>
          <w:bCs/>
          <w:sz w:val="36"/>
          <w:szCs w:val="36"/>
        </w:rPr>
      </w:pPr>
      <w:r w:rsidRPr="006900DE">
        <w:rPr>
          <w:rFonts w:ascii="Times New Roman" w:eastAsia="Times New Roman" w:hAnsi="Times New Roman" w:cs="Times New Roman"/>
          <w:b/>
          <w:bCs/>
          <w:sz w:val="36"/>
          <w:szCs w:val="36"/>
        </w:rPr>
        <w:t>Abstract</w:t>
      </w:r>
    </w:p>
    <w:p w:rsidR="006900DE" w:rsidRPr="006900DE" w:rsidRDefault="006900DE" w:rsidP="006900DE">
      <w:pPr>
        <w:spacing w:before="100" w:beforeAutospacing="1" w:after="100" w:afterAutospacing="1" w:line="240" w:lineRule="auto"/>
        <w:rPr>
          <w:rFonts w:ascii="Times New Roman" w:eastAsia="Times New Roman" w:hAnsi="Times New Roman" w:cs="Times New Roman"/>
          <w:sz w:val="24"/>
          <w:szCs w:val="24"/>
        </w:rPr>
      </w:pPr>
      <w:r w:rsidRPr="006900DE">
        <w:rPr>
          <w:rFonts w:ascii="Times New Roman" w:eastAsia="Times New Roman" w:hAnsi="Times New Roman" w:cs="Times New Roman"/>
          <w:sz w:val="24"/>
          <w:szCs w:val="24"/>
        </w:rPr>
        <w:t xml:space="preserve">The COVID-19 pandemic created seismic disruptions across the global economy, with the tourism industry among the hardest hit. For Italy, where tourism previously accounted for over 13% of GDP and employed around 3.5 million people, the consequences were especially profound (OECD, 2020). Entire regions such as Veneto, Tuscany, and Lazio, which are economically reliant on international visitors, witnessed near-total shutdowns in travel, leading to widespread unemployment and business closures. The pandemic acted as a magnifier, exposing structural fragilities in Italy’s tourism </w:t>
      </w:r>
      <w:proofErr w:type="spellStart"/>
      <w:r w:rsidRPr="006900DE">
        <w:rPr>
          <w:rFonts w:ascii="Times New Roman" w:eastAsia="Times New Roman" w:hAnsi="Times New Roman" w:cs="Times New Roman"/>
          <w:sz w:val="24"/>
          <w:szCs w:val="24"/>
        </w:rPr>
        <w:t>labour</w:t>
      </w:r>
      <w:proofErr w:type="spellEnd"/>
      <w:r w:rsidRPr="006900DE">
        <w:rPr>
          <w:rFonts w:ascii="Times New Roman" w:eastAsia="Times New Roman" w:hAnsi="Times New Roman" w:cs="Times New Roman"/>
          <w:sz w:val="24"/>
          <w:szCs w:val="24"/>
        </w:rPr>
        <w:t xml:space="preserve"> force, including dependence on seasonal work, informal employment, and a lack of social protections.</w:t>
      </w:r>
    </w:p>
    <w:p w:rsidR="006900DE" w:rsidRPr="006900DE" w:rsidRDefault="006900DE" w:rsidP="006900DE">
      <w:pPr>
        <w:spacing w:before="100" w:beforeAutospacing="1" w:after="100" w:afterAutospacing="1" w:line="240" w:lineRule="auto"/>
        <w:rPr>
          <w:rFonts w:ascii="Times New Roman" w:eastAsia="Times New Roman" w:hAnsi="Times New Roman" w:cs="Times New Roman"/>
          <w:sz w:val="24"/>
          <w:szCs w:val="24"/>
        </w:rPr>
      </w:pPr>
      <w:r w:rsidRPr="006900DE">
        <w:rPr>
          <w:rFonts w:ascii="Times New Roman" w:eastAsia="Times New Roman" w:hAnsi="Times New Roman" w:cs="Times New Roman"/>
          <w:sz w:val="24"/>
          <w:szCs w:val="24"/>
        </w:rPr>
        <w:t xml:space="preserve">This paper presents a strategic workforce recovery plan tailored specifically to Italy’s post-COVID tourism sector. The framework is informed by extensive analysis of secondary data, expert commentaries, and policy documents from reputable sources such as the European Commission, the United Nations World Tourism Organization (UNWTO), and the International </w:t>
      </w:r>
      <w:proofErr w:type="spellStart"/>
      <w:r w:rsidRPr="006900DE">
        <w:rPr>
          <w:rFonts w:ascii="Times New Roman" w:eastAsia="Times New Roman" w:hAnsi="Times New Roman" w:cs="Times New Roman"/>
          <w:sz w:val="24"/>
          <w:szCs w:val="24"/>
        </w:rPr>
        <w:t>Labour</w:t>
      </w:r>
      <w:proofErr w:type="spellEnd"/>
      <w:r w:rsidRPr="006900DE">
        <w:rPr>
          <w:rFonts w:ascii="Times New Roman" w:eastAsia="Times New Roman" w:hAnsi="Times New Roman" w:cs="Times New Roman"/>
          <w:sz w:val="24"/>
          <w:szCs w:val="24"/>
        </w:rPr>
        <w:t xml:space="preserve"> Organization (ILO). A core finding is that Italy’s recovery must not aim to simply restore pre-pandemic status, but rather to transform its workforce infrastructure into a more resilient, inclusive, and adaptable system.</w:t>
      </w:r>
    </w:p>
    <w:p w:rsidR="006900DE" w:rsidRPr="006900DE" w:rsidRDefault="006900DE" w:rsidP="006900DE">
      <w:pPr>
        <w:spacing w:before="100" w:beforeAutospacing="1" w:after="100" w:afterAutospacing="1" w:line="240" w:lineRule="auto"/>
        <w:rPr>
          <w:rFonts w:ascii="Times New Roman" w:eastAsia="Times New Roman" w:hAnsi="Times New Roman" w:cs="Times New Roman"/>
          <w:sz w:val="24"/>
          <w:szCs w:val="24"/>
        </w:rPr>
      </w:pPr>
      <w:r w:rsidRPr="006900DE">
        <w:rPr>
          <w:rFonts w:ascii="Times New Roman" w:eastAsia="Times New Roman" w:hAnsi="Times New Roman" w:cs="Times New Roman"/>
          <w:sz w:val="24"/>
          <w:szCs w:val="24"/>
        </w:rPr>
        <w:t xml:space="preserve">Key vulnerabilities identified include the high rate of informality, wage volatility, gender disparities, and lack of digital </w:t>
      </w:r>
      <w:proofErr w:type="spellStart"/>
      <w:r w:rsidRPr="006900DE">
        <w:rPr>
          <w:rFonts w:ascii="Times New Roman" w:eastAsia="Times New Roman" w:hAnsi="Times New Roman" w:cs="Times New Roman"/>
          <w:sz w:val="24"/>
          <w:szCs w:val="24"/>
        </w:rPr>
        <w:t>upskilling</w:t>
      </w:r>
      <w:proofErr w:type="spellEnd"/>
      <w:r w:rsidRPr="006900DE">
        <w:rPr>
          <w:rFonts w:ascii="Times New Roman" w:eastAsia="Times New Roman" w:hAnsi="Times New Roman" w:cs="Times New Roman"/>
          <w:sz w:val="24"/>
          <w:szCs w:val="24"/>
        </w:rPr>
        <w:t xml:space="preserve"> initiatives. According to the ILO (2022), nearly 20% of Italy's tourism workers operated without formal contracts before the pandemic, leaving them unprotected during the crisis. Furthermore, wage support measures were often delayed or inaccessible to these vulnerable workers, intensifying their financial insecurity (Corte </w:t>
      </w:r>
      <w:proofErr w:type="spellStart"/>
      <w:r w:rsidRPr="006900DE">
        <w:rPr>
          <w:rFonts w:ascii="Times New Roman" w:eastAsia="Times New Roman" w:hAnsi="Times New Roman" w:cs="Times New Roman"/>
          <w:sz w:val="24"/>
          <w:szCs w:val="24"/>
        </w:rPr>
        <w:t>dei</w:t>
      </w:r>
      <w:proofErr w:type="spellEnd"/>
      <w:r w:rsidRPr="006900DE">
        <w:rPr>
          <w:rFonts w:ascii="Times New Roman" w:eastAsia="Times New Roman" w:hAnsi="Times New Roman" w:cs="Times New Roman"/>
          <w:sz w:val="24"/>
          <w:szCs w:val="24"/>
        </w:rPr>
        <w:t xml:space="preserve"> Conti, 2021). Female workers, comprising a large share of hospitality and service roles, were disproportionately impacted due to both economic and </w:t>
      </w:r>
      <w:proofErr w:type="spellStart"/>
      <w:r w:rsidRPr="006900DE">
        <w:rPr>
          <w:rFonts w:ascii="Times New Roman" w:eastAsia="Times New Roman" w:hAnsi="Times New Roman" w:cs="Times New Roman"/>
          <w:sz w:val="24"/>
          <w:szCs w:val="24"/>
        </w:rPr>
        <w:t>caregiving</w:t>
      </w:r>
      <w:proofErr w:type="spellEnd"/>
      <w:r w:rsidRPr="006900DE">
        <w:rPr>
          <w:rFonts w:ascii="Times New Roman" w:eastAsia="Times New Roman" w:hAnsi="Times New Roman" w:cs="Times New Roman"/>
          <w:sz w:val="24"/>
          <w:szCs w:val="24"/>
        </w:rPr>
        <w:t xml:space="preserve"> pressures (EIGE, 2021).</w:t>
      </w:r>
    </w:p>
    <w:p w:rsidR="006900DE" w:rsidRPr="006900DE" w:rsidRDefault="006900DE" w:rsidP="006900DE">
      <w:pPr>
        <w:spacing w:before="100" w:beforeAutospacing="1" w:after="100" w:afterAutospacing="1" w:line="240" w:lineRule="auto"/>
        <w:rPr>
          <w:rFonts w:ascii="Times New Roman" w:eastAsia="Times New Roman" w:hAnsi="Times New Roman" w:cs="Times New Roman"/>
          <w:sz w:val="24"/>
          <w:szCs w:val="24"/>
        </w:rPr>
      </w:pPr>
      <w:r w:rsidRPr="006900DE">
        <w:rPr>
          <w:rFonts w:ascii="Times New Roman" w:eastAsia="Times New Roman" w:hAnsi="Times New Roman" w:cs="Times New Roman"/>
          <w:sz w:val="24"/>
          <w:szCs w:val="24"/>
        </w:rPr>
        <w:t xml:space="preserve">The paper also explores how Italy’s rigid </w:t>
      </w:r>
      <w:proofErr w:type="spellStart"/>
      <w:r w:rsidRPr="006900DE">
        <w:rPr>
          <w:rFonts w:ascii="Times New Roman" w:eastAsia="Times New Roman" w:hAnsi="Times New Roman" w:cs="Times New Roman"/>
          <w:sz w:val="24"/>
          <w:szCs w:val="24"/>
        </w:rPr>
        <w:t>labour</w:t>
      </w:r>
      <w:proofErr w:type="spellEnd"/>
      <w:r w:rsidRPr="006900DE">
        <w:rPr>
          <w:rFonts w:ascii="Times New Roman" w:eastAsia="Times New Roman" w:hAnsi="Times New Roman" w:cs="Times New Roman"/>
          <w:sz w:val="24"/>
          <w:szCs w:val="24"/>
        </w:rPr>
        <w:t xml:space="preserve"> laws and fragmented policy response delayed the sector’s bounce-back compared to other EU nations. For example, Spain and Portugal implemented integrated wage subsidy and </w:t>
      </w:r>
      <w:proofErr w:type="spellStart"/>
      <w:r w:rsidRPr="006900DE">
        <w:rPr>
          <w:rFonts w:ascii="Times New Roman" w:eastAsia="Times New Roman" w:hAnsi="Times New Roman" w:cs="Times New Roman"/>
          <w:sz w:val="24"/>
          <w:szCs w:val="24"/>
        </w:rPr>
        <w:t>reskilling</w:t>
      </w:r>
      <w:proofErr w:type="spellEnd"/>
      <w:r w:rsidRPr="006900DE">
        <w:rPr>
          <w:rFonts w:ascii="Times New Roman" w:eastAsia="Times New Roman" w:hAnsi="Times New Roman" w:cs="Times New Roman"/>
          <w:sz w:val="24"/>
          <w:szCs w:val="24"/>
        </w:rPr>
        <w:t xml:space="preserve"> schemes early on, while Italy’s support was criticized for being piecemeal and reactive (</w:t>
      </w:r>
      <w:proofErr w:type="spellStart"/>
      <w:r w:rsidRPr="006900DE">
        <w:rPr>
          <w:rFonts w:ascii="Times New Roman" w:eastAsia="Times New Roman" w:hAnsi="Times New Roman" w:cs="Times New Roman"/>
          <w:sz w:val="24"/>
          <w:szCs w:val="24"/>
        </w:rPr>
        <w:t>Eurofound</w:t>
      </w:r>
      <w:proofErr w:type="spellEnd"/>
      <w:r w:rsidRPr="006900DE">
        <w:rPr>
          <w:rFonts w:ascii="Times New Roman" w:eastAsia="Times New Roman" w:hAnsi="Times New Roman" w:cs="Times New Roman"/>
          <w:sz w:val="24"/>
          <w:szCs w:val="24"/>
        </w:rPr>
        <w:t>, 2022). These differences highlight the need for coordinated national strategies rather than regionally segmented responses, especially in crisis scenarios.</w:t>
      </w:r>
    </w:p>
    <w:p w:rsidR="006900DE" w:rsidRPr="006900DE" w:rsidRDefault="006900DE" w:rsidP="006900DE">
      <w:pPr>
        <w:spacing w:before="100" w:beforeAutospacing="1" w:after="100" w:afterAutospacing="1" w:line="240" w:lineRule="auto"/>
        <w:rPr>
          <w:rFonts w:ascii="Times New Roman" w:eastAsia="Times New Roman" w:hAnsi="Times New Roman" w:cs="Times New Roman"/>
          <w:sz w:val="24"/>
          <w:szCs w:val="24"/>
        </w:rPr>
      </w:pPr>
      <w:r w:rsidRPr="006900DE">
        <w:rPr>
          <w:rFonts w:ascii="Times New Roman" w:eastAsia="Times New Roman" w:hAnsi="Times New Roman" w:cs="Times New Roman"/>
          <w:sz w:val="24"/>
          <w:szCs w:val="24"/>
        </w:rPr>
        <w:lastRenderedPageBreak/>
        <w:t xml:space="preserve">To address these issues, the proposed strategy incorporates four pillars: </w:t>
      </w:r>
      <w:proofErr w:type="spellStart"/>
      <w:r w:rsidRPr="006900DE">
        <w:rPr>
          <w:rFonts w:ascii="Times New Roman" w:eastAsia="Times New Roman" w:hAnsi="Times New Roman" w:cs="Times New Roman"/>
          <w:sz w:val="24"/>
          <w:szCs w:val="24"/>
        </w:rPr>
        <w:t>upskilling</w:t>
      </w:r>
      <w:proofErr w:type="spellEnd"/>
      <w:r w:rsidRPr="006900DE">
        <w:rPr>
          <w:rFonts w:ascii="Times New Roman" w:eastAsia="Times New Roman" w:hAnsi="Times New Roman" w:cs="Times New Roman"/>
          <w:sz w:val="24"/>
          <w:szCs w:val="24"/>
        </w:rPr>
        <w:t xml:space="preserve"> and digital literacy programs; wage and benefit guarantees for seasonal workers; enhanced inter-regional </w:t>
      </w:r>
      <w:proofErr w:type="spellStart"/>
      <w:r w:rsidRPr="006900DE">
        <w:rPr>
          <w:rFonts w:ascii="Times New Roman" w:eastAsia="Times New Roman" w:hAnsi="Times New Roman" w:cs="Times New Roman"/>
          <w:sz w:val="24"/>
          <w:szCs w:val="24"/>
        </w:rPr>
        <w:t>labour</w:t>
      </w:r>
      <w:proofErr w:type="spellEnd"/>
      <w:r w:rsidRPr="006900DE">
        <w:rPr>
          <w:rFonts w:ascii="Times New Roman" w:eastAsia="Times New Roman" w:hAnsi="Times New Roman" w:cs="Times New Roman"/>
          <w:sz w:val="24"/>
          <w:szCs w:val="24"/>
        </w:rPr>
        <w:t xml:space="preserve"> mobility; and proactive crisis preparedness. Building long-term resilience requires institutional reforms and public-private collaboration, ensuring that both employers and workers are equipped to face future shocks (Baum &amp; </w:t>
      </w:r>
      <w:proofErr w:type="spellStart"/>
      <w:r w:rsidRPr="006900DE">
        <w:rPr>
          <w:rFonts w:ascii="Times New Roman" w:eastAsia="Times New Roman" w:hAnsi="Times New Roman" w:cs="Times New Roman"/>
          <w:sz w:val="24"/>
          <w:szCs w:val="24"/>
        </w:rPr>
        <w:t>Hai</w:t>
      </w:r>
      <w:proofErr w:type="spellEnd"/>
      <w:r w:rsidRPr="006900DE">
        <w:rPr>
          <w:rFonts w:ascii="Times New Roman" w:eastAsia="Times New Roman" w:hAnsi="Times New Roman" w:cs="Times New Roman"/>
          <w:sz w:val="24"/>
          <w:szCs w:val="24"/>
        </w:rPr>
        <w:t>, 2021). Moreover, the recovery plan emphasizes the importance of embedding equity, sustainability, and innovation at the heart of workforce development.</w:t>
      </w:r>
    </w:p>
    <w:p w:rsidR="006900DE" w:rsidRPr="006900DE" w:rsidRDefault="006900DE" w:rsidP="006900DE">
      <w:pPr>
        <w:spacing w:before="100" w:beforeAutospacing="1" w:after="100" w:afterAutospacing="1" w:line="240" w:lineRule="auto"/>
        <w:rPr>
          <w:rFonts w:ascii="Times New Roman" w:eastAsia="Times New Roman" w:hAnsi="Times New Roman" w:cs="Times New Roman"/>
          <w:sz w:val="24"/>
          <w:szCs w:val="24"/>
        </w:rPr>
      </w:pPr>
      <w:r w:rsidRPr="006900DE">
        <w:rPr>
          <w:rFonts w:ascii="Times New Roman" w:eastAsia="Times New Roman" w:hAnsi="Times New Roman" w:cs="Times New Roman"/>
          <w:sz w:val="24"/>
          <w:szCs w:val="24"/>
        </w:rPr>
        <w:t xml:space="preserve">By adopting a comprehensive, evidence-based approach, this paper contributes to the growing body of research on post-pandemic tourism recovery. It offers actionable recommendations not only for Italian policymakers but also for other nations facing similar challenges. Ultimately, rebuilding Italy’s tourism workforce offers an opportunity to </w:t>
      </w:r>
      <w:proofErr w:type="spellStart"/>
      <w:r w:rsidRPr="006900DE">
        <w:rPr>
          <w:rFonts w:ascii="Times New Roman" w:eastAsia="Times New Roman" w:hAnsi="Times New Roman" w:cs="Times New Roman"/>
          <w:sz w:val="24"/>
          <w:szCs w:val="24"/>
        </w:rPr>
        <w:t>reimagine</w:t>
      </w:r>
      <w:proofErr w:type="spellEnd"/>
      <w:r w:rsidRPr="006900DE">
        <w:rPr>
          <w:rFonts w:ascii="Times New Roman" w:eastAsia="Times New Roman" w:hAnsi="Times New Roman" w:cs="Times New Roman"/>
          <w:sz w:val="24"/>
          <w:szCs w:val="24"/>
        </w:rPr>
        <w:t xml:space="preserve"> the sector—making it stronger, fairer, and more future-proof than before.</w:t>
      </w:r>
    </w:p>
    <w:p w:rsidR="006900DE" w:rsidRPr="006900DE" w:rsidRDefault="006900DE" w:rsidP="006900DE">
      <w:pPr>
        <w:spacing w:after="0" w:line="240" w:lineRule="auto"/>
        <w:rPr>
          <w:rFonts w:ascii="Times New Roman" w:eastAsia="Times New Roman" w:hAnsi="Times New Roman" w:cs="Times New Roman"/>
          <w:sz w:val="24"/>
          <w:szCs w:val="24"/>
        </w:rPr>
      </w:pPr>
    </w:p>
    <w:p w:rsidR="006900DE" w:rsidRPr="006900DE" w:rsidRDefault="006900DE" w:rsidP="006900DE">
      <w:pPr>
        <w:spacing w:before="100" w:beforeAutospacing="1" w:after="100" w:afterAutospacing="1" w:line="240" w:lineRule="auto"/>
        <w:outlineLvl w:val="1"/>
        <w:rPr>
          <w:rFonts w:ascii="Times New Roman" w:eastAsia="Times New Roman" w:hAnsi="Times New Roman" w:cs="Times New Roman"/>
          <w:b/>
          <w:bCs/>
          <w:sz w:val="36"/>
          <w:szCs w:val="36"/>
        </w:rPr>
      </w:pPr>
      <w:r w:rsidRPr="006900DE">
        <w:rPr>
          <w:rFonts w:ascii="Times New Roman" w:eastAsia="Times New Roman" w:hAnsi="Times New Roman" w:cs="Times New Roman"/>
          <w:b/>
          <w:bCs/>
          <w:sz w:val="36"/>
          <w:szCs w:val="36"/>
        </w:rPr>
        <w:t>Introduction</w:t>
      </w:r>
    </w:p>
    <w:p w:rsidR="006900DE" w:rsidRPr="006900DE" w:rsidRDefault="006900DE" w:rsidP="006900DE">
      <w:pPr>
        <w:spacing w:before="100" w:beforeAutospacing="1" w:after="100" w:afterAutospacing="1" w:line="240" w:lineRule="auto"/>
        <w:rPr>
          <w:rFonts w:ascii="Times New Roman" w:eastAsia="Times New Roman" w:hAnsi="Times New Roman" w:cs="Times New Roman"/>
          <w:sz w:val="24"/>
          <w:szCs w:val="24"/>
        </w:rPr>
      </w:pPr>
      <w:r w:rsidRPr="006900DE">
        <w:rPr>
          <w:rFonts w:ascii="Times New Roman" w:eastAsia="Times New Roman" w:hAnsi="Times New Roman" w:cs="Times New Roman"/>
          <w:sz w:val="24"/>
          <w:szCs w:val="24"/>
        </w:rPr>
        <w:t>Italy’s prominence as a global tourism destination is rooted in its cultural heritage, diverse landscapes, and culinary reputation. Prior to the COVID-19 crisis, tourism in Italy generated over €230 billion annually, supporting both urban and rural economies (OECD, 2020). It employed a significant portion of the population, especially in regions like Lombardy, Sicily, and Campania. Tourism-related jobs were especially vital in supporting SMEs, family-run businesses, and youth employment. However, this heavy dependence on international tourism created a structural vulnerability that was exposed brutally when borders closed in 2020.</w:t>
      </w:r>
    </w:p>
    <w:p w:rsidR="006900DE" w:rsidRPr="006900DE" w:rsidRDefault="006900DE" w:rsidP="006900DE">
      <w:pPr>
        <w:spacing w:before="100" w:beforeAutospacing="1" w:after="100" w:afterAutospacing="1" w:line="240" w:lineRule="auto"/>
        <w:rPr>
          <w:rFonts w:ascii="Times New Roman" w:eastAsia="Times New Roman" w:hAnsi="Times New Roman" w:cs="Times New Roman"/>
          <w:sz w:val="24"/>
          <w:szCs w:val="24"/>
        </w:rPr>
      </w:pPr>
      <w:r w:rsidRPr="006900DE">
        <w:rPr>
          <w:rFonts w:ascii="Times New Roman" w:eastAsia="Times New Roman" w:hAnsi="Times New Roman" w:cs="Times New Roman"/>
          <w:sz w:val="24"/>
          <w:szCs w:val="24"/>
        </w:rPr>
        <w:t>The immediate impact of the pandemic on the tourism workforce was catastrophic. As international travel bans, lockdowns, and safety concerns intensified, tourism demand evaporated almost overnight. The Italian National Institute of Statistics (ISTAT, 2021) reported a 73% decline in foreign arrivals in 2020. Hospitality, event management, and cultural services were forced to suspend operations, leading to massive job losses, especially among seasonal, part-time, and informal workers. Many of these individuals, particularly women and migrants, lacked access to Italy’s formal social protection systems, leaving them economically stranded (ILO, 2022).</w:t>
      </w:r>
    </w:p>
    <w:p w:rsidR="006900DE" w:rsidRPr="006900DE" w:rsidRDefault="006900DE" w:rsidP="006900DE">
      <w:pPr>
        <w:spacing w:before="100" w:beforeAutospacing="1" w:after="100" w:afterAutospacing="1" w:line="240" w:lineRule="auto"/>
        <w:rPr>
          <w:rFonts w:ascii="Times New Roman" w:eastAsia="Times New Roman" w:hAnsi="Times New Roman" w:cs="Times New Roman"/>
          <w:sz w:val="24"/>
          <w:szCs w:val="24"/>
        </w:rPr>
      </w:pPr>
      <w:r w:rsidRPr="006900DE">
        <w:rPr>
          <w:rFonts w:ascii="Times New Roman" w:eastAsia="Times New Roman" w:hAnsi="Times New Roman" w:cs="Times New Roman"/>
          <w:sz w:val="24"/>
          <w:szCs w:val="24"/>
        </w:rPr>
        <w:t xml:space="preserve">This paper argues that simply reopening borders and reinstating pre-pandemic tourism models is insufficient. Rather, the crisis offers a critical juncture to rethink and rebuild Italy’s tourism </w:t>
      </w:r>
      <w:proofErr w:type="spellStart"/>
      <w:r w:rsidRPr="006900DE">
        <w:rPr>
          <w:rFonts w:ascii="Times New Roman" w:eastAsia="Times New Roman" w:hAnsi="Times New Roman" w:cs="Times New Roman"/>
          <w:sz w:val="24"/>
          <w:szCs w:val="24"/>
        </w:rPr>
        <w:t>labour</w:t>
      </w:r>
      <w:proofErr w:type="spellEnd"/>
      <w:r w:rsidRPr="006900DE">
        <w:rPr>
          <w:rFonts w:ascii="Times New Roman" w:eastAsia="Times New Roman" w:hAnsi="Times New Roman" w:cs="Times New Roman"/>
          <w:sz w:val="24"/>
          <w:szCs w:val="24"/>
        </w:rPr>
        <w:t xml:space="preserve"> ecosystem. According to Baum et al. (2021), resilience in the tourism workforce must be cultivated through proactive policymaking, equitable employment practices, and investment in digital and green skills. Italy’s recovery strategy must account for both short-term rehabilitation and long-term transformation to reduce </w:t>
      </w:r>
      <w:proofErr w:type="spellStart"/>
      <w:r w:rsidRPr="006900DE">
        <w:rPr>
          <w:rFonts w:ascii="Times New Roman" w:eastAsia="Times New Roman" w:hAnsi="Times New Roman" w:cs="Times New Roman"/>
          <w:sz w:val="24"/>
          <w:szCs w:val="24"/>
        </w:rPr>
        <w:t>labour</w:t>
      </w:r>
      <w:proofErr w:type="spellEnd"/>
      <w:r w:rsidRPr="006900DE">
        <w:rPr>
          <w:rFonts w:ascii="Times New Roman" w:eastAsia="Times New Roman" w:hAnsi="Times New Roman" w:cs="Times New Roman"/>
          <w:sz w:val="24"/>
          <w:szCs w:val="24"/>
        </w:rPr>
        <w:t xml:space="preserve"> </w:t>
      </w:r>
      <w:proofErr w:type="spellStart"/>
      <w:r w:rsidRPr="006900DE">
        <w:rPr>
          <w:rFonts w:ascii="Times New Roman" w:eastAsia="Times New Roman" w:hAnsi="Times New Roman" w:cs="Times New Roman"/>
          <w:sz w:val="24"/>
          <w:szCs w:val="24"/>
        </w:rPr>
        <w:t>precarity</w:t>
      </w:r>
      <w:proofErr w:type="spellEnd"/>
      <w:r w:rsidRPr="006900DE">
        <w:rPr>
          <w:rFonts w:ascii="Times New Roman" w:eastAsia="Times New Roman" w:hAnsi="Times New Roman" w:cs="Times New Roman"/>
          <w:sz w:val="24"/>
          <w:szCs w:val="24"/>
        </w:rPr>
        <w:t xml:space="preserve"> and enhance </w:t>
      </w:r>
      <w:proofErr w:type="spellStart"/>
      <w:r w:rsidRPr="006900DE">
        <w:rPr>
          <w:rFonts w:ascii="Times New Roman" w:eastAsia="Times New Roman" w:hAnsi="Times New Roman" w:cs="Times New Roman"/>
          <w:sz w:val="24"/>
          <w:szCs w:val="24"/>
        </w:rPr>
        <w:t>sectoral</w:t>
      </w:r>
      <w:proofErr w:type="spellEnd"/>
      <w:r w:rsidRPr="006900DE">
        <w:rPr>
          <w:rFonts w:ascii="Times New Roman" w:eastAsia="Times New Roman" w:hAnsi="Times New Roman" w:cs="Times New Roman"/>
          <w:sz w:val="24"/>
          <w:szCs w:val="24"/>
        </w:rPr>
        <w:t xml:space="preserve"> adaptability.</w:t>
      </w:r>
    </w:p>
    <w:p w:rsidR="006900DE" w:rsidRPr="006900DE" w:rsidRDefault="006900DE" w:rsidP="006900DE">
      <w:pPr>
        <w:spacing w:before="100" w:beforeAutospacing="1" w:after="100" w:afterAutospacing="1" w:line="240" w:lineRule="auto"/>
        <w:rPr>
          <w:rFonts w:ascii="Times New Roman" w:eastAsia="Times New Roman" w:hAnsi="Times New Roman" w:cs="Times New Roman"/>
          <w:sz w:val="24"/>
          <w:szCs w:val="24"/>
        </w:rPr>
      </w:pPr>
      <w:r w:rsidRPr="006900DE">
        <w:rPr>
          <w:rFonts w:ascii="Times New Roman" w:eastAsia="Times New Roman" w:hAnsi="Times New Roman" w:cs="Times New Roman"/>
          <w:sz w:val="24"/>
          <w:szCs w:val="24"/>
        </w:rPr>
        <w:t>Moreover, Italy’s workforce challenges are not uniform across regions. The North-South divide remains prominent, with the South more reliant on informal employment and less access to training infrastructure (</w:t>
      </w:r>
      <w:proofErr w:type="spellStart"/>
      <w:r w:rsidRPr="006900DE">
        <w:rPr>
          <w:rFonts w:ascii="Times New Roman" w:eastAsia="Times New Roman" w:hAnsi="Times New Roman" w:cs="Times New Roman"/>
          <w:sz w:val="24"/>
          <w:szCs w:val="24"/>
        </w:rPr>
        <w:t>Banca</w:t>
      </w:r>
      <w:proofErr w:type="spellEnd"/>
      <w:r w:rsidRPr="006900DE">
        <w:rPr>
          <w:rFonts w:ascii="Times New Roman" w:eastAsia="Times New Roman" w:hAnsi="Times New Roman" w:cs="Times New Roman"/>
          <w:sz w:val="24"/>
          <w:szCs w:val="24"/>
        </w:rPr>
        <w:t xml:space="preserve"> </w:t>
      </w:r>
      <w:proofErr w:type="spellStart"/>
      <w:r w:rsidRPr="006900DE">
        <w:rPr>
          <w:rFonts w:ascii="Times New Roman" w:eastAsia="Times New Roman" w:hAnsi="Times New Roman" w:cs="Times New Roman"/>
          <w:sz w:val="24"/>
          <w:szCs w:val="24"/>
        </w:rPr>
        <w:t>d’Italia</w:t>
      </w:r>
      <w:proofErr w:type="spellEnd"/>
      <w:r w:rsidRPr="006900DE">
        <w:rPr>
          <w:rFonts w:ascii="Times New Roman" w:eastAsia="Times New Roman" w:hAnsi="Times New Roman" w:cs="Times New Roman"/>
          <w:sz w:val="24"/>
          <w:szCs w:val="24"/>
        </w:rPr>
        <w:t xml:space="preserve">, 2021). Urban </w:t>
      </w:r>
      <w:proofErr w:type="spellStart"/>
      <w:r w:rsidRPr="006900DE">
        <w:rPr>
          <w:rFonts w:ascii="Times New Roman" w:eastAsia="Times New Roman" w:hAnsi="Times New Roman" w:cs="Times New Roman"/>
          <w:sz w:val="24"/>
          <w:szCs w:val="24"/>
        </w:rPr>
        <w:t>centres</w:t>
      </w:r>
      <w:proofErr w:type="spellEnd"/>
      <w:r w:rsidRPr="006900DE">
        <w:rPr>
          <w:rFonts w:ascii="Times New Roman" w:eastAsia="Times New Roman" w:hAnsi="Times New Roman" w:cs="Times New Roman"/>
          <w:sz w:val="24"/>
          <w:szCs w:val="24"/>
        </w:rPr>
        <w:t xml:space="preserve"> recovered more quickly due to better digital infrastructure and government support, while peripheral areas struggled to retain skilled </w:t>
      </w:r>
      <w:r w:rsidRPr="006900DE">
        <w:rPr>
          <w:rFonts w:ascii="Times New Roman" w:eastAsia="Times New Roman" w:hAnsi="Times New Roman" w:cs="Times New Roman"/>
          <w:sz w:val="24"/>
          <w:szCs w:val="24"/>
        </w:rPr>
        <w:lastRenderedPageBreak/>
        <w:t>workers. These disparities highlight the need for region-specific approaches within a unified national recovery framework.</w:t>
      </w:r>
    </w:p>
    <w:p w:rsidR="006900DE" w:rsidRPr="006900DE" w:rsidRDefault="006900DE" w:rsidP="006900DE">
      <w:pPr>
        <w:spacing w:before="100" w:beforeAutospacing="1" w:after="100" w:afterAutospacing="1" w:line="240" w:lineRule="auto"/>
        <w:rPr>
          <w:rFonts w:ascii="Times New Roman" w:eastAsia="Times New Roman" w:hAnsi="Times New Roman" w:cs="Times New Roman"/>
          <w:sz w:val="24"/>
          <w:szCs w:val="24"/>
        </w:rPr>
      </w:pPr>
      <w:r w:rsidRPr="006900DE">
        <w:rPr>
          <w:rFonts w:ascii="Times New Roman" w:eastAsia="Times New Roman" w:hAnsi="Times New Roman" w:cs="Times New Roman"/>
          <w:sz w:val="24"/>
          <w:szCs w:val="24"/>
        </w:rPr>
        <w:t xml:space="preserve">The aim of this study is to provide a research-backed, pragmatic roadmap for workforce recovery in Italy’s tourism sector. Drawing on best practices from other European economies and integrating recommendations from institutions such as the UNWTO, European Commission, and </w:t>
      </w:r>
      <w:proofErr w:type="spellStart"/>
      <w:r w:rsidRPr="006900DE">
        <w:rPr>
          <w:rFonts w:ascii="Times New Roman" w:eastAsia="Times New Roman" w:hAnsi="Times New Roman" w:cs="Times New Roman"/>
          <w:sz w:val="24"/>
          <w:szCs w:val="24"/>
        </w:rPr>
        <w:t>Eurofound</w:t>
      </w:r>
      <w:proofErr w:type="spellEnd"/>
      <w:r w:rsidRPr="006900DE">
        <w:rPr>
          <w:rFonts w:ascii="Times New Roman" w:eastAsia="Times New Roman" w:hAnsi="Times New Roman" w:cs="Times New Roman"/>
          <w:sz w:val="24"/>
          <w:szCs w:val="24"/>
        </w:rPr>
        <w:t xml:space="preserve">, this paper proposes a phased recovery model. The ultimate goal is not only economic revival but also ensuring that Italy’s tourism </w:t>
      </w:r>
      <w:proofErr w:type="spellStart"/>
      <w:r w:rsidRPr="006900DE">
        <w:rPr>
          <w:rFonts w:ascii="Times New Roman" w:eastAsia="Times New Roman" w:hAnsi="Times New Roman" w:cs="Times New Roman"/>
          <w:sz w:val="24"/>
          <w:szCs w:val="24"/>
        </w:rPr>
        <w:t>labour</w:t>
      </w:r>
      <w:proofErr w:type="spellEnd"/>
      <w:r w:rsidRPr="006900DE">
        <w:rPr>
          <w:rFonts w:ascii="Times New Roman" w:eastAsia="Times New Roman" w:hAnsi="Times New Roman" w:cs="Times New Roman"/>
          <w:sz w:val="24"/>
          <w:szCs w:val="24"/>
        </w:rPr>
        <w:t xml:space="preserve"> market becomes more inclusive, ethical, and resilient against future disruptions.</w:t>
      </w:r>
    </w:p>
    <w:p w:rsidR="006900DE" w:rsidRPr="006900DE" w:rsidRDefault="006900DE" w:rsidP="006900DE">
      <w:pPr>
        <w:spacing w:after="0" w:line="240" w:lineRule="auto"/>
        <w:rPr>
          <w:rFonts w:ascii="Times New Roman" w:eastAsia="Times New Roman" w:hAnsi="Times New Roman" w:cs="Times New Roman"/>
          <w:sz w:val="24"/>
          <w:szCs w:val="24"/>
        </w:rPr>
      </w:pPr>
    </w:p>
    <w:p w:rsidR="006900DE" w:rsidRPr="006900DE" w:rsidRDefault="006900DE" w:rsidP="006900DE">
      <w:pPr>
        <w:spacing w:before="100" w:beforeAutospacing="1" w:after="100" w:afterAutospacing="1" w:line="240" w:lineRule="auto"/>
        <w:outlineLvl w:val="1"/>
        <w:rPr>
          <w:rFonts w:ascii="Times New Roman" w:eastAsia="Times New Roman" w:hAnsi="Times New Roman" w:cs="Times New Roman"/>
          <w:b/>
          <w:bCs/>
          <w:sz w:val="36"/>
          <w:szCs w:val="36"/>
        </w:rPr>
      </w:pPr>
      <w:r w:rsidRPr="006900DE">
        <w:rPr>
          <w:rFonts w:ascii="Times New Roman" w:eastAsia="Times New Roman" w:hAnsi="Times New Roman" w:cs="Times New Roman"/>
          <w:b/>
          <w:bCs/>
          <w:sz w:val="36"/>
          <w:szCs w:val="36"/>
        </w:rPr>
        <w:t>Literature Review</w:t>
      </w:r>
    </w:p>
    <w:p w:rsidR="006900DE" w:rsidRPr="006900DE" w:rsidRDefault="006900DE" w:rsidP="006900DE">
      <w:pPr>
        <w:spacing w:before="100" w:beforeAutospacing="1" w:after="100" w:afterAutospacing="1" w:line="240" w:lineRule="auto"/>
        <w:outlineLvl w:val="2"/>
        <w:rPr>
          <w:rFonts w:ascii="Times New Roman" w:eastAsia="Times New Roman" w:hAnsi="Times New Roman" w:cs="Times New Roman"/>
          <w:b/>
          <w:bCs/>
          <w:sz w:val="27"/>
          <w:szCs w:val="27"/>
        </w:rPr>
      </w:pPr>
      <w:r w:rsidRPr="006900DE">
        <w:rPr>
          <w:rFonts w:ascii="Times New Roman" w:eastAsia="Times New Roman" w:hAnsi="Times New Roman" w:cs="Times New Roman"/>
          <w:b/>
          <w:bCs/>
          <w:sz w:val="27"/>
          <w:szCs w:val="27"/>
        </w:rPr>
        <w:t>1. The Italian Tourism Workforce Pre-COVID</w:t>
      </w:r>
    </w:p>
    <w:p w:rsidR="006900DE" w:rsidRPr="006900DE" w:rsidRDefault="006900DE" w:rsidP="006900DE">
      <w:pPr>
        <w:spacing w:before="100" w:beforeAutospacing="1" w:after="100" w:afterAutospacing="1" w:line="240" w:lineRule="auto"/>
        <w:rPr>
          <w:rFonts w:ascii="Times New Roman" w:eastAsia="Times New Roman" w:hAnsi="Times New Roman" w:cs="Times New Roman"/>
          <w:sz w:val="24"/>
          <w:szCs w:val="24"/>
        </w:rPr>
      </w:pPr>
      <w:r w:rsidRPr="006900DE">
        <w:rPr>
          <w:rFonts w:ascii="Times New Roman" w:eastAsia="Times New Roman" w:hAnsi="Times New Roman" w:cs="Times New Roman"/>
          <w:sz w:val="24"/>
          <w:szCs w:val="24"/>
        </w:rPr>
        <w:t xml:space="preserve">Before the pandemic, tourism in Italy thrived on a model marked by seasonality, regional concentration, and informal </w:t>
      </w:r>
      <w:proofErr w:type="spellStart"/>
      <w:r w:rsidRPr="006900DE">
        <w:rPr>
          <w:rFonts w:ascii="Times New Roman" w:eastAsia="Times New Roman" w:hAnsi="Times New Roman" w:cs="Times New Roman"/>
          <w:sz w:val="24"/>
          <w:szCs w:val="24"/>
        </w:rPr>
        <w:t>labour</w:t>
      </w:r>
      <w:proofErr w:type="spellEnd"/>
      <w:r w:rsidRPr="006900DE">
        <w:rPr>
          <w:rFonts w:ascii="Times New Roman" w:eastAsia="Times New Roman" w:hAnsi="Times New Roman" w:cs="Times New Roman"/>
          <w:sz w:val="24"/>
          <w:szCs w:val="24"/>
        </w:rPr>
        <w:t xml:space="preserve"> structures. Major urban tourism hubs such as Rome, Milan, Venice, and Florence employed the majority of hospitality workers, often on fixed-term or part-time contracts (</w:t>
      </w:r>
      <w:proofErr w:type="spellStart"/>
      <w:r w:rsidRPr="006900DE">
        <w:rPr>
          <w:rFonts w:ascii="Times New Roman" w:eastAsia="Times New Roman" w:hAnsi="Times New Roman" w:cs="Times New Roman"/>
          <w:sz w:val="24"/>
          <w:szCs w:val="24"/>
        </w:rPr>
        <w:t>Eurostat</w:t>
      </w:r>
      <w:proofErr w:type="spellEnd"/>
      <w:r w:rsidRPr="006900DE">
        <w:rPr>
          <w:rFonts w:ascii="Times New Roman" w:eastAsia="Times New Roman" w:hAnsi="Times New Roman" w:cs="Times New Roman"/>
          <w:sz w:val="24"/>
          <w:szCs w:val="24"/>
        </w:rPr>
        <w:t>, 2019). Many jobs lacked continuity or social security, especially in small and medium enterprises (SMEs) that form the backbone of Italian tourism. Informal work was prevalent in southern regions and among youth, migrants, and women—groups already vulnerable to income instability and employment discrimination (OECD, 2020).</w:t>
      </w:r>
    </w:p>
    <w:p w:rsidR="006900DE" w:rsidRPr="006900DE" w:rsidRDefault="006900DE" w:rsidP="006900DE">
      <w:pPr>
        <w:spacing w:before="100" w:beforeAutospacing="1" w:after="100" w:afterAutospacing="1" w:line="240" w:lineRule="auto"/>
        <w:rPr>
          <w:rFonts w:ascii="Times New Roman" w:eastAsia="Times New Roman" w:hAnsi="Times New Roman" w:cs="Times New Roman"/>
          <w:sz w:val="24"/>
          <w:szCs w:val="24"/>
        </w:rPr>
      </w:pPr>
      <w:r w:rsidRPr="006900DE">
        <w:rPr>
          <w:rFonts w:ascii="Times New Roman" w:eastAsia="Times New Roman" w:hAnsi="Times New Roman" w:cs="Times New Roman"/>
          <w:sz w:val="24"/>
          <w:szCs w:val="24"/>
        </w:rPr>
        <w:t xml:space="preserve">The Italian workforce also showed marked gender and generational imbalances. According to EIGE (2021), women made up 60% of Italy’s hospitality sector yet earned 18% less than their male counterparts. Youth workers (under 30) were disproportionately represented in entry-level or temporary roles, often without pathways to career advancement. These </w:t>
      </w:r>
      <w:proofErr w:type="spellStart"/>
      <w:r w:rsidRPr="006900DE">
        <w:rPr>
          <w:rFonts w:ascii="Times New Roman" w:eastAsia="Times New Roman" w:hAnsi="Times New Roman" w:cs="Times New Roman"/>
          <w:sz w:val="24"/>
          <w:szCs w:val="24"/>
        </w:rPr>
        <w:t>labour</w:t>
      </w:r>
      <w:proofErr w:type="spellEnd"/>
      <w:r w:rsidRPr="006900DE">
        <w:rPr>
          <w:rFonts w:ascii="Times New Roman" w:eastAsia="Times New Roman" w:hAnsi="Times New Roman" w:cs="Times New Roman"/>
          <w:sz w:val="24"/>
          <w:szCs w:val="24"/>
        </w:rPr>
        <w:t xml:space="preserve"> conditions, while normalized pre-COVID, left many workers exposed when crisis hit, revealing a fragile and inequitable employment system in tourism.</w:t>
      </w:r>
    </w:p>
    <w:p w:rsidR="006900DE" w:rsidRPr="006900DE" w:rsidRDefault="006900DE" w:rsidP="006900DE">
      <w:pPr>
        <w:spacing w:before="100" w:beforeAutospacing="1" w:after="100" w:afterAutospacing="1" w:line="240" w:lineRule="auto"/>
        <w:outlineLvl w:val="2"/>
        <w:rPr>
          <w:rFonts w:ascii="Times New Roman" w:eastAsia="Times New Roman" w:hAnsi="Times New Roman" w:cs="Times New Roman"/>
          <w:b/>
          <w:bCs/>
          <w:sz w:val="27"/>
          <w:szCs w:val="27"/>
        </w:rPr>
      </w:pPr>
      <w:r w:rsidRPr="006900DE">
        <w:rPr>
          <w:rFonts w:ascii="Times New Roman" w:eastAsia="Times New Roman" w:hAnsi="Times New Roman" w:cs="Times New Roman"/>
          <w:b/>
          <w:bCs/>
          <w:sz w:val="27"/>
          <w:szCs w:val="27"/>
        </w:rPr>
        <w:t xml:space="preserve">2. COVID-19 Impact on Tourism </w:t>
      </w:r>
      <w:proofErr w:type="spellStart"/>
      <w:r w:rsidRPr="006900DE">
        <w:rPr>
          <w:rFonts w:ascii="Times New Roman" w:eastAsia="Times New Roman" w:hAnsi="Times New Roman" w:cs="Times New Roman"/>
          <w:b/>
          <w:bCs/>
          <w:sz w:val="27"/>
          <w:szCs w:val="27"/>
        </w:rPr>
        <w:t>Labour</w:t>
      </w:r>
      <w:proofErr w:type="spellEnd"/>
    </w:p>
    <w:p w:rsidR="006900DE" w:rsidRPr="006900DE" w:rsidRDefault="006900DE" w:rsidP="006900DE">
      <w:pPr>
        <w:spacing w:before="100" w:beforeAutospacing="1" w:after="100" w:afterAutospacing="1" w:line="240" w:lineRule="auto"/>
        <w:rPr>
          <w:rFonts w:ascii="Times New Roman" w:eastAsia="Times New Roman" w:hAnsi="Times New Roman" w:cs="Times New Roman"/>
          <w:sz w:val="24"/>
          <w:szCs w:val="24"/>
        </w:rPr>
      </w:pPr>
      <w:r w:rsidRPr="006900DE">
        <w:rPr>
          <w:rFonts w:ascii="Times New Roman" w:eastAsia="Times New Roman" w:hAnsi="Times New Roman" w:cs="Times New Roman"/>
          <w:sz w:val="24"/>
          <w:szCs w:val="24"/>
        </w:rPr>
        <w:t xml:space="preserve">The pandemic triggered one of the steepest employment declines in Italy’s modern history. ISTAT (2021) estimated that more than 200,000 tourism-related jobs were lost between 2020 and 2021. Migrant and informal workers were among the first to be dismissed, often without severance pay or legal recourse. Moreover, many lacked documentation needed to access government subsidies such as </w:t>
      </w:r>
      <w:proofErr w:type="spellStart"/>
      <w:r w:rsidRPr="006900DE">
        <w:rPr>
          <w:rFonts w:ascii="Times New Roman" w:eastAsia="Times New Roman" w:hAnsi="Times New Roman" w:cs="Times New Roman"/>
          <w:sz w:val="24"/>
          <w:szCs w:val="24"/>
        </w:rPr>
        <w:t>cassa</w:t>
      </w:r>
      <w:proofErr w:type="spellEnd"/>
      <w:r w:rsidRPr="006900DE">
        <w:rPr>
          <w:rFonts w:ascii="Times New Roman" w:eastAsia="Times New Roman" w:hAnsi="Times New Roman" w:cs="Times New Roman"/>
          <w:sz w:val="24"/>
          <w:szCs w:val="24"/>
        </w:rPr>
        <w:t xml:space="preserve"> </w:t>
      </w:r>
      <w:proofErr w:type="spellStart"/>
      <w:r w:rsidRPr="006900DE">
        <w:rPr>
          <w:rFonts w:ascii="Times New Roman" w:eastAsia="Times New Roman" w:hAnsi="Times New Roman" w:cs="Times New Roman"/>
          <w:sz w:val="24"/>
          <w:szCs w:val="24"/>
        </w:rPr>
        <w:t>integrazione</w:t>
      </w:r>
      <w:proofErr w:type="spellEnd"/>
      <w:r w:rsidRPr="006900DE">
        <w:rPr>
          <w:rFonts w:ascii="Times New Roman" w:eastAsia="Times New Roman" w:hAnsi="Times New Roman" w:cs="Times New Roman"/>
          <w:sz w:val="24"/>
          <w:szCs w:val="24"/>
        </w:rPr>
        <w:t xml:space="preserve"> (wage guarantee fund). The UNWTO (2021) noted that Italy's recovery was slower compared to countries like Greece and Germany, partly due to fragmented national policies and the rigid structure of Italy's </w:t>
      </w:r>
      <w:proofErr w:type="spellStart"/>
      <w:r w:rsidRPr="006900DE">
        <w:rPr>
          <w:rFonts w:ascii="Times New Roman" w:eastAsia="Times New Roman" w:hAnsi="Times New Roman" w:cs="Times New Roman"/>
          <w:sz w:val="24"/>
          <w:szCs w:val="24"/>
        </w:rPr>
        <w:t>labour</w:t>
      </w:r>
      <w:proofErr w:type="spellEnd"/>
      <w:r w:rsidRPr="006900DE">
        <w:rPr>
          <w:rFonts w:ascii="Times New Roman" w:eastAsia="Times New Roman" w:hAnsi="Times New Roman" w:cs="Times New Roman"/>
          <w:sz w:val="24"/>
          <w:szCs w:val="24"/>
        </w:rPr>
        <w:t xml:space="preserve"> market.</w:t>
      </w:r>
    </w:p>
    <w:p w:rsidR="006900DE" w:rsidRPr="006900DE" w:rsidRDefault="006900DE" w:rsidP="006900DE">
      <w:pPr>
        <w:spacing w:before="100" w:beforeAutospacing="1" w:after="100" w:afterAutospacing="1" w:line="240" w:lineRule="auto"/>
        <w:rPr>
          <w:rFonts w:ascii="Times New Roman" w:eastAsia="Times New Roman" w:hAnsi="Times New Roman" w:cs="Times New Roman"/>
          <w:sz w:val="24"/>
          <w:szCs w:val="24"/>
        </w:rPr>
      </w:pPr>
      <w:r w:rsidRPr="006900DE">
        <w:rPr>
          <w:rFonts w:ascii="Times New Roman" w:eastAsia="Times New Roman" w:hAnsi="Times New Roman" w:cs="Times New Roman"/>
          <w:sz w:val="24"/>
          <w:szCs w:val="24"/>
        </w:rPr>
        <w:t>The psychological toll on the tourism workforce was equally concerning. Workers reported high levels of stress, anxiety, and job insecurity, especially in roles involving face-to-face contact such as hotel front desk, tour guides, and restaurant staff (</w:t>
      </w:r>
      <w:proofErr w:type="spellStart"/>
      <w:r w:rsidRPr="006900DE">
        <w:rPr>
          <w:rFonts w:ascii="Times New Roman" w:eastAsia="Times New Roman" w:hAnsi="Times New Roman" w:cs="Times New Roman"/>
          <w:sz w:val="24"/>
          <w:szCs w:val="24"/>
        </w:rPr>
        <w:t>Eurofound</w:t>
      </w:r>
      <w:proofErr w:type="spellEnd"/>
      <w:r w:rsidRPr="006900DE">
        <w:rPr>
          <w:rFonts w:ascii="Times New Roman" w:eastAsia="Times New Roman" w:hAnsi="Times New Roman" w:cs="Times New Roman"/>
          <w:sz w:val="24"/>
          <w:szCs w:val="24"/>
        </w:rPr>
        <w:t xml:space="preserve">, 2021). Several surveys during 2020–2022 showed reduced morale and long-term career dissatisfaction among tourism professionals, sparking concerns of a brain drain in the sector (Baum &amp; </w:t>
      </w:r>
      <w:proofErr w:type="spellStart"/>
      <w:r w:rsidRPr="006900DE">
        <w:rPr>
          <w:rFonts w:ascii="Times New Roman" w:eastAsia="Times New Roman" w:hAnsi="Times New Roman" w:cs="Times New Roman"/>
          <w:sz w:val="24"/>
          <w:szCs w:val="24"/>
        </w:rPr>
        <w:t>Hai</w:t>
      </w:r>
      <w:proofErr w:type="spellEnd"/>
      <w:r w:rsidRPr="006900DE">
        <w:rPr>
          <w:rFonts w:ascii="Times New Roman" w:eastAsia="Times New Roman" w:hAnsi="Times New Roman" w:cs="Times New Roman"/>
          <w:sz w:val="24"/>
          <w:szCs w:val="24"/>
        </w:rPr>
        <w:t>, 2021).</w:t>
      </w:r>
    </w:p>
    <w:p w:rsidR="006900DE" w:rsidRPr="006900DE" w:rsidRDefault="006900DE" w:rsidP="006900DE">
      <w:pPr>
        <w:spacing w:before="100" w:beforeAutospacing="1" w:after="100" w:afterAutospacing="1" w:line="240" w:lineRule="auto"/>
        <w:outlineLvl w:val="2"/>
        <w:rPr>
          <w:rFonts w:ascii="Times New Roman" w:eastAsia="Times New Roman" w:hAnsi="Times New Roman" w:cs="Times New Roman"/>
          <w:b/>
          <w:bCs/>
          <w:sz w:val="27"/>
          <w:szCs w:val="27"/>
        </w:rPr>
      </w:pPr>
      <w:r w:rsidRPr="006900DE">
        <w:rPr>
          <w:rFonts w:ascii="Times New Roman" w:eastAsia="Times New Roman" w:hAnsi="Times New Roman" w:cs="Times New Roman"/>
          <w:b/>
          <w:bCs/>
          <w:sz w:val="27"/>
          <w:szCs w:val="27"/>
        </w:rPr>
        <w:lastRenderedPageBreak/>
        <w:t>3. Workforce Vulnerabilities</w:t>
      </w:r>
    </w:p>
    <w:p w:rsidR="006900DE" w:rsidRPr="006900DE" w:rsidRDefault="006900DE" w:rsidP="006900DE">
      <w:pPr>
        <w:spacing w:before="100" w:beforeAutospacing="1" w:after="100" w:afterAutospacing="1" w:line="240" w:lineRule="auto"/>
        <w:rPr>
          <w:rFonts w:ascii="Times New Roman" w:eastAsia="Times New Roman" w:hAnsi="Times New Roman" w:cs="Times New Roman"/>
          <w:sz w:val="24"/>
          <w:szCs w:val="24"/>
        </w:rPr>
      </w:pPr>
      <w:r w:rsidRPr="006900DE">
        <w:rPr>
          <w:rFonts w:ascii="Times New Roman" w:eastAsia="Times New Roman" w:hAnsi="Times New Roman" w:cs="Times New Roman"/>
          <w:sz w:val="24"/>
          <w:szCs w:val="24"/>
        </w:rPr>
        <w:t xml:space="preserve">Italy’s tourism workforce suffered from longstanding structural weaknesses. One of the most pressing issues is informality—ILO (2022) estimates suggest that about 19.8% of tourism workers were employed without contracts, particularly in cleaning, food service, and seasonal event roles. These workers were often invisible in </w:t>
      </w:r>
      <w:proofErr w:type="spellStart"/>
      <w:r w:rsidRPr="006900DE">
        <w:rPr>
          <w:rFonts w:ascii="Times New Roman" w:eastAsia="Times New Roman" w:hAnsi="Times New Roman" w:cs="Times New Roman"/>
          <w:sz w:val="24"/>
          <w:szCs w:val="24"/>
        </w:rPr>
        <w:t>labour</w:t>
      </w:r>
      <w:proofErr w:type="spellEnd"/>
      <w:r w:rsidRPr="006900DE">
        <w:rPr>
          <w:rFonts w:ascii="Times New Roman" w:eastAsia="Times New Roman" w:hAnsi="Times New Roman" w:cs="Times New Roman"/>
          <w:sz w:val="24"/>
          <w:szCs w:val="24"/>
        </w:rPr>
        <w:t xml:space="preserve"> statistics and ineligible for crisis-related support. Wage volatility was another issue, with average earnings in the hospitality sector dropping by 12% </w:t>
      </w:r>
      <w:proofErr w:type="gramStart"/>
      <w:r w:rsidRPr="006900DE">
        <w:rPr>
          <w:rFonts w:ascii="Times New Roman" w:eastAsia="Times New Roman" w:hAnsi="Times New Roman" w:cs="Times New Roman"/>
          <w:sz w:val="24"/>
          <w:szCs w:val="24"/>
        </w:rPr>
        <w:t>between 2020–2021, disproportionately affecting low-wage earners (</w:t>
      </w:r>
      <w:proofErr w:type="spellStart"/>
      <w:r w:rsidRPr="006900DE">
        <w:rPr>
          <w:rFonts w:ascii="Times New Roman" w:eastAsia="Times New Roman" w:hAnsi="Times New Roman" w:cs="Times New Roman"/>
          <w:sz w:val="24"/>
          <w:szCs w:val="24"/>
        </w:rPr>
        <w:t>Banca</w:t>
      </w:r>
      <w:proofErr w:type="spellEnd"/>
      <w:r w:rsidRPr="006900DE">
        <w:rPr>
          <w:rFonts w:ascii="Times New Roman" w:eastAsia="Times New Roman" w:hAnsi="Times New Roman" w:cs="Times New Roman"/>
          <w:sz w:val="24"/>
          <w:szCs w:val="24"/>
        </w:rPr>
        <w:t xml:space="preserve"> </w:t>
      </w:r>
      <w:proofErr w:type="spellStart"/>
      <w:r w:rsidRPr="006900DE">
        <w:rPr>
          <w:rFonts w:ascii="Times New Roman" w:eastAsia="Times New Roman" w:hAnsi="Times New Roman" w:cs="Times New Roman"/>
          <w:sz w:val="24"/>
          <w:szCs w:val="24"/>
        </w:rPr>
        <w:t>d’Italia</w:t>
      </w:r>
      <w:proofErr w:type="spellEnd"/>
      <w:r w:rsidRPr="006900DE">
        <w:rPr>
          <w:rFonts w:ascii="Times New Roman" w:eastAsia="Times New Roman" w:hAnsi="Times New Roman" w:cs="Times New Roman"/>
          <w:sz w:val="24"/>
          <w:szCs w:val="24"/>
        </w:rPr>
        <w:t>, 2021)</w:t>
      </w:r>
      <w:proofErr w:type="gramEnd"/>
      <w:r w:rsidRPr="006900DE">
        <w:rPr>
          <w:rFonts w:ascii="Times New Roman" w:eastAsia="Times New Roman" w:hAnsi="Times New Roman" w:cs="Times New Roman"/>
          <w:sz w:val="24"/>
          <w:szCs w:val="24"/>
        </w:rPr>
        <w:t>.</w:t>
      </w:r>
    </w:p>
    <w:p w:rsidR="006900DE" w:rsidRPr="006900DE" w:rsidRDefault="006900DE" w:rsidP="006900DE">
      <w:pPr>
        <w:spacing w:before="100" w:beforeAutospacing="1" w:after="100" w:afterAutospacing="1" w:line="240" w:lineRule="auto"/>
        <w:rPr>
          <w:rFonts w:ascii="Times New Roman" w:eastAsia="Times New Roman" w:hAnsi="Times New Roman" w:cs="Times New Roman"/>
          <w:sz w:val="24"/>
          <w:szCs w:val="24"/>
        </w:rPr>
      </w:pPr>
      <w:r w:rsidRPr="006900DE">
        <w:rPr>
          <w:rFonts w:ascii="Times New Roman" w:eastAsia="Times New Roman" w:hAnsi="Times New Roman" w:cs="Times New Roman"/>
          <w:sz w:val="24"/>
          <w:szCs w:val="24"/>
        </w:rPr>
        <w:t xml:space="preserve">Another significant challenge was the digital skills gap. While some EU countries pivoted toward digital tourism and remote customer engagement during lockdowns, Italy lagged behind due to low ICT proficiency among older workers and limited digital infrastructure in rural areas (OECD, 2021). </w:t>
      </w:r>
      <w:proofErr w:type="gramStart"/>
      <w:r w:rsidRPr="006900DE">
        <w:rPr>
          <w:rFonts w:ascii="Times New Roman" w:eastAsia="Times New Roman" w:hAnsi="Times New Roman" w:cs="Times New Roman"/>
          <w:sz w:val="24"/>
          <w:szCs w:val="24"/>
        </w:rPr>
        <w:t>This skills</w:t>
      </w:r>
      <w:proofErr w:type="gramEnd"/>
      <w:r w:rsidRPr="006900DE">
        <w:rPr>
          <w:rFonts w:ascii="Times New Roman" w:eastAsia="Times New Roman" w:hAnsi="Times New Roman" w:cs="Times New Roman"/>
          <w:sz w:val="24"/>
          <w:szCs w:val="24"/>
        </w:rPr>
        <w:t xml:space="preserve"> mismatch hindered workforce redeployment and limited the sector’s ability to innovate in crisis. Ultimately, COVID-19 didn’t just disrupt Italy’s tourism employment—it exposed the deep-rooted fragility of its </w:t>
      </w:r>
      <w:proofErr w:type="spellStart"/>
      <w:r w:rsidRPr="006900DE">
        <w:rPr>
          <w:rFonts w:ascii="Times New Roman" w:eastAsia="Times New Roman" w:hAnsi="Times New Roman" w:cs="Times New Roman"/>
          <w:sz w:val="24"/>
          <w:szCs w:val="24"/>
        </w:rPr>
        <w:t>labour</w:t>
      </w:r>
      <w:proofErr w:type="spellEnd"/>
      <w:r w:rsidRPr="006900DE">
        <w:rPr>
          <w:rFonts w:ascii="Times New Roman" w:eastAsia="Times New Roman" w:hAnsi="Times New Roman" w:cs="Times New Roman"/>
          <w:sz w:val="24"/>
          <w:szCs w:val="24"/>
        </w:rPr>
        <w:t xml:space="preserve"> system.</w:t>
      </w:r>
    </w:p>
    <w:p w:rsidR="00446ADA" w:rsidRDefault="00446ADA" w:rsidP="00446ADA">
      <w:pPr>
        <w:spacing w:after="0" w:line="240" w:lineRule="auto"/>
        <w:rPr>
          <w:rFonts w:ascii="Times New Roman" w:eastAsia="Times New Roman" w:hAnsi="Times New Roman" w:cs="Times New Roman"/>
          <w:sz w:val="24"/>
          <w:szCs w:val="24"/>
        </w:rPr>
      </w:pPr>
    </w:p>
    <w:p w:rsidR="00446ADA" w:rsidRPr="00446ADA" w:rsidRDefault="00446ADA" w:rsidP="00446ADA">
      <w:pPr>
        <w:spacing w:after="0" w:line="240" w:lineRule="auto"/>
        <w:rPr>
          <w:rFonts w:ascii="Times New Roman" w:eastAsia="Times New Roman" w:hAnsi="Times New Roman" w:cs="Times New Roman"/>
          <w:sz w:val="24"/>
          <w:szCs w:val="24"/>
        </w:rPr>
      </w:pPr>
      <w:r w:rsidRPr="00446ADA">
        <w:rPr>
          <w:rFonts w:ascii="Times New Roman" w:eastAsia="Times New Roman" w:hAnsi="Times New Roman" w:cs="Times New Roman"/>
          <w:b/>
          <w:bCs/>
          <w:sz w:val="36"/>
          <w:szCs w:val="36"/>
        </w:rPr>
        <w:t>Methodology</w:t>
      </w:r>
    </w:p>
    <w:p w:rsidR="00446ADA" w:rsidRPr="00446ADA" w:rsidRDefault="00446ADA" w:rsidP="00446ADA">
      <w:pPr>
        <w:spacing w:before="100" w:beforeAutospacing="1" w:after="100" w:afterAutospacing="1" w:line="240" w:lineRule="auto"/>
        <w:rPr>
          <w:rFonts w:ascii="Times New Roman" w:eastAsia="Times New Roman" w:hAnsi="Times New Roman" w:cs="Times New Roman"/>
          <w:sz w:val="24"/>
          <w:szCs w:val="24"/>
        </w:rPr>
      </w:pPr>
      <w:r w:rsidRPr="00446ADA">
        <w:rPr>
          <w:rFonts w:ascii="Times New Roman" w:eastAsia="Times New Roman" w:hAnsi="Times New Roman" w:cs="Times New Roman"/>
          <w:sz w:val="24"/>
          <w:szCs w:val="24"/>
        </w:rPr>
        <w:t xml:space="preserve">This report adopts a </w:t>
      </w:r>
      <w:r w:rsidRPr="00446ADA">
        <w:rPr>
          <w:rFonts w:ascii="Times New Roman" w:eastAsia="Times New Roman" w:hAnsi="Times New Roman" w:cs="Times New Roman"/>
          <w:b/>
          <w:bCs/>
          <w:sz w:val="24"/>
          <w:szCs w:val="24"/>
        </w:rPr>
        <w:t>qualitative and exploratory research design</w:t>
      </w:r>
      <w:r w:rsidRPr="00446ADA">
        <w:rPr>
          <w:rFonts w:ascii="Times New Roman" w:eastAsia="Times New Roman" w:hAnsi="Times New Roman" w:cs="Times New Roman"/>
          <w:sz w:val="24"/>
          <w:szCs w:val="24"/>
        </w:rPr>
        <w:t xml:space="preserve">, focused on understanding the structural challenges and opportunities involved in Italy’s tourism workforce recovery post-COVID-19. The study primarily relies on </w:t>
      </w:r>
      <w:r w:rsidRPr="00446ADA">
        <w:rPr>
          <w:rFonts w:ascii="Times New Roman" w:eastAsia="Times New Roman" w:hAnsi="Times New Roman" w:cs="Times New Roman"/>
          <w:b/>
          <w:bCs/>
          <w:sz w:val="24"/>
          <w:szCs w:val="24"/>
        </w:rPr>
        <w:t>secondary data sources</w:t>
      </w:r>
      <w:r w:rsidRPr="00446ADA">
        <w:rPr>
          <w:rFonts w:ascii="Times New Roman" w:eastAsia="Times New Roman" w:hAnsi="Times New Roman" w:cs="Times New Roman"/>
          <w:sz w:val="24"/>
          <w:szCs w:val="24"/>
        </w:rPr>
        <w:t xml:space="preserve">, chosen for their credibility, relevance, and comprehensiveness. This approach is well-suited for pandemic-related research, where real-time primary data collection is often limited by logistical and ethical constraints (Creswell, 2014). The use of existing datasets and scholarly insights also allows the research to incorporate a diverse range of perspectives, particularly those of international institutions such as the United Nations World Tourism Organization (UNWTO), the International </w:t>
      </w:r>
      <w:proofErr w:type="spellStart"/>
      <w:r w:rsidRPr="00446ADA">
        <w:rPr>
          <w:rFonts w:ascii="Times New Roman" w:eastAsia="Times New Roman" w:hAnsi="Times New Roman" w:cs="Times New Roman"/>
          <w:sz w:val="24"/>
          <w:szCs w:val="24"/>
        </w:rPr>
        <w:t>Labour</w:t>
      </w:r>
      <w:proofErr w:type="spellEnd"/>
      <w:r w:rsidRPr="00446ADA">
        <w:rPr>
          <w:rFonts w:ascii="Times New Roman" w:eastAsia="Times New Roman" w:hAnsi="Times New Roman" w:cs="Times New Roman"/>
          <w:sz w:val="24"/>
          <w:szCs w:val="24"/>
        </w:rPr>
        <w:t xml:space="preserve"> Organization (ILO), and national bodies such as the Italian National Institute of Statistics (ISTAT).</w:t>
      </w:r>
    </w:p>
    <w:p w:rsidR="00446ADA" w:rsidRPr="00446ADA" w:rsidRDefault="00446ADA" w:rsidP="00446ADA">
      <w:pPr>
        <w:spacing w:before="100" w:beforeAutospacing="1" w:after="100" w:afterAutospacing="1" w:line="240" w:lineRule="auto"/>
        <w:rPr>
          <w:rFonts w:ascii="Times New Roman" w:eastAsia="Times New Roman" w:hAnsi="Times New Roman" w:cs="Times New Roman"/>
          <w:sz w:val="24"/>
          <w:szCs w:val="24"/>
        </w:rPr>
      </w:pPr>
      <w:r w:rsidRPr="00446ADA">
        <w:rPr>
          <w:rFonts w:ascii="Times New Roman" w:eastAsia="Times New Roman" w:hAnsi="Times New Roman" w:cs="Times New Roman"/>
          <w:sz w:val="24"/>
          <w:szCs w:val="24"/>
        </w:rPr>
        <w:t xml:space="preserve">A significant portion of the data is drawn from </w:t>
      </w:r>
      <w:r w:rsidRPr="00446ADA">
        <w:rPr>
          <w:rFonts w:ascii="Times New Roman" w:eastAsia="Times New Roman" w:hAnsi="Times New Roman" w:cs="Times New Roman"/>
          <w:b/>
          <w:bCs/>
          <w:sz w:val="24"/>
          <w:szCs w:val="24"/>
        </w:rPr>
        <w:t>official government and institutional reports</w:t>
      </w:r>
      <w:r w:rsidRPr="00446ADA">
        <w:rPr>
          <w:rFonts w:ascii="Times New Roman" w:eastAsia="Times New Roman" w:hAnsi="Times New Roman" w:cs="Times New Roman"/>
          <w:sz w:val="24"/>
          <w:szCs w:val="24"/>
        </w:rPr>
        <w:t xml:space="preserve">, including ISTAT’s </w:t>
      </w:r>
      <w:proofErr w:type="spellStart"/>
      <w:r w:rsidRPr="00446ADA">
        <w:rPr>
          <w:rFonts w:ascii="Times New Roman" w:eastAsia="Times New Roman" w:hAnsi="Times New Roman" w:cs="Times New Roman"/>
          <w:sz w:val="24"/>
          <w:szCs w:val="24"/>
        </w:rPr>
        <w:t>labour</w:t>
      </w:r>
      <w:proofErr w:type="spellEnd"/>
      <w:r w:rsidRPr="00446ADA">
        <w:rPr>
          <w:rFonts w:ascii="Times New Roman" w:eastAsia="Times New Roman" w:hAnsi="Times New Roman" w:cs="Times New Roman"/>
          <w:sz w:val="24"/>
          <w:szCs w:val="24"/>
        </w:rPr>
        <w:t xml:space="preserve"> market bulletins (2020–2023), the European Commission’s employment updates, and ILO’s global employment trend analyses. These documents offer quantitative indicators such as employment rates, income fluctuations, </w:t>
      </w:r>
      <w:proofErr w:type="spellStart"/>
      <w:r w:rsidRPr="00446ADA">
        <w:rPr>
          <w:rFonts w:ascii="Times New Roman" w:eastAsia="Times New Roman" w:hAnsi="Times New Roman" w:cs="Times New Roman"/>
          <w:sz w:val="24"/>
          <w:szCs w:val="24"/>
        </w:rPr>
        <w:t>sectoral</w:t>
      </w:r>
      <w:proofErr w:type="spellEnd"/>
      <w:r w:rsidRPr="00446ADA">
        <w:rPr>
          <w:rFonts w:ascii="Times New Roman" w:eastAsia="Times New Roman" w:hAnsi="Times New Roman" w:cs="Times New Roman"/>
          <w:sz w:val="24"/>
          <w:szCs w:val="24"/>
        </w:rPr>
        <w:t xml:space="preserve"> distribution, and demographic breakdowns of tourism workers in Italy. For instance, ISTAT (2021) and Corte </w:t>
      </w:r>
      <w:proofErr w:type="spellStart"/>
      <w:r w:rsidRPr="00446ADA">
        <w:rPr>
          <w:rFonts w:ascii="Times New Roman" w:eastAsia="Times New Roman" w:hAnsi="Times New Roman" w:cs="Times New Roman"/>
          <w:sz w:val="24"/>
          <w:szCs w:val="24"/>
        </w:rPr>
        <w:t>dei</w:t>
      </w:r>
      <w:proofErr w:type="spellEnd"/>
      <w:r w:rsidRPr="00446ADA">
        <w:rPr>
          <w:rFonts w:ascii="Times New Roman" w:eastAsia="Times New Roman" w:hAnsi="Times New Roman" w:cs="Times New Roman"/>
          <w:sz w:val="24"/>
          <w:szCs w:val="24"/>
        </w:rPr>
        <w:t xml:space="preserve"> Conti (2022) provided invaluable insights into the number of jobs lost, regional disparities in </w:t>
      </w:r>
      <w:proofErr w:type="spellStart"/>
      <w:r w:rsidRPr="00446ADA">
        <w:rPr>
          <w:rFonts w:ascii="Times New Roman" w:eastAsia="Times New Roman" w:hAnsi="Times New Roman" w:cs="Times New Roman"/>
          <w:sz w:val="24"/>
          <w:szCs w:val="24"/>
        </w:rPr>
        <w:t>labour</w:t>
      </w:r>
      <w:proofErr w:type="spellEnd"/>
      <w:r w:rsidRPr="00446ADA">
        <w:rPr>
          <w:rFonts w:ascii="Times New Roman" w:eastAsia="Times New Roman" w:hAnsi="Times New Roman" w:cs="Times New Roman"/>
          <w:sz w:val="24"/>
          <w:szCs w:val="24"/>
        </w:rPr>
        <w:t xml:space="preserve"> support, and the profile of affected workers. This statistical foundation is crucial for identifying the most vulnerable groups within the tourism </w:t>
      </w:r>
      <w:proofErr w:type="spellStart"/>
      <w:r w:rsidRPr="00446ADA">
        <w:rPr>
          <w:rFonts w:ascii="Times New Roman" w:eastAsia="Times New Roman" w:hAnsi="Times New Roman" w:cs="Times New Roman"/>
          <w:sz w:val="24"/>
          <w:szCs w:val="24"/>
        </w:rPr>
        <w:t>labour</w:t>
      </w:r>
      <w:proofErr w:type="spellEnd"/>
      <w:r w:rsidRPr="00446ADA">
        <w:rPr>
          <w:rFonts w:ascii="Times New Roman" w:eastAsia="Times New Roman" w:hAnsi="Times New Roman" w:cs="Times New Roman"/>
          <w:sz w:val="24"/>
          <w:szCs w:val="24"/>
        </w:rPr>
        <w:t xml:space="preserve"> force—particularly informal workers, women, and migrants.</w:t>
      </w:r>
    </w:p>
    <w:p w:rsidR="00446ADA" w:rsidRPr="00446ADA" w:rsidRDefault="00446ADA" w:rsidP="00446ADA">
      <w:pPr>
        <w:spacing w:before="100" w:beforeAutospacing="1" w:after="100" w:afterAutospacing="1" w:line="240" w:lineRule="auto"/>
        <w:rPr>
          <w:rFonts w:ascii="Times New Roman" w:eastAsia="Times New Roman" w:hAnsi="Times New Roman" w:cs="Times New Roman"/>
          <w:sz w:val="24"/>
          <w:szCs w:val="24"/>
        </w:rPr>
      </w:pPr>
      <w:r w:rsidRPr="00446ADA">
        <w:rPr>
          <w:rFonts w:ascii="Times New Roman" w:eastAsia="Times New Roman" w:hAnsi="Times New Roman" w:cs="Times New Roman"/>
          <w:sz w:val="24"/>
          <w:szCs w:val="24"/>
        </w:rPr>
        <w:t xml:space="preserve">In addition to statistical reports, the research integrates </w:t>
      </w:r>
      <w:r w:rsidRPr="00446ADA">
        <w:rPr>
          <w:rFonts w:ascii="Times New Roman" w:eastAsia="Times New Roman" w:hAnsi="Times New Roman" w:cs="Times New Roman"/>
          <w:b/>
          <w:bCs/>
          <w:sz w:val="24"/>
          <w:szCs w:val="24"/>
        </w:rPr>
        <w:t>qualitative insights</w:t>
      </w:r>
      <w:r w:rsidRPr="00446ADA">
        <w:rPr>
          <w:rFonts w:ascii="Times New Roman" w:eastAsia="Times New Roman" w:hAnsi="Times New Roman" w:cs="Times New Roman"/>
          <w:sz w:val="24"/>
          <w:szCs w:val="24"/>
        </w:rPr>
        <w:t xml:space="preserve"> from tourism sector organizations and trade unions, such as </w:t>
      </w:r>
      <w:proofErr w:type="spellStart"/>
      <w:r w:rsidRPr="00446ADA">
        <w:rPr>
          <w:rFonts w:ascii="Times New Roman" w:eastAsia="Times New Roman" w:hAnsi="Times New Roman" w:cs="Times New Roman"/>
          <w:b/>
          <w:bCs/>
          <w:sz w:val="24"/>
          <w:szCs w:val="24"/>
        </w:rPr>
        <w:t>Federalberghi</w:t>
      </w:r>
      <w:proofErr w:type="spellEnd"/>
      <w:r w:rsidRPr="00446ADA">
        <w:rPr>
          <w:rFonts w:ascii="Times New Roman" w:eastAsia="Times New Roman" w:hAnsi="Times New Roman" w:cs="Times New Roman"/>
          <w:sz w:val="24"/>
          <w:szCs w:val="24"/>
        </w:rPr>
        <w:t xml:space="preserve">, </w:t>
      </w:r>
      <w:r w:rsidRPr="00446ADA">
        <w:rPr>
          <w:rFonts w:ascii="Times New Roman" w:eastAsia="Times New Roman" w:hAnsi="Times New Roman" w:cs="Times New Roman"/>
          <w:b/>
          <w:bCs/>
          <w:sz w:val="24"/>
          <w:szCs w:val="24"/>
        </w:rPr>
        <w:t>FIPE (</w:t>
      </w:r>
      <w:proofErr w:type="spellStart"/>
      <w:r w:rsidRPr="00446ADA">
        <w:rPr>
          <w:rFonts w:ascii="Times New Roman" w:eastAsia="Times New Roman" w:hAnsi="Times New Roman" w:cs="Times New Roman"/>
          <w:b/>
          <w:bCs/>
          <w:sz w:val="24"/>
          <w:szCs w:val="24"/>
        </w:rPr>
        <w:t>Federazione</w:t>
      </w:r>
      <w:proofErr w:type="spellEnd"/>
      <w:r w:rsidRPr="00446ADA">
        <w:rPr>
          <w:rFonts w:ascii="Times New Roman" w:eastAsia="Times New Roman" w:hAnsi="Times New Roman" w:cs="Times New Roman"/>
          <w:b/>
          <w:bCs/>
          <w:sz w:val="24"/>
          <w:szCs w:val="24"/>
        </w:rPr>
        <w:t xml:space="preserve"> </w:t>
      </w:r>
      <w:proofErr w:type="spellStart"/>
      <w:r w:rsidRPr="00446ADA">
        <w:rPr>
          <w:rFonts w:ascii="Times New Roman" w:eastAsia="Times New Roman" w:hAnsi="Times New Roman" w:cs="Times New Roman"/>
          <w:b/>
          <w:bCs/>
          <w:sz w:val="24"/>
          <w:szCs w:val="24"/>
        </w:rPr>
        <w:t>Italiana</w:t>
      </w:r>
      <w:proofErr w:type="spellEnd"/>
      <w:r w:rsidRPr="00446ADA">
        <w:rPr>
          <w:rFonts w:ascii="Times New Roman" w:eastAsia="Times New Roman" w:hAnsi="Times New Roman" w:cs="Times New Roman"/>
          <w:b/>
          <w:bCs/>
          <w:sz w:val="24"/>
          <w:szCs w:val="24"/>
        </w:rPr>
        <w:t xml:space="preserve"> </w:t>
      </w:r>
      <w:proofErr w:type="spellStart"/>
      <w:r w:rsidRPr="00446ADA">
        <w:rPr>
          <w:rFonts w:ascii="Times New Roman" w:eastAsia="Times New Roman" w:hAnsi="Times New Roman" w:cs="Times New Roman"/>
          <w:b/>
          <w:bCs/>
          <w:sz w:val="24"/>
          <w:szCs w:val="24"/>
        </w:rPr>
        <w:t>Pubblici</w:t>
      </w:r>
      <w:proofErr w:type="spellEnd"/>
      <w:r w:rsidRPr="00446ADA">
        <w:rPr>
          <w:rFonts w:ascii="Times New Roman" w:eastAsia="Times New Roman" w:hAnsi="Times New Roman" w:cs="Times New Roman"/>
          <w:b/>
          <w:bCs/>
          <w:sz w:val="24"/>
          <w:szCs w:val="24"/>
        </w:rPr>
        <w:t xml:space="preserve"> </w:t>
      </w:r>
      <w:proofErr w:type="spellStart"/>
      <w:r w:rsidRPr="00446ADA">
        <w:rPr>
          <w:rFonts w:ascii="Times New Roman" w:eastAsia="Times New Roman" w:hAnsi="Times New Roman" w:cs="Times New Roman"/>
          <w:b/>
          <w:bCs/>
          <w:sz w:val="24"/>
          <w:szCs w:val="24"/>
        </w:rPr>
        <w:t>Esercizi</w:t>
      </w:r>
      <w:proofErr w:type="spellEnd"/>
      <w:r w:rsidRPr="00446ADA">
        <w:rPr>
          <w:rFonts w:ascii="Times New Roman" w:eastAsia="Times New Roman" w:hAnsi="Times New Roman" w:cs="Times New Roman"/>
          <w:b/>
          <w:bCs/>
          <w:sz w:val="24"/>
          <w:szCs w:val="24"/>
        </w:rPr>
        <w:t>)</w:t>
      </w:r>
      <w:r w:rsidRPr="00446ADA">
        <w:rPr>
          <w:rFonts w:ascii="Times New Roman" w:eastAsia="Times New Roman" w:hAnsi="Times New Roman" w:cs="Times New Roman"/>
          <w:sz w:val="24"/>
          <w:szCs w:val="24"/>
        </w:rPr>
        <w:t xml:space="preserve">, and the </w:t>
      </w:r>
      <w:r w:rsidRPr="00446ADA">
        <w:rPr>
          <w:rFonts w:ascii="Times New Roman" w:eastAsia="Times New Roman" w:hAnsi="Times New Roman" w:cs="Times New Roman"/>
          <w:b/>
          <w:bCs/>
          <w:sz w:val="24"/>
          <w:szCs w:val="24"/>
        </w:rPr>
        <w:t>Italian Chamber of Commerce for Tourism</w:t>
      </w:r>
      <w:r w:rsidRPr="00446ADA">
        <w:rPr>
          <w:rFonts w:ascii="Times New Roman" w:eastAsia="Times New Roman" w:hAnsi="Times New Roman" w:cs="Times New Roman"/>
          <w:sz w:val="24"/>
          <w:szCs w:val="24"/>
        </w:rPr>
        <w:t xml:space="preserve">. These industry voices offer on-the-ground perspectives on </w:t>
      </w:r>
      <w:proofErr w:type="spellStart"/>
      <w:r w:rsidRPr="00446ADA">
        <w:rPr>
          <w:rFonts w:ascii="Times New Roman" w:eastAsia="Times New Roman" w:hAnsi="Times New Roman" w:cs="Times New Roman"/>
          <w:sz w:val="24"/>
          <w:szCs w:val="24"/>
        </w:rPr>
        <w:t>labour</w:t>
      </w:r>
      <w:proofErr w:type="spellEnd"/>
      <w:r w:rsidRPr="00446ADA">
        <w:rPr>
          <w:rFonts w:ascii="Times New Roman" w:eastAsia="Times New Roman" w:hAnsi="Times New Roman" w:cs="Times New Roman"/>
          <w:sz w:val="24"/>
          <w:szCs w:val="24"/>
        </w:rPr>
        <w:t xml:space="preserve"> dynamics, employer challenges, and policy gaps. Their reports during the crisis and subsequent recovery efforts reflect practical realities, including the </w:t>
      </w:r>
      <w:r w:rsidRPr="00446ADA">
        <w:rPr>
          <w:rFonts w:ascii="Times New Roman" w:eastAsia="Times New Roman" w:hAnsi="Times New Roman" w:cs="Times New Roman"/>
          <w:sz w:val="24"/>
          <w:szCs w:val="24"/>
        </w:rPr>
        <w:lastRenderedPageBreak/>
        <w:t>shortcomings of wage guarantee schemes and the growing difficulty in rehiring skilled staff post-lockdown (</w:t>
      </w:r>
      <w:proofErr w:type="spellStart"/>
      <w:r w:rsidRPr="00446ADA">
        <w:rPr>
          <w:rFonts w:ascii="Times New Roman" w:eastAsia="Times New Roman" w:hAnsi="Times New Roman" w:cs="Times New Roman"/>
          <w:sz w:val="24"/>
          <w:szCs w:val="24"/>
        </w:rPr>
        <w:t>Federalberghi</w:t>
      </w:r>
      <w:proofErr w:type="spellEnd"/>
      <w:r w:rsidRPr="00446ADA">
        <w:rPr>
          <w:rFonts w:ascii="Times New Roman" w:eastAsia="Times New Roman" w:hAnsi="Times New Roman" w:cs="Times New Roman"/>
          <w:sz w:val="24"/>
          <w:szCs w:val="24"/>
        </w:rPr>
        <w:t>, 2021). Furthermore, testimonials and position papers from worker associations help ensure the strategy is not only employer-centric but also accounts for workers’ lived experiences.</w:t>
      </w:r>
    </w:p>
    <w:p w:rsidR="00446ADA" w:rsidRPr="00446ADA" w:rsidRDefault="00446ADA" w:rsidP="00446ADA">
      <w:pPr>
        <w:spacing w:before="100" w:beforeAutospacing="1" w:after="100" w:afterAutospacing="1" w:line="240" w:lineRule="auto"/>
        <w:rPr>
          <w:rFonts w:ascii="Times New Roman" w:eastAsia="Times New Roman" w:hAnsi="Times New Roman" w:cs="Times New Roman"/>
          <w:sz w:val="24"/>
          <w:szCs w:val="24"/>
        </w:rPr>
      </w:pPr>
      <w:r w:rsidRPr="00446ADA">
        <w:rPr>
          <w:rFonts w:ascii="Times New Roman" w:eastAsia="Times New Roman" w:hAnsi="Times New Roman" w:cs="Times New Roman"/>
          <w:sz w:val="24"/>
          <w:szCs w:val="24"/>
        </w:rPr>
        <w:t xml:space="preserve">The recovery framework proposed in this paper is also informed by </w:t>
      </w:r>
      <w:r w:rsidRPr="00446ADA">
        <w:rPr>
          <w:rFonts w:ascii="Times New Roman" w:eastAsia="Times New Roman" w:hAnsi="Times New Roman" w:cs="Times New Roman"/>
          <w:b/>
          <w:bCs/>
          <w:sz w:val="24"/>
          <w:szCs w:val="24"/>
        </w:rPr>
        <w:t>comparative case study analysis</w:t>
      </w:r>
      <w:r w:rsidRPr="00446ADA">
        <w:rPr>
          <w:rFonts w:ascii="Times New Roman" w:eastAsia="Times New Roman" w:hAnsi="Times New Roman" w:cs="Times New Roman"/>
          <w:sz w:val="24"/>
          <w:szCs w:val="24"/>
        </w:rPr>
        <w:t xml:space="preserve">, examining how other tourism-dependent economies—such as Spain, Portugal, and Greece—approached workforce recovery. These cases were chosen based on shared socio-economic and cultural characteristics with Italy, as well as the availability of comparable data. For example, Spain’s rapid deployment of ERTE (temporary employment regulation) schemes and Portugal’s investment in </w:t>
      </w:r>
      <w:proofErr w:type="spellStart"/>
      <w:r w:rsidRPr="00446ADA">
        <w:rPr>
          <w:rFonts w:ascii="Times New Roman" w:eastAsia="Times New Roman" w:hAnsi="Times New Roman" w:cs="Times New Roman"/>
          <w:sz w:val="24"/>
          <w:szCs w:val="24"/>
        </w:rPr>
        <w:t>upskilling</w:t>
      </w:r>
      <w:proofErr w:type="spellEnd"/>
      <w:r w:rsidRPr="00446ADA">
        <w:rPr>
          <w:rFonts w:ascii="Times New Roman" w:eastAsia="Times New Roman" w:hAnsi="Times New Roman" w:cs="Times New Roman"/>
          <w:sz w:val="24"/>
          <w:szCs w:val="24"/>
        </w:rPr>
        <w:t xml:space="preserve"> tourism workers were evaluated in terms of transferability to the Italian context (</w:t>
      </w:r>
      <w:proofErr w:type="spellStart"/>
      <w:r w:rsidRPr="00446ADA">
        <w:rPr>
          <w:rFonts w:ascii="Times New Roman" w:eastAsia="Times New Roman" w:hAnsi="Times New Roman" w:cs="Times New Roman"/>
          <w:sz w:val="24"/>
          <w:szCs w:val="24"/>
        </w:rPr>
        <w:t>Eurofound</w:t>
      </w:r>
      <w:proofErr w:type="spellEnd"/>
      <w:r w:rsidRPr="00446ADA">
        <w:rPr>
          <w:rFonts w:ascii="Times New Roman" w:eastAsia="Times New Roman" w:hAnsi="Times New Roman" w:cs="Times New Roman"/>
          <w:sz w:val="24"/>
          <w:szCs w:val="24"/>
        </w:rPr>
        <w:t xml:space="preserve">, 2022; UNWTO, 2021). This benchmarking exercise helps align the recovery strategy with </w:t>
      </w:r>
      <w:r w:rsidRPr="00446ADA">
        <w:rPr>
          <w:rFonts w:ascii="Times New Roman" w:eastAsia="Times New Roman" w:hAnsi="Times New Roman" w:cs="Times New Roman"/>
          <w:b/>
          <w:bCs/>
          <w:sz w:val="24"/>
          <w:szCs w:val="24"/>
        </w:rPr>
        <w:t>global best practices</w:t>
      </w:r>
      <w:r w:rsidRPr="00446ADA">
        <w:rPr>
          <w:rFonts w:ascii="Times New Roman" w:eastAsia="Times New Roman" w:hAnsi="Times New Roman" w:cs="Times New Roman"/>
          <w:sz w:val="24"/>
          <w:szCs w:val="24"/>
        </w:rPr>
        <w:t xml:space="preserve"> and ensures that recommendations are both </w:t>
      </w:r>
      <w:proofErr w:type="spellStart"/>
      <w:r w:rsidRPr="00446ADA">
        <w:rPr>
          <w:rFonts w:ascii="Times New Roman" w:eastAsia="Times New Roman" w:hAnsi="Times New Roman" w:cs="Times New Roman"/>
          <w:sz w:val="24"/>
          <w:szCs w:val="24"/>
        </w:rPr>
        <w:t>aspirational</w:t>
      </w:r>
      <w:proofErr w:type="spellEnd"/>
      <w:r w:rsidRPr="00446ADA">
        <w:rPr>
          <w:rFonts w:ascii="Times New Roman" w:eastAsia="Times New Roman" w:hAnsi="Times New Roman" w:cs="Times New Roman"/>
          <w:sz w:val="24"/>
          <w:szCs w:val="24"/>
        </w:rPr>
        <w:t xml:space="preserve"> and realistic.</w:t>
      </w:r>
    </w:p>
    <w:p w:rsidR="00446ADA" w:rsidRPr="00446ADA" w:rsidRDefault="00446ADA" w:rsidP="00446ADA">
      <w:pPr>
        <w:spacing w:before="100" w:beforeAutospacing="1" w:after="100" w:afterAutospacing="1" w:line="240" w:lineRule="auto"/>
        <w:rPr>
          <w:rFonts w:ascii="Times New Roman" w:eastAsia="Times New Roman" w:hAnsi="Times New Roman" w:cs="Times New Roman"/>
          <w:sz w:val="24"/>
          <w:szCs w:val="24"/>
        </w:rPr>
      </w:pPr>
      <w:r w:rsidRPr="00446ADA">
        <w:rPr>
          <w:rFonts w:ascii="Times New Roman" w:eastAsia="Times New Roman" w:hAnsi="Times New Roman" w:cs="Times New Roman"/>
          <w:sz w:val="24"/>
          <w:szCs w:val="24"/>
        </w:rPr>
        <w:t xml:space="preserve">Finally, the strategy is grounded in the principles of the </w:t>
      </w:r>
      <w:r w:rsidRPr="00446ADA">
        <w:rPr>
          <w:rFonts w:ascii="Times New Roman" w:eastAsia="Times New Roman" w:hAnsi="Times New Roman" w:cs="Times New Roman"/>
          <w:b/>
          <w:bCs/>
          <w:sz w:val="24"/>
          <w:szCs w:val="24"/>
        </w:rPr>
        <w:t>ILO’s Decent Work Agenda</w:t>
      </w:r>
      <w:r w:rsidRPr="00446ADA">
        <w:rPr>
          <w:rFonts w:ascii="Times New Roman" w:eastAsia="Times New Roman" w:hAnsi="Times New Roman" w:cs="Times New Roman"/>
          <w:sz w:val="24"/>
          <w:szCs w:val="24"/>
        </w:rPr>
        <w:t xml:space="preserve"> and the </w:t>
      </w:r>
      <w:r w:rsidRPr="00446ADA">
        <w:rPr>
          <w:rFonts w:ascii="Times New Roman" w:eastAsia="Times New Roman" w:hAnsi="Times New Roman" w:cs="Times New Roman"/>
          <w:b/>
          <w:bCs/>
          <w:sz w:val="24"/>
          <w:szCs w:val="24"/>
        </w:rPr>
        <w:t>UN Sustainable Development Goals (SDGs)</w:t>
      </w:r>
      <w:r w:rsidRPr="00446ADA">
        <w:rPr>
          <w:rFonts w:ascii="Times New Roman" w:eastAsia="Times New Roman" w:hAnsi="Times New Roman" w:cs="Times New Roman"/>
          <w:sz w:val="24"/>
          <w:szCs w:val="24"/>
        </w:rPr>
        <w:t xml:space="preserve">, particularly SDG 8: Decent Work and Economic Growth, and SDG 10: Reduced Inequalities. These frameworks provide normative guidelines for building inclusive and resilient </w:t>
      </w:r>
      <w:proofErr w:type="spellStart"/>
      <w:r w:rsidRPr="00446ADA">
        <w:rPr>
          <w:rFonts w:ascii="Times New Roman" w:eastAsia="Times New Roman" w:hAnsi="Times New Roman" w:cs="Times New Roman"/>
          <w:sz w:val="24"/>
          <w:szCs w:val="24"/>
        </w:rPr>
        <w:t>labour</w:t>
      </w:r>
      <w:proofErr w:type="spellEnd"/>
      <w:r w:rsidRPr="00446ADA">
        <w:rPr>
          <w:rFonts w:ascii="Times New Roman" w:eastAsia="Times New Roman" w:hAnsi="Times New Roman" w:cs="Times New Roman"/>
          <w:sz w:val="24"/>
          <w:szCs w:val="24"/>
        </w:rPr>
        <w:t xml:space="preserve"> systems post-crisis. Academic literature, such as Baum et al. (2021), Hall et al. (2020), and </w:t>
      </w:r>
      <w:proofErr w:type="spellStart"/>
      <w:r w:rsidRPr="00446ADA">
        <w:rPr>
          <w:rFonts w:ascii="Times New Roman" w:eastAsia="Times New Roman" w:hAnsi="Times New Roman" w:cs="Times New Roman"/>
          <w:sz w:val="24"/>
          <w:szCs w:val="24"/>
        </w:rPr>
        <w:t>Romagosa</w:t>
      </w:r>
      <w:proofErr w:type="spellEnd"/>
      <w:r w:rsidRPr="00446ADA">
        <w:rPr>
          <w:rFonts w:ascii="Times New Roman" w:eastAsia="Times New Roman" w:hAnsi="Times New Roman" w:cs="Times New Roman"/>
          <w:sz w:val="24"/>
          <w:szCs w:val="24"/>
        </w:rPr>
        <w:t xml:space="preserve"> (2021), supports the argument that tourism workforce recovery should emphasize not just employment quantity but quality—focusing on equity, security, and sustainability. By triangulating multiple data sources and theoretical models, this research aims to create a robust and context-sensitive recovery plan tailored to Italy’s unique socio-economic landscape.</w:t>
      </w:r>
    </w:p>
    <w:p w:rsidR="009B453C" w:rsidRDefault="009B453C" w:rsidP="00557702">
      <w:pPr>
        <w:pStyle w:val="Heading3"/>
      </w:pPr>
    </w:p>
    <w:p w:rsidR="00557702" w:rsidRDefault="00557702" w:rsidP="00557702">
      <w:pPr>
        <w:pStyle w:val="Heading3"/>
      </w:pPr>
      <w:r>
        <w:t>Findings</w:t>
      </w:r>
    </w:p>
    <w:p w:rsidR="00557702" w:rsidRDefault="00557702" w:rsidP="00557702">
      <w:pPr>
        <w:pStyle w:val="Heading4"/>
      </w:pPr>
      <w:r>
        <w:t xml:space="preserve">1. Pre- and Post-Crisis </w:t>
      </w:r>
      <w:proofErr w:type="spellStart"/>
      <w:r>
        <w:t>Labour</w:t>
      </w:r>
      <w:proofErr w:type="spellEnd"/>
      <w:r>
        <w:t xml:space="preserve"> Market Dynamics</w:t>
      </w:r>
    </w:p>
    <w:tbl>
      <w:tblPr>
        <w:tblW w:w="0" w:type="auto"/>
        <w:tblCellSpacing w:w="15" w:type="dxa"/>
        <w:tblCellMar>
          <w:top w:w="15" w:type="dxa"/>
          <w:left w:w="15" w:type="dxa"/>
          <w:bottom w:w="15" w:type="dxa"/>
          <w:right w:w="15" w:type="dxa"/>
        </w:tblCellMar>
        <w:tblLook w:val="04A0"/>
      </w:tblPr>
      <w:tblGrid>
        <w:gridCol w:w="2250"/>
        <w:gridCol w:w="1108"/>
        <w:gridCol w:w="2641"/>
      </w:tblGrid>
      <w:tr w:rsidR="00557702" w:rsidTr="00557702">
        <w:trPr>
          <w:tblHeader/>
          <w:tblCellSpacing w:w="15" w:type="dxa"/>
        </w:trPr>
        <w:tc>
          <w:tcPr>
            <w:tcW w:w="0" w:type="auto"/>
            <w:vAlign w:val="center"/>
            <w:hideMark/>
          </w:tcPr>
          <w:p w:rsidR="00557702" w:rsidRDefault="00557702">
            <w:pPr>
              <w:jc w:val="center"/>
              <w:rPr>
                <w:b/>
                <w:bCs/>
                <w:sz w:val="24"/>
                <w:szCs w:val="24"/>
              </w:rPr>
            </w:pPr>
            <w:r>
              <w:rPr>
                <w:b/>
                <w:bCs/>
              </w:rPr>
              <w:t>Aspect</w:t>
            </w:r>
          </w:p>
        </w:tc>
        <w:tc>
          <w:tcPr>
            <w:tcW w:w="0" w:type="auto"/>
            <w:vAlign w:val="center"/>
            <w:hideMark/>
          </w:tcPr>
          <w:p w:rsidR="00557702" w:rsidRDefault="00557702">
            <w:pPr>
              <w:jc w:val="center"/>
              <w:rPr>
                <w:b/>
                <w:bCs/>
                <w:sz w:val="24"/>
                <w:szCs w:val="24"/>
              </w:rPr>
            </w:pPr>
            <w:r>
              <w:rPr>
                <w:b/>
                <w:bCs/>
              </w:rPr>
              <w:t>Pre-COVID</w:t>
            </w:r>
          </w:p>
        </w:tc>
        <w:tc>
          <w:tcPr>
            <w:tcW w:w="0" w:type="auto"/>
            <w:vAlign w:val="center"/>
            <w:hideMark/>
          </w:tcPr>
          <w:p w:rsidR="00557702" w:rsidRDefault="00557702">
            <w:pPr>
              <w:jc w:val="center"/>
              <w:rPr>
                <w:b/>
                <w:bCs/>
                <w:sz w:val="24"/>
                <w:szCs w:val="24"/>
              </w:rPr>
            </w:pPr>
            <w:r>
              <w:rPr>
                <w:b/>
                <w:bCs/>
              </w:rPr>
              <w:t>Post-COVID</w:t>
            </w:r>
          </w:p>
        </w:tc>
      </w:tr>
      <w:tr w:rsidR="00557702" w:rsidTr="00557702">
        <w:trPr>
          <w:tblCellSpacing w:w="15" w:type="dxa"/>
        </w:trPr>
        <w:tc>
          <w:tcPr>
            <w:tcW w:w="0" w:type="auto"/>
            <w:vAlign w:val="center"/>
            <w:hideMark/>
          </w:tcPr>
          <w:p w:rsidR="00557702" w:rsidRDefault="00557702">
            <w:pPr>
              <w:rPr>
                <w:sz w:val="24"/>
                <w:szCs w:val="24"/>
              </w:rPr>
            </w:pPr>
            <w:r>
              <w:t>Employment</w:t>
            </w:r>
          </w:p>
        </w:tc>
        <w:tc>
          <w:tcPr>
            <w:tcW w:w="0" w:type="auto"/>
            <w:vAlign w:val="center"/>
            <w:hideMark/>
          </w:tcPr>
          <w:p w:rsidR="00557702" w:rsidRDefault="00557702">
            <w:pPr>
              <w:rPr>
                <w:sz w:val="24"/>
                <w:szCs w:val="24"/>
              </w:rPr>
            </w:pPr>
            <w:r>
              <w:t>3.2 million</w:t>
            </w:r>
          </w:p>
        </w:tc>
        <w:tc>
          <w:tcPr>
            <w:tcW w:w="0" w:type="auto"/>
            <w:vAlign w:val="center"/>
            <w:hideMark/>
          </w:tcPr>
          <w:p w:rsidR="00557702" w:rsidRDefault="00557702">
            <w:pPr>
              <w:rPr>
                <w:sz w:val="24"/>
                <w:szCs w:val="24"/>
              </w:rPr>
            </w:pPr>
            <w:r>
              <w:t>2.6 million</w:t>
            </w:r>
          </w:p>
        </w:tc>
      </w:tr>
      <w:tr w:rsidR="00557702" w:rsidTr="00557702">
        <w:trPr>
          <w:tblCellSpacing w:w="15" w:type="dxa"/>
        </w:trPr>
        <w:tc>
          <w:tcPr>
            <w:tcW w:w="0" w:type="auto"/>
            <w:vAlign w:val="center"/>
            <w:hideMark/>
          </w:tcPr>
          <w:p w:rsidR="00557702" w:rsidRDefault="00557702">
            <w:pPr>
              <w:rPr>
                <w:sz w:val="24"/>
                <w:szCs w:val="24"/>
              </w:rPr>
            </w:pPr>
            <w:r>
              <w:t>Informality</w:t>
            </w:r>
          </w:p>
        </w:tc>
        <w:tc>
          <w:tcPr>
            <w:tcW w:w="0" w:type="auto"/>
            <w:vAlign w:val="center"/>
            <w:hideMark/>
          </w:tcPr>
          <w:p w:rsidR="00557702" w:rsidRDefault="00557702">
            <w:pPr>
              <w:rPr>
                <w:sz w:val="24"/>
                <w:szCs w:val="24"/>
              </w:rPr>
            </w:pPr>
            <w:r>
              <w:t>18%</w:t>
            </w:r>
          </w:p>
        </w:tc>
        <w:tc>
          <w:tcPr>
            <w:tcW w:w="0" w:type="auto"/>
            <w:vAlign w:val="center"/>
            <w:hideMark/>
          </w:tcPr>
          <w:p w:rsidR="00557702" w:rsidRDefault="00557702">
            <w:pPr>
              <w:rPr>
                <w:sz w:val="24"/>
                <w:szCs w:val="24"/>
              </w:rPr>
            </w:pPr>
            <w:r>
              <w:t>23%</w:t>
            </w:r>
          </w:p>
        </w:tc>
      </w:tr>
      <w:tr w:rsidR="00557702" w:rsidTr="00557702">
        <w:trPr>
          <w:tblCellSpacing w:w="15" w:type="dxa"/>
        </w:trPr>
        <w:tc>
          <w:tcPr>
            <w:tcW w:w="0" w:type="auto"/>
            <w:vAlign w:val="center"/>
            <w:hideMark/>
          </w:tcPr>
          <w:p w:rsidR="00557702" w:rsidRDefault="00557702">
            <w:pPr>
              <w:rPr>
                <w:sz w:val="24"/>
                <w:szCs w:val="24"/>
              </w:rPr>
            </w:pPr>
            <w:r>
              <w:t>Wages (average/month)</w:t>
            </w:r>
          </w:p>
        </w:tc>
        <w:tc>
          <w:tcPr>
            <w:tcW w:w="0" w:type="auto"/>
            <w:vAlign w:val="center"/>
            <w:hideMark/>
          </w:tcPr>
          <w:p w:rsidR="00557702" w:rsidRDefault="00557702">
            <w:pPr>
              <w:rPr>
                <w:sz w:val="24"/>
                <w:szCs w:val="24"/>
              </w:rPr>
            </w:pPr>
            <w:r>
              <w:t>€1,300</w:t>
            </w:r>
          </w:p>
        </w:tc>
        <w:tc>
          <w:tcPr>
            <w:tcW w:w="0" w:type="auto"/>
            <w:vAlign w:val="center"/>
            <w:hideMark/>
          </w:tcPr>
          <w:p w:rsidR="00557702" w:rsidRDefault="00557702">
            <w:pPr>
              <w:rPr>
                <w:sz w:val="24"/>
                <w:szCs w:val="24"/>
              </w:rPr>
            </w:pPr>
            <w:r>
              <w:t>€1,150</w:t>
            </w:r>
          </w:p>
        </w:tc>
      </w:tr>
      <w:tr w:rsidR="00557702" w:rsidTr="00557702">
        <w:trPr>
          <w:tblCellSpacing w:w="15" w:type="dxa"/>
        </w:trPr>
        <w:tc>
          <w:tcPr>
            <w:tcW w:w="0" w:type="auto"/>
            <w:vAlign w:val="center"/>
            <w:hideMark/>
          </w:tcPr>
          <w:p w:rsidR="00557702" w:rsidRDefault="00557702">
            <w:pPr>
              <w:rPr>
                <w:sz w:val="24"/>
                <w:szCs w:val="24"/>
              </w:rPr>
            </w:pPr>
            <w:r>
              <w:t>Skill demand</w:t>
            </w:r>
          </w:p>
        </w:tc>
        <w:tc>
          <w:tcPr>
            <w:tcW w:w="0" w:type="auto"/>
            <w:vAlign w:val="center"/>
            <w:hideMark/>
          </w:tcPr>
          <w:p w:rsidR="00557702" w:rsidRDefault="00557702">
            <w:pPr>
              <w:rPr>
                <w:sz w:val="24"/>
                <w:szCs w:val="24"/>
              </w:rPr>
            </w:pPr>
            <w:r>
              <w:t>Low digital</w:t>
            </w:r>
          </w:p>
        </w:tc>
        <w:tc>
          <w:tcPr>
            <w:tcW w:w="0" w:type="auto"/>
            <w:vAlign w:val="center"/>
            <w:hideMark/>
          </w:tcPr>
          <w:p w:rsidR="00557702" w:rsidRDefault="00557702">
            <w:pPr>
              <w:rPr>
                <w:sz w:val="24"/>
                <w:szCs w:val="24"/>
              </w:rPr>
            </w:pPr>
            <w:r>
              <w:t>High digital, language, safety</w:t>
            </w:r>
          </w:p>
        </w:tc>
      </w:tr>
      <w:tr w:rsidR="00557702" w:rsidTr="00557702">
        <w:trPr>
          <w:tblCellSpacing w:w="15" w:type="dxa"/>
        </w:trPr>
        <w:tc>
          <w:tcPr>
            <w:tcW w:w="0" w:type="auto"/>
            <w:vAlign w:val="center"/>
            <w:hideMark/>
          </w:tcPr>
          <w:p w:rsidR="00557702" w:rsidRDefault="00557702">
            <w:pPr>
              <w:rPr>
                <w:sz w:val="24"/>
                <w:szCs w:val="24"/>
              </w:rPr>
            </w:pPr>
            <w:r>
              <w:t>Gender gap</w:t>
            </w:r>
          </w:p>
        </w:tc>
        <w:tc>
          <w:tcPr>
            <w:tcW w:w="0" w:type="auto"/>
            <w:vAlign w:val="center"/>
            <w:hideMark/>
          </w:tcPr>
          <w:p w:rsidR="00557702" w:rsidRDefault="00557702">
            <w:pPr>
              <w:rPr>
                <w:sz w:val="24"/>
                <w:szCs w:val="24"/>
              </w:rPr>
            </w:pPr>
            <w:r>
              <w:t>59% female</w:t>
            </w:r>
          </w:p>
        </w:tc>
        <w:tc>
          <w:tcPr>
            <w:tcW w:w="0" w:type="auto"/>
            <w:vAlign w:val="center"/>
            <w:hideMark/>
          </w:tcPr>
          <w:p w:rsidR="00557702" w:rsidRDefault="00557702">
            <w:pPr>
              <w:rPr>
                <w:sz w:val="24"/>
                <w:szCs w:val="24"/>
              </w:rPr>
            </w:pPr>
            <w:r>
              <w:t>63% female</w:t>
            </w:r>
          </w:p>
        </w:tc>
      </w:tr>
    </w:tbl>
    <w:p w:rsidR="00557702" w:rsidRDefault="00557702" w:rsidP="00557702">
      <w:pPr>
        <w:pStyle w:val="Heading4"/>
      </w:pPr>
      <w:r>
        <w:t>2. Structural Weaknesses Identified</w:t>
      </w:r>
    </w:p>
    <w:p w:rsidR="00557702" w:rsidRDefault="00557702" w:rsidP="00557702">
      <w:pPr>
        <w:pStyle w:val="NormalWeb"/>
        <w:numPr>
          <w:ilvl w:val="0"/>
          <w:numId w:val="16"/>
        </w:numPr>
      </w:pPr>
      <w:r>
        <w:rPr>
          <w:rStyle w:val="Strong"/>
        </w:rPr>
        <w:t>Over-reliance on seasonal work</w:t>
      </w:r>
      <w:r>
        <w:t>: Limited year-round employment led to poor retention.</w:t>
      </w:r>
    </w:p>
    <w:p w:rsidR="00557702" w:rsidRDefault="00557702" w:rsidP="00557702">
      <w:pPr>
        <w:pStyle w:val="NormalWeb"/>
        <w:numPr>
          <w:ilvl w:val="0"/>
          <w:numId w:val="16"/>
        </w:numPr>
      </w:pPr>
      <w:r>
        <w:rPr>
          <w:rStyle w:val="Strong"/>
        </w:rPr>
        <w:lastRenderedPageBreak/>
        <w:t>Skills gaps</w:t>
      </w:r>
      <w:r>
        <w:t>: No structured training programs tied to crisis resilience or digital needs.</w:t>
      </w:r>
    </w:p>
    <w:p w:rsidR="00557702" w:rsidRDefault="00557702" w:rsidP="00557702">
      <w:pPr>
        <w:pStyle w:val="NormalWeb"/>
        <w:numPr>
          <w:ilvl w:val="0"/>
          <w:numId w:val="16"/>
        </w:numPr>
      </w:pPr>
      <w:r>
        <w:rPr>
          <w:rStyle w:val="Strong"/>
        </w:rPr>
        <w:t>Geographic imbalance</w:t>
      </w:r>
      <w:r>
        <w:t>: Northern Italy recovered faster than the South.</w:t>
      </w:r>
    </w:p>
    <w:p w:rsidR="00557702" w:rsidRDefault="00557702" w:rsidP="00557702">
      <w:pPr>
        <w:pStyle w:val="NormalWeb"/>
        <w:numPr>
          <w:ilvl w:val="0"/>
          <w:numId w:val="16"/>
        </w:numPr>
      </w:pPr>
      <w:r>
        <w:rPr>
          <w:rStyle w:val="Strong"/>
        </w:rPr>
        <w:t>Policy fragmentation</w:t>
      </w:r>
      <w:r>
        <w:t xml:space="preserve">: Different regions adopted inconsistent </w:t>
      </w:r>
      <w:proofErr w:type="spellStart"/>
      <w:r>
        <w:t>labour</w:t>
      </w:r>
      <w:proofErr w:type="spellEnd"/>
      <w:r>
        <w:t xml:space="preserve"> policies.</w:t>
      </w:r>
    </w:p>
    <w:p w:rsidR="009B453C" w:rsidRDefault="009B453C" w:rsidP="00557702">
      <w:pPr>
        <w:pStyle w:val="Heading3"/>
      </w:pPr>
    </w:p>
    <w:p w:rsidR="001D69FA" w:rsidRDefault="001D69FA" w:rsidP="001D69FA">
      <w:pPr>
        <w:pStyle w:val="NormalWeb"/>
      </w:pPr>
      <w:r>
        <w:rPr>
          <w:rStyle w:val="Strong"/>
        </w:rPr>
        <w:t>Discussion</w:t>
      </w:r>
    </w:p>
    <w:p w:rsidR="001D69FA" w:rsidRDefault="001D69FA" w:rsidP="001D69FA">
      <w:pPr>
        <w:pStyle w:val="NormalWeb"/>
      </w:pPr>
      <w:r>
        <w:rPr>
          <w:rStyle w:val="Strong"/>
        </w:rPr>
        <w:t>1. Short-Term Strategic Responses</w:t>
      </w:r>
    </w:p>
    <w:p w:rsidR="001D69FA" w:rsidRDefault="001D69FA" w:rsidP="001D69FA">
      <w:pPr>
        <w:pStyle w:val="NormalWeb"/>
      </w:pPr>
      <w:r>
        <w:rPr>
          <w:rStyle w:val="Strong"/>
        </w:rPr>
        <w:t>a. Employment Incentives</w:t>
      </w:r>
      <w:r>
        <w:br/>
      </w:r>
      <w:proofErr w:type="gramStart"/>
      <w:r>
        <w:t>One</w:t>
      </w:r>
      <w:proofErr w:type="gramEnd"/>
      <w:r>
        <w:t xml:space="preserve"> of the most urgent needs in the Italian tourism </w:t>
      </w:r>
      <w:proofErr w:type="spellStart"/>
      <w:r>
        <w:t>labour</w:t>
      </w:r>
      <w:proofErr w:type="spellEnd"/>
      <w:r>
        <w:t xml:space="preserve"> market is to incentivize the rehiring of furloughed or unemployed workers. As seen in Germany's </w:t>
      </w:r>
      <w:proofErr w:type="spellStart"/>
      <w:r>
        <w:t>Kurzarbeit</w:t>
      </w:r>
      <w:proofErr w:type="spellEnd"/>
      <w:r>
        <w:t xml:space="preserve"> model, targeted wage subsidies can enable companies to retain employees on reduced hours while the government covers a portion of their salaries (OECD, 2021). This approach prevents permanent layoffs, maintains the employer-employee relationship, and ensures </w:t>
      </w:r>
      <w:proofErr w:type="spellStart"/>
      <w:r>
        <w:t>labour</w:t>
      </w:r>
      <w:proofErr w:type="spellEnd"/>
      <w:r>
        <w:t xml:space="preserve"> force readiness as tourism demand gradually returns. For Italy, adopting a similar short-term subsidy model tailored to its unique regional economic structures could stimulate </w:t>
      </w:r>
      <w:proofErr w:type="spellStart"/>
      <w:r>
        <w:t>labour</w:t>
      </w:r>
      <w:proofErr w:type="spellEnd"/>
      <w:r>
        <w:t xml:space="preserve"> reintegration.</w:t>
      </w:r>
    </w:p>
    <w:p w:rsidR="001D69FA" w:rsidRDefault="001D69FA" w:rsidP="001D69FA">
      <w:pPr>
        <w:pStyle w:val="NormalWeb"/>
      </w:pPr>
      <w:r>
        <w:t>Furthermore, this subsidy model should prioritize the most affected demographics, particularly women, youth, and migrant workers who were disproportionately displaced during the crisis (EIGE, 2021; ISTAT, 2022). These groups often face the highest barriers to re-employment due to a combination of skill gaps, care responsibilities, or legal uncertainties. A conditional subsidy framework requiring companies to rehire these vulnerable groups first can enhance social equity while stimulating economic activity.</w:t>
      </w:r>
    </w:p>
    <w:p w:rsidR="001D69FA" w:rsidRDefault="001D69FA" w:rsidP="001D69FA">
      <w:pPr>
        <w:pStyle w:val="NormalWeb"/>
      </w:pPr>
      <w:r>
        <w:t xml:space="preserve">Finally, implementation should be decentralized in coordination with regional governments and tourism boards, ensuring that subsidy distribution aligns with local employment patterns and </w:t>
      </w:r>
      <w:proofErr w:type="spellStart"/>
      <w:r>
        <w:t>sectoral</w:t>
      </w:r>
      <w:proofErr w:type="spellEnd"/>
      <w:r>
        <w:t xml:space="preserve"> needs. For instance, high-dependency tourism regions like Veneto and Lazio may receive additional funding and monitoring to ensure optimal results. Transparent eligibility guidelines, regular audits, and collaboration with trade unions can help minimize fraud and ensure accountability.</w:t>
      </w:r>
    </w:p>
    <w:p w:rsidR="001D69FA" w:rsidRDefault="001D69FA" w:rsidP="001D69FA">
      <w:pPr>
        <w:pStyle w:val="NormalWeb"/>
      </w:pPr>
      <w:r>
        <w:rPr>
          <w:rStyle w:val="Strong"/>
        </w:rPr>
        <w:t xml:space="preserve">b. Digital </w:t>
      </w:r>
      <w:proofErr w:type="spellStart"/>
      <w:r>
        <w:rPr>
          <w:rStyle w:val="Strong"/>
        </w:rPr>
        <w:t>Upskilling</w:t>
      </w:r>
      <w:proofErr w:type="spellEnd"/>
      <w:r>
        <w:br/>
        <w:t>Digital transformation is no longer optional in tourism; it is a necessity. Italy’s pre-pandemic workforce showed considerable gaps in digital literacy, particularly among older workers and employees in rural tourism hubs (OECD, 2021). Short-term, accelerated training programs in key digital tools—such as online reservation systems, CRM platforms, tourism data analytics, and social media marketing—can rapidly bridge this gap and boost workforce competitiveness.</w:t>
      </w:r>
    </w:p>
    <w:p w:rsidR="001D69FA" w:rsidRDefault="001D69FA" w:rsidP="001D69FA">
      <w:pPr>
        <w:pStyle w:val="NormalWeb"/>
      </w:pPr>
      <w:r>
        <w:t>Public-private partnerships can be instrumental in launching these initiatives. For instance, universities, polytechnic institutes, and private tourism firms could co-develop short-term certifications tailored to immediate industry needs. These programs should be delivered in flexible formats—both online and in-person—and offered at no cost to unemployed or furloughed workers. Scholarships and childcare support should be available to women and parents to promote inclusive participation (UNWTO, 2021).</w:t>
      </w:r>
    </w:p>
    <w:p w:rsidR="001D69FA" w:rsidRDefault="001D69FA" w:rsidP="001D69FA">
      <w:pPr>
        <w:pStyle w:val="NormalWeb"/>
      </w:pPr>
      <w:r>
        <w:lastRenderedPageBreak/>
        <w:t>To measure impact, Italy’s Ministry of Tourism should establish performance benchmarks and job placement rates for each program. Additionally, aligning training content with the European Skills Agenda and Italy’s National Recovery and Resilience Plan (NRRP) can ensure long-term policy coherence and funding sustainability (European Commission, 2022).</w:t>
      </w:r>
    </w:p>
    <w:p w:rsidR="001D69FA" w:rsidRDefault="001D69FA" w:rsidP="001D69FA">
      <w:pPr>
        <w:pStyle w:val="NormalWeb"/>
      </w:pPr>
      <w:r>
        <w:rPr>
          <w:rStyle w:val="Strong"/>
        </w:rPr>
        <w:t>c. Formalization Drives</w:t>
      </w:r>
      <w:r>
        <w:br/>
        <w:t xml:space="preserve">Informal </w:t>
      </w:r>
      <w:proofErr w:type="spellStart"/>
      <w:r>
        <w:t>labour</w:t>
      </w:r>
      <w:proofErr w:type="spellEnd"/>
      <w:r>
        <w:t xml:space="preserve"> in tourism has long been a structural weakness in Italy. Nearly one in five tourism workers operate without formal contracts, making them invisible in social protection schemes (ILO, 2022). A short-term but high-impact solution would be to launch a temporary formalization campaign—akin to a </w:t>
      </w:r>
      <w:proofErr w:type="spellStart"/>
      <w:r>
        <w:t>labour</w:t>
      </w:r>
      <w:proofErr w:type="spellEnd"/>
      <w:r>
        <w:t xml:space="preserve"> amnesty—where employers and workers are incentivized to register contracts without fear of penalty.</w:t>
      </w:r>
    </w:p>
    <w:p w:rsidR="001D69FA" w:rsidRDefault="001D69FA" w:rsidP="001D69FA">
      <w:pPr>
        <w:pStyle w:val="NormalWeb"/>
      </w:pPr>
      <w:r>
        <w:t xml:space="preserve">This initiative should include tax incentives for small tourism enterprises that move workers to formal payroll systems and provide simplified administrative processes through digital one-stop platforms. Italy’s small family-run hotels and restaurants, which often cite bureaucratic burdens as a reason for informality, would benefit significantly from this support (Corte </w:t>
      </w:r>
      <w:proofErr w:type="spellStart"/>
      <w:r>
        <w:t>dei</w:t>
      </w:r>
      <w:proofErr w:type="spellEnd"/>
      <w:r>
        <w:t xml:space="preserve"> Conti, 2021).</w:t>
      </w:r>
    </w:p>
    <w:p w:rsidR="001D69FA" w:rsidRDefault="001D69FA" w:rsidP="001D69FA">
      <w:pPr>
        <w:pStyle w:val="NormalWeb"/>
      </w:pPr>
      <w:r>
        <w:t xml:space="preserve">Furthermore, partnerships with local chambers of commerce and trade unions can ensure outreach and trust-building among informal workers. Transparent registration mechanisms, access to social security upon registration, and workshops on workers’ rights can empower employees while reducing systemic vulnerabilities in the </w:t>
      </w:r>
      <w:proofErr w:type="spellStart"/>
      <w:r>
        <w:t>labour</w:t>
      </w:r>
      <w:proofErr w:type="spellEnd"/>
      <w:r>
        <w:t xml:space="preserve"> market.</w:t>
      </w:r>
    </w:p>
    <w:p w:rsidR="001D69FA" w:rsidRDefault="001D69FA" w:rsidP="001D69FA">
      <w:pPr>
        <w:pStyle w:val="NormalWeb"/>
      </w:pPr>
      <w:r>
        <w:rPr>
          <w:rStyle w:val="Strong"/>
        </w:rPr>
        <w:t>d. Mental Health Support</w:t>
      </w:r>
      <w:r>
        <w:br/>
        <w:t>COVID-19 caused not only economic devastation but also deep psychological trauma among tourism workers. Many employees in hospitality, transport, and tour operations faced sudden job loss, prolonged uncertainty, and increased health risks—all contributing to stress, anxiety, and burnout (</w:t>
      </w:r>
      <w:proofErr w:type="spellStart"/>
      <w:r>
        <w:t>Civitelli</w:t>
      </w:r>
      <w:proofErr w:type="spellEnd"/>
      <w:r>
        <w:t xml:space="preserve"> &amp; Di Giorgio, 2022). Immediate investment in workplace mental health infrastructure is essential for a productive and resilient recovery.</w:t>
      </w:r>
    </w:p>
    <w:p w:rsidR="001D69FA" w:rsidRDefault="001D69FA" w:rsidP="001D69FA">
      <w:pPr>
        <w:pStyle w:val="NormalWeb"/>
      </w:pPr>
      <w:r>
        <w:t xml:space="preserve">The government, in collaboration with regional health authorities, should establish dedicated mental health </w:t>
      </w:r>
      <w:proofErr w:type="spellStart"/>
      <w:r>
        <w:t>centres</w:t>
      </w:r>
      <w:proofErr w:type="spellEnd"/>
      <w:r>
        <w:t xml:space="preserve"> for tourism workers. These </w:t>
      </w:r>
      <w:proofErr w:type="spellStart"/>
      <w:r>
        <w:t>centres</w:t>
      </w:r>
      <w:proofErr w:type="spellEnd"/>
      <w:r>
        <w:t xml:space="preserve"> can offer free </w:t>
      </w:r>
      <w:proofErr w:type="spellStart"/>
      <w:r>
        <w:t>counselling</w:t>
      </w:r>
      <w:proofErr w:type="spellEnd"/>
      <w:r>
        <w:t xml:space="preserve">, stress management workshops, and crisis </w:t>
      </w:r>
      <w:proofErr w:type="spellStart"/>
      <w:r>
        <w:t>helplines</w:t>
      </w:r>
      <w:proofErr w:type="spellEnd"/>
      <w:r>
        <w:t xml:space="preserve"> in multiple languages to cater to Italy’s diverse tourism workforce. Mobile outreach vans and </w:t>
      </w:r>
      <w:proofErr w:type="spellStart"/>
      <w:r>
        <w:t>telehealth</w:t>
      </w:r>
      <w:proofErr w:type="spellEnd"/>
      <w:r>
        <w:t xml:space="preserve"> solutions can be deployed in rural or under-resourced regions.</w:t>
      </w:r>
    </w:p>
    <w:p w:rsidR="001D69FA" w:rsidRDefault="001D69FA" w:rsidP="001D69FA">
      <w:pPr>
        <w:pStyle w:val="NormalWeb"/>
      </w:pPr>
      <w:r>
        <w:t>Employers must also play a role. Businesses receiving government support should be required to implement employee wellness programs, including psychological safety training for managers, mental health days, and flexible work arrangements. Promoting a culture of empathy and wellbeing will not only support recovery but can also improve retention and job satisfaction in the long term.</w:t>
      </w:r>
    </w:p>
    <w:p w:rsidR="001D69FA" w:rsidRDefault="001D69FA" w:rsidP="001D69FA">
      <w:pPr>
        <w:pStyle w:val="NormalWeb"/>
      </w:pPr>
      <w:r>
        <w:rPr>
          <w:rStyle w:val="Strong"/>
        </w:rPr>
        <w:t>2. Long-Term Workforce Resilience Strategies</w:t>
      </w:r>
    </w:p>
    <w:p w:rsidR="001D69FA" w:rsidRDefault="001D69FA" w:rsidP="001D69FA">
      <w:pPr>
        <w:pStyle w:val="NormalWeb"/>
      </w:pPr>
      <w:r>
        <w:rPr>
          <w:rStyle w:val="Strong"/>
        </w:rPr>
        <w:t>a. Sustainable Contracts</w:t>
      </w:r>
      <w:r>
        <w:br/>
      </w:r>
      <w:proofErr w:type="gramStart"/>
      <w:r>
        <w:t>A</w:t>
      </w:r>
      <w:proofErr w:type="gramEnd"/>
      <w:r>
        <w:t xml:space="preserve"> key priority for long-term resilience is transitioning from short-term or seasonal contracts to more sustainable and stable employment forms. Italy’s tourism sector must move toward a model </w:t>
      </w:r>
      <w:r>
        <w:lastRenderedPageBreak/>
        <w:t xml:space="preserve">that encourages year-round employment through diversified tourism offerings like eco-tourism, </w:t>
      </w:r>
      <w:proofErr w:type="spellStart"/>
      <w:r>
        <w:t>agritourism</w:t>
      </w:r>
      <w:proofErr w:type="spellEnd"/>
      <w:r>
        <w:t>, and cultural heritage conservation (UNESCO, 2022). These sectors tend to generate more stable job opportunities and are aligned with global sustainability goals.</w:t>
      </w:r>
    </w:p>
    <w:p w:rsidR="001D69FA" w:rsidRDefault="001D69FA" w:rsidP="001D69FA">
      <w:pPr>
        <w:pStyle w:val="NormalWeb"/>
      </w:pPr>
      <w:r>
        <w:t xml:space="preserve">To achieve this, the government should create industry-specific guidelines for "green jobs" in tourism. These guidelines must define job scopes, offer incentives for permanent contracts, and support training in relevant skill areas such as sustainable hospitality practices, carbon auditing, and cultural heritage preservation. Collaborations with sustainability certification bodies can ensure alignment with international </w:t>
      </w:r>
      <w:proofErr w:type="spellStart"/>
      <w:r>
        <w:t>labour</w:t>
      </w:r>
      <w:proofErr w:type="spellEnd"/>
      <w:r>
        <w:t xml:space="preserve"> and environmental standards.</w:t>
      </w:r>
    </w:p>
    <w:p w:rsidR="001D69FA" w:rsidRDefault="001D69FA" w:rsidP="001D69FA">
      <w:pPr>
        <w:pStyle w:val="NormalWeb"/>
      </w:pPr>
      <w:r>
        <w:t>Moreover, integrating sustainability metrics into tourism funding schemes (e.g., loans, grants) will encourage businesses to offer secure and environmentally responsible employment. Municipalities and tourism boards should also update licensing rules to prioritize or reward businesses that demonstrate long-term employment commitments and green credentials.</w:t>
      </w:r>
    </w:p>
    <w:p w:rsidR="001D69FA" w:rsidRDefault="001D69FA" w:rsidP="001D69FA">
      <w:pPr>
        <w:pStyle w:val="NormalWeb"/>
      </w:pPr>
      <w:r>
        <w:rPr>
          <w:rStyle w:val="Strong"/>
        </w:rPr>
        <w:t xml:space="preserve">b. </w:t>
      </w:r>
      <w:proofErr w:type="spellStart"/>
      <w:r>
        <w:rPr>
          <w:rStyle w:val="Strong"/>
        </w:rPr>
        <w:t>Labour</w:t>
      </w:r>
      <w:proofErr w:type="spellEnd"/>
      <w:r>
        <w:rPr>
          <w:rStyle w:val="Strong"/>
        </w:rPr>
        <w:t xml:space="preserve"> Mobility Agreements</w:t>
      </w:r>
      <w:r>
        <w:br/>
        <w:t xml:space="preserve">Italy can no longer afford to treat seasonal workers as expendable. Establishing cross-border </w:t>
      </w:r>
      <w:proofErr w:type="spellStart"/>
      <w:r>
        <w:t>labour</w:t>
      </w:r>
      <w:proofErr w:type="spellEnd"/>
      <w:r>
        <w:t xml:space="preserve"> mobility agreements within the EU—particularly with countries supplying seasonal tourism </w:t>
      </w:r>
      <w:proofErr w:type="spellStart"/>
      <w:r>
        <w:t>labour</w:t>
      </w:r>
      <w:proofErr w:type="spellEnd"/>
      <w:r>
        <w:t xml:space="preserve"> such as Romania, Bulgaria, and Poland—can stabilize supply and uphold ethical standards. These agreements should include provisions for contract transparency, portable social protections, and access to healthcare, in alignment with EURES guidelines (EURES, 2022).</w:t>
      </w:r>
    </w:p>
    <w:p w:rsidR="001D69FA" w:rsidRDefault="001D69FA" w:rsidP="001D69FA">
      <w:pPr>
        <w:pStyle w:val="NormalWeb"/>
      </w:pPr>
      <w:r>
        <w:t xml:space="preserve">Italy should also explore bilateral </w:t>
      </w:r>
      <w:proofErr w:type="spellStart"/>
      <w:r>
        <w:t>labour</w:t>
      </w:r>
      <w:proofErr w:type="spellEnd"/>
      <w:r>
        <w:t xml:space="preserve"> exchange programs, where workers can rotate across Mediterranean countries during peak seasons. This approach ensures year-round employment opportunities while maintaining a reliable </w:t>
      </w:r>
      <w:proofErr w:type="spellStart"/>
      <w:r>
        <w:t>labour</w:t>
      </w:r>
      <w:proofErr w:type="spellEnd"/>
      <w:r>
        <w:t xml:space="preserve"> pool for local employers. </w:t>
      </w:r>
      <w:proofErr w:type="spellStart"/>
      <w:r>
        <w:t>Labour</w:t>
      </w:r>
      <w:proofErr w:type="spellEnd"/>
      <w:r>
        <w:t xml:space="preserve"> mobility also supports knowledge transfer, cultural exchange, and regional cohesion across EU tourism economies (</w:t>
      </w:r>
      <w:proofErr w:type="spellStart"/>
      <w:r>
        <w:t>Eurofound</w:t>
      </w:r>
      <w:proofErr w:type="spellEnd"/>
      <w:r>
        <w:t>, 2022).</w:t>
      </w:r>
    </w:p>
    <w:p w:rsidR="001D69FA" w:rsidRDefault="001D69FA" w:rsidP="001D69FA">
      <w:pPr>
        <w:pStyle w:val="NormalWeb"/>
      </w:pPr>
      <w:r>
        <w:t xml:space="preserve">For these initiatives to succeed, coordination between the Ministries of </w:t>
      </w:r>
      <w:proofErr w:type="spellStart"/>
      <w:r>
        <w:t>Labour</w:t>
      </w:r>
      <w:proofErr w:type="spellEnd"/>
      <w:r>
        <w:t>, Tourism, and Foreign Affairs is essential. Transparent recruitment platforms, multilingual legal resources, and union representation across borders will help enforce rights and reduce exploitation in seasonal employment models.</w:t>
      </w:r>
    </w:p>
    <w:p w:rsidR="001D69FA" w:rsidRDefault="001D69FA" w:rsidP="001D69FA">
      <w:pPr>
        <w:pStyle w:val="NormalWeb"/>
      </w:pPr>
      <w:r>
        <w:rPr>
          <w:rStyle w:val="Strong"/>
        </w:rPr>
        <w:t>c. Tourism Innovation Labs</w:t>
      </w:r>
      <w:r>
        <w:br/>
        <w:t xml:space="preserve">To attract and retain talent, particularly among youth, Italy must invest in the future of work in tourism. Establishing regional Tourism Innovation Labs can nurture young entrepreneurs working on sustainable, digital, and regenerative tourism solutions. These labs can be funded through public-private partnerships and integrated with university research </w:t>
      </w:r>
      <w:proofErr w:type="spellStart"/>
      <w:r>
        <w:t>centres</w:t>
      </w:r>
      <w:proofErr w:type="spellEnd"/>
      <w:r>
        <w:t>, offering mentorship, seed funding, and workspace.</w:t>
      </w:r>
    </w:p>
    <w:p w:rsidR="001D69FA" w:rsidRDefault="001D69FA" w:rsidP="001D69FA">
      <w:pPr>
        <w:pStyle w:val="NormalWeb"/>
      </w:pPr>
      <w:r>
        <w:t xml:space="preserve">Targeting university graduates and unemployed youth, these incubators can facilitate the creation of tech-enabled tourism products—such as VR heritage tours, AI-powered travel guides, and green transport solutions. Such innovations not only diversify the tourism offering but also create new forms of employment aligned with future </w:t>
      </w:r>
      <w:proofErr w:type="spellStart"/>
      <w:r>
        <w:t>labour</w:t>
      </w:r>
      <w:proofErr w:type="spellEnd"/>
      <w:r>
        <w:t xml:space="preserve"> market demands (Baum &amp; </w:t>
      </w:r>
      <w:proofErr w:type="spellStart"/>
      <w:r>
        <w:t>Hai</w:t>
      </w:r>
      <w:proofErr w:type="spellEnd"/>
      <w:r>
        <w:t>, 2021).</w:t>
      </w:r>
    </w:p>
    <w:p w:rsidR="001D69FA" w:rsidRDefault="001D69FA" w:rsidP="001D69FA">
      <w:pPr>
        <w:pStyle w:val="NormalWeb"/>
      </w:pPr>
      <w:r>
        <w:lastRenderedPageBreak/>
        <w:t>Incentivizing youth-led enterprises also contributes to rural revitalization, especially if Innovation Labs are located in underdeveloped regions of Southern Italy. Integrating these labs with EU funding mechanisms like Horizon Europe and Erasmus+ can further boost reach and impact while strengthening Italy’s global tourism innovation footprint.</w:t>
      </w:r>
    </w:p>
    <w:p w:rsidR="001D69FA" w:rsidRDefault="001D69FA" w:rsidP="001D69FA">
      <w:pPr>
        <w:pStyle w:val="NormalWeb"/>
      </w:pPr>
      <w:r>
        <w:rPr>
          <w:rStyle w:val="Strong"/>
        </w:rPr>
        <w:t>d. Ethical Employment Framework</w:t>
      </w:r>
      <w:r>
        <w:br/>
        <w:t>Ethical employment must be at the core of tourism workforce recovery. Italy should introduce a mandatory “Decent Work Tourism Seal,” awarded to businesses that meet standards on minimum wage, employment contracts, safety measures, and continuous training investment. This certification can act as both a quality assurance mechanism and a marketing advantage for ethical tourism providers.</w:t>
      </w:r>
    </w:p>
    <w:p w:rsidR="001D69FA" w:rsidRDefault="001D69FA" w:rsidP="001D69FA">
      <w:pPr>
        <w:pStyle w:val="NormalWeb"/>
      </w:pPr>
      <w:r>
        <w:t xml:space="preserve">The Seal should be managed by an independent body comprising representatives from </w:t>
      </w:r>
      <w:proofErr w:type="spellStart"/>
      <w:r>
        <w:t>labour</w:t>
      </w:r>
      <w:proofErr w:type="spellEnd"/>
      <w:r>
        <w:t xml:space="preserve"> unions, employer associations, and government agencies. Regular audits, public reporting, and worker feedback channels will ensure accountability. Businesses found violating standards should face temporary suspension of operating licenses or public subsidies.</w:t>
      </w:r>
    </w:p>
    <w:p w:rsidR="001D69FA" w:rsidRDefault="001D69FA" w:rsidP="001D69FA">
      <w:pPr>
        <w:pStyle w:val="NormalWeb"/>
      </w:pPr>
      <w:r>
        <w:t xml:space="preserve">To enhance consumer awareness, certified businesses can be promoted through national tourism portals and booking platforms. This approach leverages consumer preferences for ethical travel while driving a systemic shift toward better </w:t>
      </w:r>
      <w:proofErr w:type="spellStart"/>
      <w:r>
        <w:t>labour</w:t>
      </w:r>
      <w:proofErr w:type="spellEnd"/>
      <w:r>
        <w:t xml:space="preserve"> practices. Over time, the Seal can be integrated into regional development plans and tourism curricula to institutionalize decent work values across the sector.</w:t>
      </w:r>
    </w:p>
    <w:p w:rsidR="00F74BA4" w:rsidRDefault="00F74BA4" w:rsidP="001D69FA">
      <w:pPr>
        <w:pStyle w:val="NormalWeb"/>
        <w:rPr>
          <w:rStyle w:val="Strong"/>
        </w:rPr>
      </w:pPr>
    </w:p>
    <w:p w:rsidR="001D69FA" w:rsidRDefault="001D69FA" w:rsidP="001D69FA">
      <w:pPr>
        <w:pStyle w:val="NormalWeb"/>
      </w:pPr>
      <w:r>
        <w:rPr>
          <w:rStyle w:val="Strong"/>
        </w:rPr>
        <w:t>Conclusion</w:t>
      </w:r>
    </w:p>
    <w:p w:rsidR="001D69FA" w:rsidRDefault="001D69FA" w:rsidP="001D69FA">
      <w:pPr>
        <w:pStyle w:val="NormalWeb"/>
      </w:pPr>
      <w:r>
        <w:t xml:space="preserve">Italy's tourism </w:t>
      </w:r>
      <w:proofErr w:type="spellStart"/>
      <w:r>
        <w:t>labour</w:t>
      </w:r>
      <w:proofErr w:type="spellEnd"/>
      <w:r>
        <w:t xml:space="preserve"> market has endured a historic shock due to the COVID-19 pandemic, revealing deeply entrenched vulnerabilities. From widespread informality and insecure contracts to skill mismatches and inadequate worker protections, the crisis brought long-standing structural issues into sharp relief. These problems disproportionately affected groups already at the margins—such as migrant workers, women, and youth—intensifying inequalities and hampering recovery prospects.</w:t>
      </w:r>
    </w:p>
    <w:p w:rsidR="001D69FA" w:rsidRDefault="001D69FA" w:rsidP="001D69FA">
      <w:pPr>
        <w:pStyle w:val="NormalWeb"/>
      </w:pPr>
      <w:r>
        <w:t xml:space="preserve">However, the crisis also presents a rare opportunity for transformation. Instead of returning to a fragile pre-pandemic status quo, Italy can rebuild its tourism </w:t>
      </w:r>
      <w:proofErr w:type="spellStart"/>
      <w:r>
        <w:t>labour</w:t>
      </w:r>
      <w:proofErr w:type="spellEnd"/>
      <w:r>
        <w:t xml:space="preserve"> force through bold, forward-looking strategies. A phased approach—beginning with immediate employment incentives, mental health support, and digital </w:t>
      </w:r>
      <w:proofErr w:type="spellStart"/>
      <w:r>
        <w:t>upskilling</w:t>
      </w:r>
      <w:proofErr w:type="spellEnd"/>
      <w:r>
        <w:t xml:space="preserve">—lays the groundwork for deeper systemic reforms. This short-term stabilization is necessary to prevent long-term scarring effects and </w:t>
      </w:r>
      <w:proofErr w:type="spellStart"/>
      <w:r>
        <w:t>labour</w:t>
      </w:r>
      <w:proofErr w:type="spellEnd"/>
      <w:r>
        <w:t xml:space="preserve"> market detachment.</w:t>
      </w:r>
    </w:p>
    <w:p w:rsidR="001D69FA" w:rsidRDefault="001D69FA" w:rsidP="001D69FA">
      <w:pPr>
        <w:pStyle w:val="NormalWeb"/>
      </w:pPr>
      <w:r>
        <w:t xml:space="preserve">Long-term resilience, meanwhile, requires structural interventions that promote sustainable contracts, enable ethical cross-border </w:t>
      </w:r>
      <w:proofErr w:type="spellStart"/>
      <w:r>
        <w:t>labour</w:t>
      </w:r>
      <w:proofErr w:type="spellEnd"/>
      <w:r>
        <w:t xml:space="preserve"> mobility, and foster innovation-driven entrepreneurship. Green tourism and digital solutions can offer new career pathways, reduce seasonality, and improve job security across the sector. Italy’s alignment with EU </w:t>
      </w:r>
      <w:proofErr w:type="spellStart"/>
      <w:r>
        <w:t>labour</w:t>
      </w:r>
      <w:proofErr w:type="spellEnd"/>
      <w:r>
        <w:t xml:space="preserve"> </w:t>
      </w:r>
      <w:r>
        <w:lastRenderedPageBreak/>
        <w:t>directives and global sustainability goals further strengthens the rationale and support for such reforms.</w:t>
      </w:r>
    </w:p>
    <w:p w:rsidR="001D69FA" w:rsidRDefault="001D69FA" w:rsidP="001D69FA">
      <w:pPr>
        <w:pStyle w:val="NormalWeb"/>
      </w:pPr>
      <w:r>
        <w:t>Collaboration between government, industry, educational institutions, and civil society is essential for successful implementation. Public-private partnerships, transparent governance, and inclusive policy design will ensure that both employers and workers benefit equitably from recovery efforts. Special attention must be given to rural areas and historically underserved regions, ensuring a balanced and inclusive revival.</w:t>
      </w:r>
    </w:p>
    <w:p w:rsidR="001D69FA" w:rsidRDefault="001D69FA" w:rsidP="001D69FA">
      <w:pPr>
        <w:pStyle w:val="NormalWeb"/>
      </w:pPr>
      <w:r>
        <w:t xml:space="preserve">Moreover, embedding ethical employment principles into the core of tourism development will enhance both workforce wellbeing and Italy’s global brand image. Tourists today are increasingly value-conscious, and destinations that uphold fair </w:t>
      </w:r>
      <w:proofErr w:type="spellStart"/>
      <w:r>
        <w:t>labour</w:t>
      </w:r>
      <w:proofErr w:type="spellEnd"/>
      <w:r>
        <w:t xml:space="preserve"> standards are more likely to gain long-term trust and loyalty. The proposed “Decent Work Tourism Seal” exemplifies how regulation can align with competitive advantage.</w:t>
      </w:r>
    </w:p>
    <w:p w:rsidR="001D69FA" w:rsidRDefault="001D69FA" w:rsidP="001D69FA">
      <w:pPr>
        <w:pStyle w:val="NormalWeb"/>
      </w:pPr>
      <w:r>
        <w:t xml:space="preserve">In conclusion, rebuilding Italy’s tourism workforce is not simply a task of economic necessity—it is a societal mandate. With political will, strategic investment, and an unwavering commitment to equity, Italy can emerge from this crisis with a tourism sector that is not only restored, but </w:t>
      </w:r>
      <w:proofErr w:type="spellStart"/>
      <w:r>
        <w:t>reimagined</w:t>
      </w:r>
      <w:proofErr w:type="spellEnd"/>
      <w:r>
        <w:t>: greener, fairer, and future-ready.</w:t>
      </w:r>
    </w:p>
    <w:p w:rsidR="009B453C" w:rsidRDefault="009B453C" w:rsidP="00557702">
      <w:pPr>
        <w:pStyle w:val="Heading3"/>
      </w:pPr>
    </w:p>
    <w:p w:rsidR="00557702" w:rsidRDefault="009B453C" w:rsidP="00557702">
      <w:pPr>
        <w:pStyle w:val="Heading3"/>
      </w:pPr>
      <w:r>
        <w:t xml:space="preserve">References </w:t>
      </w:r>
    </w:p>
    <w:p w:rsidR="00557702" w:rsidRDefault="00557702" w:rsidP="00557702">
      <w:pPr>
        <w:pStyle w:val="NormalWeb"/>
        <w:numPr>
          <w:ilvl w:val="0"/>
          <w:numId w:val="17"/>
        </w:numPr>
      </w:pPr>
      <w:r>
        <w:t xml:space="preserve">Baum, T., Mooney, S., &amp; Robinson, R. (2021). Crisis and the Tourism Workforce: Insights from the COVID-19 Pandemic. </w:t>
      </w:r>
      <w:r>
        <w:rPr>
          <w:rStyle w:val="Emphasis"/>
        </w:rPr>
        <w:t>Tourism Management Perspectives</w:t>
      </w:r>
      <w:r>
        <w:t>, 38, 100819.</w:t>
      </w:r>
    </w:p>
    <w:p w:rsidR="00557702" w:rsidRDefault="00557702" w:rsidP="00557702">
      <w:pPr>
        <w:pStyle w:val="NormalWeb"/>
        <w:numPr>
          <w:ilvl w:val="0"/>
          <w:numId w:val="17"/>
        </w:numPr>
      </w:pPr>
      <w:proofErr w:type="spellStart"/>
      <w:r>
        <w:t>Banca</w:t>
      </w:r>
      <w:proofErr w:type="spellEnd"/>
      <w:r>
        <w:t xml:space="preserve"> </w:t>
      </w:r>
      <w:proofErr w:type="spellStart"/>
      <w:r>
        <w:t>d’Italia</w:t>
      </w:r>
      <w:proofErr w:type="spellEnd"/>
      <w:r>
        <w:t xml:space="preserve">. (2021). </w:t>
      </w:r>
      <w:proofErr w:type="spellStart"/>
      <w:r>
        <w:rPr>
          <w:rStyle w:val="Emphasis"/>
        </w:rPr>
        <w:t>Labour</w:t>
      </w:r>
      <w:proofErr w:type="spellEnd"/>
      <w:r>
        <w:rPr>
          <w:rStyle w:val="Emphasis"/>
        </w:rPr>
        <w:t xml:space="preserve"> Market Trends in Tourism Post-COVID</w:t>
      </w:r>
      <w:r>
        <w:t xml:space="preserve">. Retrieved from </w:t>
      </w:r>
      <w:hyperlink r:id="rId6" w:tgtFrame="_new" w:history="1">
        <w:r>
          <w:rPr>
            <w:rStyle w:val="Hyperlink"/>
          </w:rPr>
          <w:t>https://www.bancaditalia.it</w:t>
        </w:r>
      </w:hyperlink>
    </w:p>
    <w:p w:rsidR="00557702" w:rsidRDefault="00557702" w:rsidP="00557702">
      <w:pPr>
        <w:pStyle w:val="NormalWeb"/>
        <w:numPr>
          <w:ilvl w:val="0"/>
          <w:numId w:val="17"/>
        </w:numPr>
      </w:pPr>
      <w:proofErr w:type="spellStart"/>
      <w:r>
        <w:t>Civitelli</w:t>
      </w:r>
      <w:proofErr w:type="spellEnd"/>
      <w:r>
        <w:t xml:space="preserve">, L., &amp; Di Giorgio, P. (2022). Resilience of the Italian Tourism Sector </w:t>
      </w:r>
      <w:proofErr w:type="gramStart"/>
      <w:r>
        <w:t>After</w:t>
      </w:r>
      <w:proofErr w:type="gramEnd"/>
      <w:r>
        <w:t xml:space="preserve"> COVID-19. </w:t>
      </w:r>
      <w:r>
        <w:rPr>
          <w:rStyle w:val="Emphasis"/>
        </w:rPr>
        <w:t>Journal of Tourism Recovery</w:t>
      </w:r>
      <w:r>
        <w:t>, 5(2), 45–58.</w:t>
      </w:r>
    </w:p>
    <w:p w:rsidR="00557702" w:rsidRDefault="00557702" w:rsidP="00557702">
      <w:pPr>
        <w:pStyle w:val="NormalWeb"/>
        <w:numPr>
          <w:ilvl w:val="0"/>
          <w:numId w:val="17"/>
        </w:numPr>
      </w:pPr>
      <w:r>
        <w:t xml:space="preserve">Corte </w:t>
      </w:r>
      <w:proofErr w:type="spellStart"/>
      <w:r>
        <w:t>dei</w:t>
      </w:r>
      <w:proofErr w:type="spellEnd"/>
      <w:r>
        <w:t xml:space="preserve"> Conti. (2021). </w:t>
      </w:r>
      <w:proofErr w:type="spellStart"/>
      <w:r>
        <w:rPr>
          <w:rStyle w:val="Emphasis"/>
        </w:rPr>
        <w:t>Relazione</w:t>
      </w:r>
      <w:proofErr w:type="spellEnd"/>
      <w:r>
        <w:rPr>
          <w:rStyle w:val="Emphasis"/>
        </w:rPr>
        <w:t xml:space="preserve"> </w:t>
      </w:r>
      <w:proofErr w:type="spellStart"/>
      <w:r>
        <w:rPr>
          <w:rStyle w:val="Emphasis"/>
        </w:rPr>
        <w:t>sul</w:t>
      </w:r>
      <w:proofErr w:type="spellEnd"/>
      <w:r>
        <w:rPr>
          <w:rStyle w:val="Emphasis"/>
        </w:rPr>
        <w:t xml:space="preserve"> </w:t>
      </w:r>
      <w:proofErr w:type="spellStart"/>
      <w:r>
        <w:rPr>
          <w:rStyle w:val="Emphasis"/>
        </w:rPr>
        <w:t>Settore</w:t>
      </w:r>
      <w:proofErr w:type="spellEnd"/>
      <w:r>
        <w:rPr>
          <w:rStyle w:val="Emphasis"/>
        </w:rPr>
        <w:t xml:space="preserve"> </w:t>
      </w:r>
      <w:proofErr w:type="spellStart"/>
      <w:r>
        <w:rPr>
          <w:rStyle w:val="Emphasis"/>
        </w:rPr>
        <w:t>Turismo</w:t>
      </w:r>
      <w:proofErr w:type="spellEnd"/>
      <w:r>
        <w:rPr>
          <w:rStyle w:val="Emphasis"/>
        </w:rPr>
        <w:t xml:space="preserve"> in Italia</w:t>
      </w:r>
      <w:r>
        <w:t>. Rome: Government Press.</w:t>
      </w:r>
    </w:p>
    <w:p w:rsidR="00557702" w:rsidRDefault="00557702" w:rsidP="00557702">
      <w:pPr>
        <w:pStyle w:val="NormalWeb"/>
        <w:numPr>
          <w:ilvl w:val="0"/>
          <w:numId w:val="17"/>
        </w:numPr>
      </w:pPr>
      <w:proofErr w:type="spellStart"/>
      <w:r>
        <w:t>Eurostat</w:t>
      </w:r>
      <w:proofErr w:type="spellEnd"/>
      <w:r>
        <w:t xml:space="preserve">. (2019). </w:t>
      </w:r>
      <w:r>
        <w:rPr>
          <w:rStyle w:val="Emphasis"/>
        </w:rPr>
        <w:t>Tourism Statistics – Annual Report</w:t>
      </w:r>
      <w:r>
        <w:t>.</w:t>
      </w:r>
    </w:p>
    <w:p w:rsidR="00557702" w:rsidRDefault="00557702" w:rsidP="00557702">
      <w:pPr>
        <w:pStyle w:val="NormalWeb"/>
        <w:numPr>
          <w:ilvl w:val="0"/>
          <w:numId w:val="17"/>
        </w:numPr>
      </w:pPr>
      <w:r>
        <w:t xml:space="preserve">EURES. (2022). </w:t>
      </w:r>
      <w:proofErr w:type="spellStart"/>
      <w:r>
        <w:rPr>
          <w:rStyle w:val="Emphasis"/>
        </w:rPr>
        <w:t>Labour</w:t>
      </w:r>
      <w:proofErr w:type="spellEnd"/>
      <w:r>
        <w:rPr>
          <w:rStyle w:val="Emphasis"/>
        </w:rPr>
        <w:t xml:space="preserve"> Mobility in the European Union: Tourism Sector</w:t>
      </w:r>
      <w:r>
        <w:t>.</w:t>
      </w:r>
    </w:p>
    <w:p w:rsidR="00557702" w:rsidRDefault="00557702" w:rsidP="00557702">
      <w:pPr>
        <w:pStyle w:val="NormalWeb"/>
        <w:numPr>
          <w:ilvl w:val="0"/>
          <w:numId w:val="17"/>
        </w:numPr>
      </w:pPr>
      <w:r>
        <w:t xml:space="preserve">ILO. (2022). </w:t>
      </w:r>
      <w:r>
        <w:rPr>
          <w:rStyle w:val="Emphasis"/>
        </w:rPr>
        <w:t>Decent Work and the Informal Economy</w:t>
      </w:r>
      <w:r>
        <w:t xml:space="preserve">. Geneva: International </w:t>
      </w:r>
      <w:proofErr w:type="spellStart"/>
      <w:r>
        <w:t>Labour</w:t>
      </w:r>
      <w:proofErr w:type="spellEnd"/>
      <w:r>
        <w:t xml:space="preserve"> Organization.</w:t>
      </w:r>
    </w:p>
    <w:p w:rsidR="00F74BA4" w:rsidRDefault="00F74BA4" w:rsidP="00F74BA4">
      <w:pPr>
        <w:pStyle w:val="NormalWeb"/>
        <w:numPr>
          <w:ilvl w:val="0"/>
          <w:numId w:val="17"/>
        </w:numPr>
      </w:pPr>
      <w:r>
        <w:t xml:space="preserve">Baum, T., &amp; </w:t>
      </w:r>
      <w:proofErr w:type="spellStart"/>
      <w:r>
        <w:t>Hai</w:t>
      </w:r>
      <w:proofErr w:type="spellEnd"/>
      <w:r>
        <w:t xml:space="preserve">, N. T. T. (2021). Hospitality, tourism, human rights and the impact of COVID-19. </w:t>
      </w:r>
      <w:r>
        <w:rPr>
          <w:rStyle w:val="Emphasis"/>
        </w:rPr>
        <w:t>International Journal of Contemporary Hospitality Management</w:t>
      </w:r>
      <w:r>
        <w:t>, 33(5), 1876–1890. https://doi.org/10.1108/IJCHM-03-2021-0303</w:t>
      </w:r>
    </w:p>
    <w:p w:rsidR="00F74BA4" w:rsidRDefault="00F74BA4" w:rsidP="00F74BA4">
      <w:pPr>
        <w:pStyle w:val="NormalWeb"/>
        <w:numPr>
          <w:ilvl w:val="0"/>
          <w:numId w:val="17"/>
        </w:numPr>
      </w:pPr>
      <w:proofErr w:type="spellStart"/>
      <w:r>
        <w:t>Banca</w:t>
      </w:r>
      <w:proofErr w:type="spellEnd"/>
      <w:r>
        <w:t xml:space="preserve"> </w:t>
      </w:r>
      <w:proofErr w:type="spellStart"/>
      <w:r>
        <w:t>d’Italia</w:t>
      </w:r>
      <w:proofErr w:type="spellEnd"/>
      <w:r>
        <w:t xml:space="preserve">. (2021). </w:t>
      </w:r>
      <w:r>
        <w:rPr>
          <w:rStyle w:val="Emphasis"/>
        </w:rPr>
        <w:t>Economic Bulletin – Tourism sector and post-pandemic challenges</w:t>
      </w:r>
      <w:r>
        <w:t xml:space="preserve">. Retrieved from </w:t>
      </w:r>
      <w:hyperlink r:id="rId7" w:tgtFrame="_new" w:history="1">
        <w:r>
          <w:rPr>
            <w:rStyle w:val="Hyperlink"/>
          </w:rPr>
          <w:t>https://www.bancaditalia.it</w:t>
        </w:r>
      </w:hyperlink>
    </w:p>
    <w:p w:rsidR="00F74BA4" w:rsidRDefault="00F74BA4" w:rsidP="00F74BA4">
      <w:pPr>
        <w:pStyle w:val="NormalWeb"/>
        <w:numPr>
          <w:ilvl w:val="0"/>
          <w:numId w:val="17"/>
        </w:numPr>
      </w:pPr>
      <w:proofErr w:type="spellStart"/>
      <w:r>
        <w:t>Civitelli</w:t>
      </w:r>
      <w:proofErr w:type="spellEnd"/>
      <w:r>
        <w:t xml:space="preserve">, G., &amp; Di Giorgio, G. (2022). Psychological resilience in post-pandemic tourism workers. </w:t>
      </w:r>
      <w:r>
        <w:rPr>
          <w:rStyle w:val="Emphasis"/>
        </w:rPr>
        <w:t>Italian Journal of Public Health Psychology</w:t>
      </w:r>
      <w:r>
        <w:t>, 9(1), 45–60.</w:t>
      </w:r>
    </w:p>
    <w:p w:rsidR="00F74BA4" w:rsidRDefault="00F74BA4" w:rsidP="00F74BA4">
      <w:pPr>
        <w:pStyle w:val="NormalWeb"/>
        <w:numPr>
          <w:ilvl w:val="0"/>
          <w:numId w:val="17"/>
        </w:numPr>
      </w:pPr>
      <w:r>
        <w:t xml:space="preserve">Corte </w:t>
      </w:r>
      <w:proofErr w:type="spellStart"/>
      <w:r>
        <w:t>dei</w:t>
      </w:r>
      <w:proofErr w:type="spellEnd"/>
      <w:r>
        <w:t xml:space="preserve"> Conti. (2021). </w:t>
      </w:r>
      <w:r>
        <w:rPr>
          <w:rStyle w:val="Emphasis"/>
        </w:rPr>
        <w:t>Tourism and Employment during the Pandemic in Italy: Audit Report</w:t>
      </w:r>
      <w:r>
        <w:t xml:space="preserve">. Rome: Corte </w:t>
      </w:r>
      <w:proofErr w:type="spellStart"/>
      <w:r>
        <w:t>dei</w:t>
      </w:r>
      <w:proofErr w:type="spellEnd"/>
      <w:r>
        <w:t xml:space="preserve"> Conti Publications.</w:t>
      </w:r>
    </w:p>
    <w:p w:rsidR="00F74BA4" w:rsidRDefault="00F74BA4" w:rsidP="00F74BA4">
      <w:pPr>
        <w:pStyle w:val="NormalWeb"/>
        <w:numPr>
          <w:ilvl w:val="0"/>
          <w:numId w:val="17"/>
        </w:numPr>
      </w:pPr>
      <w:r>
        <w:lastRenderedPageBreak/>
        <w:t xml:space="preserve">EIGE. (2021). </w:t>
      </w:r>
      <w:r>
        <w:rPr>
          <w:rStyle w:val="Emphasis"/>
        </w:rPr>
        <w:t>Gender Equality and the Socioeconomic Impact of the COVID-19 Crisis in the EU</w:t>
      </w:r>
      <w:r>
        <w:t xml:space="preserve">. European Institute for Gender Equality. </w:t>
      </w:r>
      <w:hyperlink r:id="rId8" w:tgtFrame="_new" w:history="1">
        <w:r>
          <w:rPr>
            <w:rStyle w:val="Hyperlink"/>
          </w:rPr>
          <w:t>https://eige.europa.eu</w:t>
        </w:r>
      </w:hyperlink>
    </w:p>
    <w:p w:rsidR="00F74BA4" w:rsidRDefault="00F74BA4" w:rsidP="00F74BA4">
      <w:pPr>
        <w:pStyle w:val="NormalWeb"/>
        <w:numPr>
          <w:ilvl w:val="0"/>
          <w:numId w:val="17"/>
        </w:numPr>
      </w:pPr>
      <w:proofErr w:type="spellStart"/>
      <w:r>
        <w:t>Eurofound</w:t>
      </w:r>
      <w:proofErr w:type="spellEnd"/>
      <w:r>
        <w:t xml:space="preserve">. (2022). </w:t>
      </w:r>
      <w:proofErr w:type="spellStart"/>
      <w:r>
        <w:rPr>
          <w:rStyle w:val="Emphasis"/>
        </w:rPr>
        <w:t>Labour</w:t>
      </w:r>
      <w:proofErr w:type="spellEnd"/>
      <w:r>
        <w:rPr>
          <w:rStyle w:val="Emphasis"/>
        </w:rPr>
        <w:t xml:space="preserve"> mobility and the COVID-19 pandemic: Policy responses in the EU</w:t>
      </w:r>
      <w:r>
        <w:t xml:space="preserve">. </w:t>
      </w:r>
      <w:hyperlink r:id="rId9" w:tgtFrame="_new" w:history="1">
        <w:r>
          <w:rPr>
            <w:rStyle w:val="Hyperlink"/>
          </w:rPr>
          <w:t>https://www.eurofound.europa.eu/</w:t>
        </w:r>
      </w:hyperlink>
    </w:p>
    <w:p w:rsidR="00F74BA4" w:rsidRDefault="00F74BA4" w:rsidP="00F74BA4">
      <w:pPr>
        <w:pStyle w:val="NormalWeb"/>
        <w:numPr>
          <w:ilvl w:val="0"/>
          <w:numId w:val="17"/>
        </w:numPr>
      </w:pPr>
      <w:r>
        <w:t xml:space="preserve">European Commission. (2022). </w:t>
      </w:r>
      <w:r>
        <w:rPr>
          <w:rStyle w:val="Emphasis"/>
        </w:rPr>
        <w:t>Italy’s National Recovery and Resilience Plan (NRRP)</w:t>
      </w:r>
      <w:r>
        <w:t xml:space="preserve">. </w:t>
      </w:r>
      <w:hyperlink r:id="rId10" w:tgtFrame="_new" w:history="1">
        <w:r>
          <w:rPr>
            <w:rStyle w:val="Hyperlink"/>
          </w:rPr>
          <w:t>https://ec.europa.eu/info/business-economy-euro/recovery-coronavirus/recovery-and-resilience-facility/italys-recovery-and-resilience-plan_en</w:t>
        </w:r>
      </w:hyperlink>
    </w:p>
    <w:p w:rsidR="00F74BA4" w:rsidRDefault="00F74BA4" w:rsidP="00F74BA4">
      <w:pPr>
        <w:pStyle w:val="NormalWeb"/>
        <w:numPr>
          <w:ilvl w:val="0"/>
          <w:numId w:val="17"/>
        </w:numPr>
      </w:pPr>
      <w:r>
        <w:t xml:space="preserve">EURES. (2022). </w:t>
      </w:r>
      <w:r>
        <w:rPr>
          <w:rStyle w:val="Emphasis"/>
        </w:rPr>
        <w:t xml:space="preserve">Cross-border partnerships in tourism and </w:t>
      </w:r>
      <w:proofErr w:type="spellStart"/>
      <w:r>
        <w:rPr>
          <w:rStyle w:val="Emphasis"/>
        </w:rPr>
        <w:t>labour</w:t>
      </w:r>
      <w:proofErr w:type="spellEnd"/>
      <w:r>
        <w:rPr>
          <w:rStyle w:val="Emphasis"/>
        </w:rPr>
        <w:t xml:space="preserve"> mobility</w:t>
      </w:r>
      <w:r>
        <w:t xml:space="preserve">. </w:t>
      </w:r>
      <w:hyperlink r:id="rId11" w:tgtFrame="_new" w:history="1">
        <w:r>
          <w:rPr>
            <w:rStyle w:val="Hyperlink"/>
          </w:rPr>
          <w:t>https://ec.europa.eu/eures/</w:t>
        </w:r>
      </w:hyperlink>
    </w:p>
    <w:p w:rsidR="00F74BA4" w:rsidRDefault="00F74BA4" w:rsidP="00F74BA4">
      <w:pPr>
        <w:pStyle w:val="NormalWeb"/>
        <w:numPr>
          <w:ilvl w:val="0"/>
          <w:numId w:val="17"/>
        </w:numPr>
      </w:pPr>
      <w:r>
        <w:t xml:space="preserve">ILO. (2022). </w:t>
      </w:r>
      <w:r>
        <w:rPr>
          <w:rStyle w:val="Emphasis"/>
        </w:rPr>
        <w:t>Decent Work in the Tourism Sector: Informality and the Future of Work</w:t>
      </w:r>
      <w:r>
        <w:t xml:space="preserve">. Geneva: International </w:t>
      </w:r>
      <w:proofErr w:type="spellStart"/>
      <w:r>
        <w:t>Labour</w:t>
      </w:r>
      <w:proofErr w:type="spellEnd"/>
      <w:r>
        <w:t xml:space="preserve"> Organization. </w:t>
      </w:r>
      <w:hyperlink r:id="rId12" w:tgtFrame="_new" w:history="1">
        <w:r>
          <w:rPr>
            <w:rStyle w:val="Hyperlink"/>
          </w:rPr>
          <w:t>https://www.ilo.org</w:t>
        </w:r>
      </w:hyperlink>
    </w:p>
    <w:p w:rsidR="00F74BA4" w:rsidRDefault="00F74BA4" w:rsidP="00F74BA4">
      <w:pPr>
        <w:pStyle w:val="NormalWeb"/>
        <w:numPr>
          <w:ilvl w:val="0"/>
          <w:numId w:val="17"/>
        </w:numPr>
      </w:pPr>
      <w:r>
        <w:t xml:space="preserve">ISTAT. (2022). </w:t>
      </w:r>
      <w:r>
        <w:rPr>
          <w:rStyle w:val="Emphasis"/>
        </w:rPr>
        <w:t>Italian Tourism and Employment Statistics Report 2020–2021</w:t>
      </w:r>
      <w:r>
        <w:t xml:space="preserve">. Rome: Italian National Institute of Statistics. </w:t>
      </w:r>
      <w:hyperlink r:id="rId13" w:tgtFrame="_new" w:history="1">
        <w:r>
          <w:rPr>
            <w:rStyle w:val="Hyperlink"/>
          </w:rPr>
          <w:t>https://www.istat.it/</w:t>
        </w:r>
      </w:hyperlink>
    </w:p>
    <w:p w:rsidR="00F74BA4" w:rsidRDefault="00F74BA4" w:rsidP="00F74BA4">
      <w:pPr>
        <w:pStyle w:val="NormalWeb"/>
        <w:numPr>
          <w:ilvl w:val="0"/>
          <w:numId w:val="17"/>
        </w:numPr>
      </w:pPr>
      <w:r>
        <w:t xml:space="preserve">OECD. (2021). </w:t>
      </w:r>
      <w:r>
        <w:rPr>
          <w:rStyle w:val="Emphasis"/>
        </w:rPr>
        <w:t>Tourism Policy Responses to the COVID-19 Pandemic in Italy</w:t>
      </w:r>
      <w:r>
        <w:t>. OECD Tourism Trends and Policies. https://www.oecd.org/coronavirus/policy-responses/</w:t>
      </w:r>
    </w:p>
    <w:p w:rsidR="00F74BA4" w:rsidRDefault="00F74BA4" w:rsidP="00F74BA4">
      <w:pPr>
        <w:pStyle w:val="NormalWeb"/>
        <w:numPr>
          <w:ilvl w:val="0"/>
          <w:numId w:val="17"/>
        </w:numPr>
      </w:pPr>
      <w:r>
        <w:t xml:space="preserve">UNESCO. (2022). </w:t>
      </w:r>
      <w:r>
        <w:rPr>
          <w:rStyle w:val="Emphasis"/>
        </w:rPr>
        <w:t>Cultural heritage and sustainable tourism development in Europe: Post-COVID pathways</w:t>
      </w:r>
      <w:r>
        <w:t xml:space="preserve">. Paris: UNESCO. </w:t>
      </w:r>
      <w:hyperlink r:id="rId14" w:tgtFrame="_new" w:history="1">
        <w:r>
          <w:rPr>
            <w:rStyle w:val="Hyperlink"/>
          </w:rPr>
          <w:t>https://www.unesco.org</w:t>
        </w:r>
      </w:hyperlink>
    </w:p>
    <w:p w:rsidR="00F74BA4" w:rsidRDefault="00F74BA4" w:rsidP="00F74BA4">
      <w:pPr>
        <w:pStyle w:val="NormalWeb"/>
        <w:numPr>
          <w:ilvl w:val="0"/>
          <w:numId w:val="17"/>
        </w:numPr>
      </w:pPr>
      <w:r>
        <w:t xml:space="preserve">UNWTO. (2021). </w:t>
      </w:r>
      <w:r>
        <w:rPr>
          <w:rStyle w:val="Emphasis"/>
        </w:rPr>
        <w:t>Impact Assessment of the COVID-19 Outbreak on International Tourism</w:t>
      </w:r>
      <w:r>
        <w:t xml:space="preserve">. United Nations World Tourism Organization. </w:t>
      </w:r>
      <w:hyperlink r:id="rId15" w:tgtFrame="_new" w:history="1">
        <w:r>
          <w:rPr>
            <w:rStyle w:val="Hyperlink"/>
          </w:rPr>
          <w:t>https://www.unwto.org</w:t>
        </w:r>
      </w:hyperlink>
    </w:p>
    <w:p w:rsidR="00557702" w:rsidRDefault="00557702" w:rsidP="00557702">
      <w:pPr>
        <w:pStyle w:val="NormalWeb"/>
        <w:numPr>
          <w:ilvl w:val="0"/>
          <w:numId w:val="17"/>
        </w:numPr>
      </w:pPr>
      <w:r>
        <w:t xml:space="preserve">ISTAT. (2021). </w:t>
      </w:r>
      <w:r>
        <w:rPr>
          <w:rStyle w:val="Emphasis"/>
        </w:rPr>
        <w:t>Italian Employment Survey – Tourism Edition</w:t>
      </w:r>
      <w:r>
        <w:t>.</w:t>
      </w:r>
    </w:p>
    <w:p w:rsidR="00557702" w:rsidRDefault="00557702" w:rsidP="00557702">
      <w:pPr>
        <w:pStyle w:val="NormalWeb"/>
        <w:numPr>
          <w:ilvl w:val="0"/>
          <w:numId w:val="17"/>
        </w:numPr>
      </w:pPr>
      <w:r>
        <w:t xml:space="preserve">OECD. (2020). </w:t>
      </w:r>
      <w:r>
        <w:rPr>
          <w:rStyle w:val="Emphasis"/>
        </w:rPr>
        <w:t>Tourism Trends and Policies: Italy</w:t>
      </w:r>
      <w:r>
        <w:t>.</w:t>
      </w:r>
    </w:p>
    <w:p w:rsidR="00557702" w:rsidRDefault="00557702" w:rsidP="00557702">
      <w:pPr>
        <w:pStyle w:val="NormalWeb"/>
        <w:numPr>
          <w:ilvl w:val="0"/>
          <w:numId w:val="17"/>
        </w:numPr>
      </w:pPr>
      <w:r>
        <w:t xml:space="preserve">UNWTO. (2021). </w:t>
      </w:r>
      <w:r>
        <w:rPr>
          <w:rStyle w:val="Emphasis"/>
        </w:rPr>
        <w:t>Tourism Recovery Tracker: Europe</w:t>
      </w:r>
      <w:r>
        <w:t>.</w:t>
      </w:r>
    </w:p>
    <w:p w:rsidR="00557702" w:rsidRDefault="00557702" w:rsidP="00557702"/>
    <w:p w:rsidR="0066625D" w:rsidRDefault="0066625D" w:rsidP="00D26592"/>
    <w:sectPr w:rsidR="0066625D" w:rsidSect="00672EA7">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E033EA7"/>
    <w:multiLevelType w:val="multilevel"/>
    <w:tmpl w:val="9F8EB5B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03447AF"/>
    <w:multiLevelType w:val="multilevel"/>
    <w:tmpl w:val="A8E60D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22CE6DDC"/>
    <w:multiLevelType w:val="multilevel"/>
    <w:tmpl w:val="C66002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252C4332"/>
    <w:multiLevelType w:val="multilevel"/>
    <w:tmpl w:val="1B1AF6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28393A84"/>
    <w:multiLevelType w:val="multilevel"/>
    <w:tmpl w:val="3B5206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2FCB30C7"/>
    <w:multiLevelType w:val="multilevel"/>
    <w:tmpl w:val="2228E5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2FCF4349"/>
    <w:multiLevelType w:val="multilevel"/>
    <w:tmpl w:val="043A6A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30794C4B"/>
    <w:multiLevelType w:val="multilevel"/>
    <w:tmpl w:val="5B2650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36E3614A"/>
    <w:multiLevelType w:val="multilevel"/>
    <w:tmpl w:val="1DC462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46CC47C6"/>
    <w:multiLevelType w:val="multilevel"/>
    <w:tmpl w:val="6EAC29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56E609F1"/>
    <w:multiLevelType w:val="multilevel"/>
    <w:tmpl w:val="0F349A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5A193A08"/>
    <w:multiLevelType w:val="hybridMultilevel"/>
    <w:tmpl w:val="0B60E26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626E5578"/>
    <w:multiLevelType w:val="multilevel"/>
    <w:tmpl w:val="4C1679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6403193C"/>
    <w:multiLevelType w:val="multilevel"/>
    <w:tmpl w:val="74AC46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6AC6082A"/>
    <w:multiLevelType w:val="multilevel"/>
    <w:tmpl w:val="B7944A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71F344B3"/>
    <w:multiLevelType w:val="multilevel"/>
    <w:tmpl w:val="9C7494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787D325E"/>
    <w:multiLevelType w:val="multilevel"/>
    <w:tmpl w:val="0DF008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1"/>
  </w:num>
  <w:num w:numId="2">
    <w:abstractNumId w:val="2"/>
  </w:num>
  <w:num w:numId="3">
    <w:abstractNumId w:val="0"/>
  </w:num>
  <w:num w:numId="4">
    <w:abstractNumId w:val="15"/>
  </w:num>
  <w:num w:numId="5">
    <w:abstractNumId w:val="9"/>
  </w:num>
  <w:num w:numId="6">
    <w:abstractNumId w:val="8"/>
  </w:num>
  <w:num w:numId="7">
    <w:abstractNumId w:val="4"/>
  </w:num>
  <w:num w:numId="8">
    <w:abstractNumId w:val="6"/>
  </w:num>
  <w:num w:numId="9">
    <w:abstractNumId w:val="1"/>
  </w:num>
  <w:num w:numId="10">
    <w:abstractNumId w:val="13"/>
  </w:num>
  <w:num w:numId="11">
    <w:abstractNumId w:val="12"/>
  </w:num>
  <w:num w:numId="12">
    <w:abstractNumId w:val="5"/>
  </w:num>
  <w:num w:numId="13">
    <w:abstractNumId w:val="7"/>
  </w:num>
  <w:num w:numId="14">
    <w:abstractNumId w:val="3"/>
  </w:num>
  <w:num w:numId="15">
    <w:abstractNumId w:val="10"/>
  </w:num>
  <w:num w:numId="16">
    <w:abstractNumId w:val="16"/>
  </w:num>
  <w:num w:numId="17">
    <w:abstractNumId w:val="1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4"/>
  <w:proofState w:spelling="clean" w:grammar="clean"/>
  <w:defaultTabStop w:val="720"/>
  <w:characterSpacingControl w:val="doNotCompress"/>
  <w:compat/>
  <w:rsids>
    <w:rsidRoot w:val="009D421F"/>
    <w:rsid w:val="00022390"/>
    <w:rsid w:val="00081EFA"/>
    <w:rsid w:val="001D69FA"/>
    <w:rsid w:val="00446ADA"/>
    <w:rsid w:val="00557702"/>
    <w:rsid w:val="00582522"/>
    <w:rsid w:val="005A2ABD"/>
    <w:rsid w:val="006350FB"/>
    <w:rsid w:val="0066625D"/>
    <w:rsid w:val="00672EA7"/>
    <w:rsid w:val="006900DE"/>
    <w:rsid w:val="006E5F0B"/>
    <w:rsid w:val="009B453C"/>
    <w:rsid w:val="009D421F"/>
    <w:rsid w:val="00A17D57"/>
    <w:rsid w:val="00B13199"/>
    <w:rsid w:val="00CF1F7F"/>
    <w:rsid w:val="00D24865"/>
    <w:rsid w:val="00D26592"/>
    <w:rsid w:val="00D610E3"/>
    <w:rsid w:val="00D915F8"/>
    <w:rsid w:val="00F74BA4"/>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26592"/>
  </w:style>
  <w:style w:type="paragraph" w:styleId="Heading2">
    <w:name w:val="heading 2"/>
    <w:basedOn w:val="Normal"/>
    <w:link w:val="Heading2Char"/>
    <w:uiPriority w:val="9"/>
    <w:qFormat/>
    <w:rsid w:val="0066625D"/>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link w:val="Heading3Char"/>
    <w:uiPriority w:val="9"/>
    <w:qFormat/>
    <w:rsid w:val="0066625D"/>
    <w:pPr>
      <w:spacing w:before="100" w:beforeAutospacing="1" w:after="100" w:afterAutospacing="1" w:line="240" w:lineRule="auto"/>
      <w:outlineLvl w:val="2"/>
    </w:pPr>
    <w:rPr>
      <w:rFonts w:ascii="Times New Roman" w:eastAsia="Times New Roman" w:hAnsi="Times New Roman" w:cs="Times New Roman"/>
      <w:b/>
      <w:bCs/>
      <w:sz w:val="27"/>
      <w:szCs w:val="27"/>
    </w:rPr>
  </w:style>
  <w:style w:type="paragraph" w:styleId="Heading4">
    <w:name w:val="heading 4"/>
    <w:basedOn w:val="Normal"/>
    <w:next w:val="Normal"/>
    <w:link w:val="Heading4Char"/>
    <w:uiPriority w:val="9"/>
    <w:semiHidden/>
    <w:unhideWhenUsed/>
    <w:qFormat/>
    <w:rsid w:val="00557702"/>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915F8"/>
    <w:pPr>
      <w:ind w:left="720"/>
      <w:contextualSpacing/>
    </w:pPr>
  </w:style>
  <w:style w:type="paragraph" w:styleId="BalloonText">
    <w:name w:val="Balloon Text"/>
    <w:basedOn w:val="Normal"/>
    <w:link w:val="BalloonTextChar"/>
    <w:uiPriority w:val="99"/>
    <w:semiHidden/>
    <w:unhideWhenUsed/>
    <w:rsid w:val="00D2659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26592"/>
    <w:rPr>
      <w:rFonts w:ascii="Tahoma" w:hAnsi="Tahoma" w:cs="Tahoma"/>
      <w:sz w:val="16"/>
      <w:szCs w:val="16"/>
    </w:rPr>
  </w:style>
  <w:style w:type="character" w:customStyle="1" w:styleId="Heading2Char">
    <w:name w:val="Heading 2 Char"/>
    <w:basedOn w:val="DefaultParagraphFont"/>
    <w:link w:val="Heading2"/>
    <w:uiPriority w:val="9"/>
    <w:rsid w:val="0066625D"/>
    <w:rPr>
      <w:rFonts w:ascii="Times New Roman" w:eastAsia="Times New Roman" w:hAnsi="Times New Roman" w:cs="Times New Roman"/>
      <w:b/>
      <w:bCs/>
      <w:sz w:val="36"/>
      <w:szCs w:val="36"/>
    </w:rPr>
  </w:style>
  <w:style w:type="character" w:customStyle="1" w:styleId="Heading3Char">
    <w:name w:val="Heading 3 Char"/>
    <w:basedOn w:val="DefaultParagraphFont"/>
    <w:link w:val="Heading3"/>
    <w:uiPriority w:val="9"/>
    <w:rsid w:val="0066625D"/>
    <w:rPr>
      <w:rFonts w:ascii="Times New Roman" w:eastAsia="Times New Roman" w:hAnsi="Times New Roman" w:cs="Times New Roman"/>
      <w:b/>
      <w:bCs/>
      <w:sz w:val="27"/>
      <w:szCs w:val="27"/>
    </w:rPr>
  </w:style>
  <w:style w:type="character" w:styleId="Strong">
    <w:name w:val="Strong"/>
    <w:basedOn w:val="DefaultParagraphFont"/>
    <w:uiPriority w:val="22"/>
    <w:qFormat/>
    <w:rsid w:val="0066625D"/>
    <w:rPr>
      <w:b/>
      <w:bCs/>
    </w:rPr>
  </w:style>
  <w:style w:type="paragraph" w:styleId="NormalWeb">
    <w:name w:val="Normal (Web)"/>
    <w:basedOn w:val="Normal"/>
    <w:uiPriority w:val="99"/>
    <w:semiHidden/>
    <w:unhideWhenUsed/>
    <w:rsid w:val="0066625D"/>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66625D"/>
    <w:rPr>
      <w:i/>
      <w:iCs/>
    </w:rPr>
  </w:style>
  <w:style w:type="character" w:customStyle="1" w:styleId="Heading4Char">
    <w:name w:val="Heading 4 Char"/>
    <w:basedOn w:val="DefaultParagraphFont"/>
    <w:link w:val="Heading4"/>
    <w:uiPriority w:val="9"/>
    <w:semiHidden/>
    <w:rsid w:val="00557702"/>
    <w:rPr>
      <w:rFonts w:asciiTheme="majorHAnsi" w:eastAsiaTheme="majorEastAsia" w:hAnsiTheme="majorHAnsi" w:cstheme="majorBidi"/>
      <w:b/>
      <w:bCs/>
      <w:i/>
      <w:iCs/>
      <w:color w:val="4F81BD" w:themeColor="accent1"/>
    </w:rPr>
  </w:style>
  <w:style w:type="character" w:styleId="Hyperlink">
    <w:name w:val="Hyperlink"/>
    <w:basedOn w:val="DefaultParagraphFont"/>
    <w:uiPriority w:val="99"/>
    <w:semiHidden/>
    <w:unhideWhenUsed/>
    <w:rsid w:val="00557702"/>
    <w:rPr>
      <w:color w:val="0000FF"/>
      <w:u w:val="single"/>
    </w:rPr>
  </w:style>
</w:styles>
</file>

<file path=word/webSettings.xml><?xml version="1.0" encoding="utf-8"?>
<w:webSettings xmlns:r="http://schemas.openxmlformats.org/officeDocument/2006/relationships" xmlns:w="http://schemas.openxmlformats.org/wordprocessingml/2006/main">
  <w:divs>
    <w:div w:id="53283647">
      <w:bodyDiv w:val="1"/>
      <w:marLeft w:val="0"/>
      <w:marRight w:val="0"/>
      <w:marTop w:val="0"/>
      <w:marBottom w:val="0"/>
      <w:divBdr>
        <w:top w:val="none" w:sz="0" w:space="0" w:color="auto"/>
        <w:left w:val="none" w:sz="0" w:space="0" w:color="auto"/>
        <w:bottom w:val="none" w:sz="0" w:space="0" w:color="auto"/>
        <w:right w:val="none" w:sz="0" w:space="0" w:color="auto"/>
      </w:divBdr>
    </w:div>
    <w:div w:id="347296455">
      <w:bodyDiv w:val="1"/>
      <w:marLeft w:val="0"/>
      <w:marRight w:val="0"/>
      <w:marTop w:val="0"/>
      <w:marBottom w:val="0"/>
      <w:divBdr>
        <w:top w:val="none" w:sz="0" w:space="0" w:color="auto"/>
        <w:left w:val="none" w:sz="0" w:space="0" w:color="auto"/>
        <w:bottom w:val="none" w:sz="0" w:space="0" w:color="auto"/>
        <w:right w:val="none" w:sz="0" w:space="0" w:color="auto"/>
      </w:divBdr>
    </w:div>
    <w:div w:id="463238491">
      <w:bodyDiv w:val="1"/>
      <w:marLeft w:val="0"/>
      <w:marRight w:val="0"/>
      <w:marTop w:val="0"/>
      <w:marBottom w:val="0"/>
      <w:divBdr>
        <w:top w:val="none" w:sz="0" w:space="0" w:color="auto"/>
        <w:left w:val="none" w:sz="0" w:space="0" w:color="auto"/>
        <w:bottom w:val="none" w:sz="0" w:space="0" w:color="auto"/>
        <w:right w:val="none" w:sz="0" w:space="0" w:color="auto"/>
      </w:divBdr>
      <w:divsChild>
        <w:div w:id="99837172">
          <w:blockQuote w:val="1"/>
          <w:marLeft w:val="720"/>
          <w:marRight w:val="720"/>
          <w:marTop w:val="100"/>
          <w:marBottom w:val="100"/>
          <w:divBdr>
            <w:top w:val="none" w:sz="0" w:space="0" w:color="auto"/>
            <w:left w:val="none" w:sz="0" w:space="0" w:color="auto"/>
            <w:bottom w:val="none" w:sz="0" w:space="0" w:color="auto"/>
            <w:right w:val="none" w:sz="0" w:space="0" w:color="auto"/>
          </w:divBdr>
        </w:div>
        <w:div w:id="226113741">
          <w:blockQuote w:val="1"/>
          <w:marLeft w:val="720"/>
          <w:marRight w:val="720"/>
          <w:marTop w:val="100"/>
          <w:marBottom w:val="100"/>
          <w:divBdr>
            <w:top w:val="none" w:sz="0" w:space="0" w:color="auto"/>
            <w:left w:val="none" w:sz="0" w:space="0" w:color="auto"/>
            <w:bottom w:val="none" w:sz="0" w:space="0" w:color="auto"/>
            <w:right w:val="none" w:sz="0" w:space="0" w:color="auto"/>
          </w:divBdr>
        </w:div>
        <w:div w:id="870722814">
          <w:blockQuote w:val="1"/>
          <w:marLeft w:val="720"/>
          <w:marRight w:val="720"/>
          <w:marTop w:val="100"/>
          <w:marBottom w:val="100"/>
          <w:divBdr>
            <w:top w:val="none" w:sz="0" w:space="0" w:color="auto"/>
            <w:left w:val="none" w:sz="0" w:space="0" w:color="auto"/>
            <w:bottom w:val="none" w:sz="0" w:space="0" w:color="auto"/>
            <w:right w:val="none" w:sz="0" w:space="0" w:color="auto"/>
          </w:divBdr>
        </w:div>
        <w:div w:id="1616788918">
          <w:marLeft w:val="0"/>
          <w:marRight w:val="0"/>
          <w:marTop w:val="0"/>
          <w:marBottom w:val="0"/>
          <w:divBdr>
            <w:top w:val="none" w:sz="0" w:space="0" w:color="auto"/>
            <w:left w:val="none" w:sz="0" w:space="0" w:color="auto"/>
            <w:bottom w:val="none" w:sz="0" w:space="0" w:color="auto"/>
            <w:right w:val="none" w:sz="0" w:space="0" w:color="auto"/>
          </w:divBdr>
          <w:divsChild>
            <w:div w:id="570583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4365871">
      <w:bodyDiv w:val="1"/>
      <w:marLeft w:val="0"/>
      <w:marRight w:val="0"/>
      <w:marTop w:val="0"/>
      <w:marBottom w:val="0"/>
      <w:divBdr>
        <w:top w:val="none" w:sz="0" w:space="0" w:color="auto"/>
        <w:left w:val="none" w:sz="0" w:space="0" w:color="auto"/>
        <w:bottom w:val="none" w:sz="0" w:space="0" w:color="auto"/>
        <w:right w:val="none" w:sz="0" w:space="0" w:color="auto"/>
      </w:divBdr>
    </w:div>
    <w:div w:id="744381111">
      <w:bodyDiv w:val="1"/>
      <w:marLeft w:val="0"/>
      <w:marRight w:val="0"/>
      <w:marTop w:val="0"/>
      <w:marBottom w:val="0"/>
      <w:divBdr>
        <w:top w:val="none" w:sz="0" w:space="0" w:color="auto"/>
        <w:left w:val="none" w:sz="0" w:space="0" w:color="auto"/>
        <w:bottom w:val="none" w:sz="0" w:space="0" w:color="auto"/>
        <w:right w:val="none" w:sz="0" w:space="0" w:color="auto"/>
      </w:divBdr>
      <w:divsChild>
        <w:div w:id="721559677">
          <w:marLeft w:val="0"/>
          <w:marRight w:val="0"/>
          <w:marTop w:val="0"/>
          <w:marBottom w:val="0"/>
          <w:divBdr>
            <w:top w:val="none" w:sz="0" w:space="0" w:color="auto"/>
            <w:left w:val="none" w:sz="0" w:space="0" w:color="auto"/>
            <w:bottom w:val="none" w:sz="0" w:space="0" w:color="auto"/>
            <w:right w:val="none" w:sz="0" w:space="0" w:color="auto"/>
          </w:divBdr>
          <w:divsChild>
            <w:div w:id="11370625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4250541">
      <w:bodyDiv w:val="1"/>
      <w:marLeft w:val="0"/>
      <w:marRight w:val="0"/>
      <w:marTop w:val="0"/>
      <w:marBottom w:val="0"/>
      <w:divBdr>
        <w:top w:val="none" w:sz="0" w:space="0" w:color="auto"/>
        <w:left w:val="none" w:sz="0" w:space="0" w:color="auto"/>
        <w:bottom w:val="none" w:sz="0" w:space="0" w:color="auto"/>
        <w:right w:val="none" w:sz="0" w:space="0" w:color="auto"/>
      </w:divBdr>
    </w:div>
    <w:div w:id="1458835343">
      <w:bodyDiv w:val="1"/>
      <w:marLeft w:val="0"/>
      <w:marRight w:val="0"/>
      <w:marTop w:val="0"/>
      <w:marBottom w:val="0"/>
      <w:divBdr>
        <w:top w:val="none" w:sz="0" w:space="0" w:color="auto"/>
        <w:left w:val="none" w:sz="0" w:space="0" w:color="auto"/>
        <w:bottom w:val="none" w:sz="0" w:space="0" w:color="auto"/>
        <w:right w:val="none" w:sz="0" w:space="0" w:color="auto"/>
      </w:divBdr>
    </w:div>
    <w:div w:id="20265906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eige.europa.eu" TargetMode="External"/><Relationship Id="rId13" Type="http://schemas.openxmlformats.org/officeDocument/2006/relationships/hyperlink" Target="https://www.istat.it/" TargetMode="External"/><Relationship Id="rId3" Type="http://schemas.openxmlformats.org/officeDocument/2006/relationships/settings" Target="settings.xml"/><Relationship Id="rId7" Type="http://schemas.openxmlformats.org/officeDocument/2006/relationships/hyperlink" Target="https://www.bancaditalia.it" TargetMode="External"/><Relationship Id="rId12" Type="http://schemas.openxmlformats.org/officeDocument/2006/relationships/hyperlink" Target="https://www.ilo.org"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https://www.bancaditalia.it" TargetMode="External"/><Relationship Id="rId11" Type="http://schemas.openxmlformats.org/officeDocument/2006/relationships/hyperlink" Target="https://ec.europa.eu/eures/" TargetMode="External"/><Relationship Id="rId5" Type="http://schemas.openxmlformats.org/officeDocument/2006/relationships/image" Target="media/image1.png"/><Relationship Id="rId15" Type="http://schemas.openxmlformats.org/officeDocument/2006/relationships/hyperlink" Target="https://www.unwto.org" TargetMode="External"/><Relationship Id="rId10" Type="http://schemas.openxmlformats.org/officeDocument/2006/relationships/hyperlink" Target="https://ec.europa.eu/info/business-economy-euro/recovery-coronavirus/recovery-and-resilience-facility/italys-recovery-and-resilience-plan_en" TargetMode="External"/><Relationship Id="rId4" Type="http://schemas.openxmlformats.org/officeDocument/2006/relationships/webSettings" Target="webSettings.xml"/><Relationship Id="rId9" Type="http://schemas.openxmlformats.org/officeDocument/2006/relationships/hyperlink" Target="https://www.eurofound.europa.eu/" TargetMode="External"/><Relationship Id="rId14" Type="http://schemas.openxmlformats.org/officeDocument/2006/relationships/hyperlink" Target="https://www.unesco.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1305</TotalTime>
  <Pages>12</Pages>
  <Words>4637</Words>
  <Characters>26434</Characters>
  <Application>Microsoft Office Word</Application>
  <DocSecurity>0</DocSecurity>
  <Lines>220</Lines>
  <Paragraphs>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31009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ANCHALIKA</dc:creator>
  <cp:lastModifiedBy>ANCHALIKA</cp:lastModifiedBy>
  <cp:revision>10</cp:revision>
  <dcterms:created xsi:type="dcterms:W3CDTF">2025-06-15T05:53:00Z</dcterms:created>
  <dcterms:modified xsi:type="dcterms:W3CDTF">2025-06-21T08:50:00Z</dcterms:modified>
</cp:coreProperties>
</file>