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71BCA"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2781EB14" w14:textId="77777777" w:rsidR="00A1182A" w:rsidRPr="006C42C9" w:rsidRDefault="00A1182A" w:rsidP="00A1182A">
      <w:pPr>
        <w:spacing w:line="480" w:lineRule="auto"/>
        <w:rPr>
          <w:rFonts w:ascii="Times New Roman" w:hAnsi="Times New Roman" w:cs="Times New Roman"/>
          <w:color w:val="000000" w:themeColor="text1"/>
          <w:szCs w:val="24"/>
          <w:lang w:val="en-US"/>
        </w:rPr>
      </w:pPr>
      <w:r w:rsidRPr="006C42C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52BDAE1F" wp14:editId="51CDAD03">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3E2417D0" w14:textId="77777777" w:rsidR="00A1182A" w:rsidRPr="006C42C9" w:rsidRDefault="00A1182A" w:rsidP="00A1182A">
      <w:pPr>
        <w:spacing w:line="480" w:lineRule="auto"/>
        <w:jc w:val="center"/>
        <w:rPr>
          <w:rFonts w:ascii="Times New Roman" w:hAnsi="Times New Roman" w:cs="Times New Roman"/>
          <w:color w:val="000000" w:themeColor="text1"/>
          <w:szCs w:val="24"/>
        </w:rPr>
      </w:pPr>
    </w:p>
    <w:p w14:paraId="09B24D39" w14:textId="77777777" w:rsidR="00A1182A" w:rsidRPr="006C42C9" w:rsidRDefault="00A1182A" w:rsidP="00A1182A">
      <w:pPr>
        <w:spacing w:line="480" w:lineRule="auto"/>
        <w:rPr>
          <w:rFonts w:ascii="Times New Roman" w:hAnsi="Times New Roman" w:cs="Times New Roman"/>
          <w:color w:val="000000" w:themeColor="text1"/>
          <w:szCs w:val="24"/>
        </w:rPr>
      </w:pPr>
    </w:p>
    <w:p w14:paraId="18494233" w14:textId="0944E7DC" w:rsidR="00A1182A" w:rsidRDefault="00A1182A" w:rsidP="00A1182A">
      <w:pPr>
        <w:spacing w:line="480" w:lineRule="auto"/>
        <w:jc w:val="center"/>
        <w:rPr>
          <w:rFonts w:ascii="Times New Roman" w:hAnsi="Times New Roman" w:cs="Times New Roman"/>
          <w:b/>
          <w:bCs/>
          <w:color w:val="000000" w:themeColor="text1"/>
          <w:szCs w:val="24"/>
        </w:rPr>
      </w:pPr>
      <w:proofErr w:type="gramStart"/>
      <w:r w:rsidRPr="006C42C9">
        <w:rPr>
          <w:rFonts w:ascii="Times New Roman" w:hAnsi="Times New Roman" w:cs="Times New Roman"/>
          <w:b/>
          <w:bCs/>
          <w:color w:val="000000" w:themeColor="text1"/>
          <w:szCs w:val="24"/>
        </w:rPr>
        <w:t>Master's</w:t>
      </w:r>
      <w:proofErr w:type="gramEnd"/>
      <w:r w:rsidRPr="006C42C9">
        <w:rPr>
          <w:rFonts w:ascii="Times New Roman" w:hAnsi="Times New Roman" w:cs="Times New Roman"/>
          <w:b/>
          <w:bCs/>
          <w:color w:val="000000" w:themeColor="text1"/>
          <w:szCs w:val="24"/>
        </w:rPr>
        <w:t xml:space="preserve"> in Tourism and Recreation</w:t>
      </w:r>
      <w:r w:rsidRPr="006C42C9">
        <w:rPr>
          <w:rFonts w:ascii="Times New Roman" w:hAnsi="Times New Roman" w:cs="Times New Roman"/>
          <w:b/>
          <w:bCs/>
          <w:color w:val="000000" w:themeColor="text1"/>
          <w:szCs w:val="24"/>
        </w:rPr>
        <w:br/>
      </w:r>
      <w:r w:rsidR="00343DD3">
        <w:rPr>
          <w:rFonts w:ascii="Times New Roman" w:hAnsi="Times New Roman" w:cs="Times New Roman"/>
          <w:b/>
          <w:bCs/>
          <w:color w:val="000000" w:themeColor="text1"/>
          <w:szCs w:val="24"/>
        </w:rPr>
        <w:t>Sales marketing</w:t>
      </w:r>
    </w:p>
    <w:p w14:paraId="438278A7" w14:textId="77777777" w:rsidR="00343DD3" w:rsidRPr="006C42C9" w:rsidRDefault="00343DD3" w:rsidP="00343DD3">
      <w:pPr>
        <w:spacing w:line="480" w:lineRule="auto"/>
        <w:rPr>
          <w:rFonts w:ascii="Times New Roman" w:hAnsi="Times New Roman" w:cs="Times New Roman"/>
          <w:b/>
          <w:bCs/>
          <w:color w:val="000000" w:themeColor="text1"/>
          <w:szCs w:val="24"/>
        </w:rPr>
      </w:pPr>
    </w:p>
    <w:p w14:paraId="4D7D64BC" w14:textId="2C76F4F0" w:rsidR="00A1182A" w:rsidRPr="006C42C9" w:rsidRDefault="00A1182A" w:rsidP="00A1182A">
      <w:pPr>
        <w:spacing w:line="480" w:lineRule="auto"/>
        <w:jc w:val="center"/>
        <w:rPr>
          <w:rFonts w:ascii="Times New Roman" w:hAnsi="Times New Roman" w:cs="Times New Roman"/>
          <w:color w:val="000000" w:themeColor="text1"/>
          <w:szCs w:val="24"/>
          <w:lang w:val="en-US"/>
        </w:rPr>
      </w:pPr>
      <w:r w:rsidRPr="006C42C9">
        <w:rPr>
          <w:rFonts w:ascii="Times New Roman" w:eastAsia="Times New Roman" w:hAnsi="Times New Roman" w:cs="Times New Roman"/>
          <w:b/>
          <w:bCs/>
          <w:color w:val="000000" w:themeColor="text1"/>
          <w:kern w:val="0"/>
          <w:szCs w:val="24"/>
          <w:lang w:eastAsia="en-GB"/>
          <w14:ligatures w14:val="none"/>
        </w:rPr>
        <w:t>Assignment 1: The Integration of Sales and Marketing Strategies in Modern Business</w:t>
      </w:r>
    </w:p>
    <w:p w14:paraId="5E8E61B4"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17471554"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028D1CE4"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1D09F050"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2154FAC4"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5424F28A"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287980F6"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58551543"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531D9882"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3170A605"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499DCBC8"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459F99D0" w14:textId="77777777" w:rsidR="00A1182A" w:rsidRPr="006C42C9" w:rsidRDefault="00A1182A" w:rsidP="00A1182A">
      <w:pPr>
        <w:spacing w:line="480" w:lineRule="auto"/>
        <w:rPr>
          <w:rFonts w:ascii="Times New Roman" w:hAnsi="Times New Roman" w:cs="Times New Roman"/>
          <w:color w:val="000000" w:themeColor="text1"/>
          <w:szCs w:val="24"/>
          <w:lang w:val="en-US"/>
        </w:rPr>
      </w:pPr>
    </w:p>
    <w:p w14:paraId="16DC9875" w14:textId="77777777" w:rsidR="00A1182A" w:rsidRPr="006C42C9" w:rsidRDefault="00A1182A" w:rsidP="00A1182A">
      <w:pPr>
        <w:spacing w:line="480" w:lineRule="auto"/>
        <w:rPr>
          <w:rFonts w:ascii="Times New Roman" w:hAnsi="Times New Roman" w:cs="Times New Roman"/>
          <w:color w:val="000000" w:themeColor="text1"/>
          <w:szCs w:val="24"/>
        </w:rPr>
      </w:pPr>
      <w:bookmarkStart w:id="0" w:name="_Toc215261169"/>
      <w:r w:rsidRPr="006C42C9">
        <w:rPr>
          <w:rStyle w:val="Heading1Char"/>
          <w:rFonts w:ascii="Times New Roman" w:hAnsi="Times New Roman" w:cs="Times New Roman"/>
          <w:b/>
          <w:bCs/>
          <w:color w:val="000000" w:themeColor="text1"/>
          <w:sz w:val="24"/>
          <w:szCs w:val="24"/>
        </w:rPr>
        <w:t>Abstract</w:t>
      </w:r>
      <w:bookmarkEnd w:id="0"/>
    </w:p>
    <w:p w14:paraId="40ADB2D8"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t>The integration of sales and marketing strategies has become increasingly important in modern business as organizations compete in fast-changing, customer-driven markets. Traditionally, sales and marketing were treated as separate functions, with marketing focused on generating awareness and leads, and sales responsible for converting prospects into paying customers. However, this separation often creates communication gaps, inconsistent messaging, duplicated effort, and missed growth opportunities. This paper examines how organizations can effectively align sales and marketing to improve business performance, customer acquisition, and long-term retention. It argues that integration is most effective when both functions share common goals, customer data, performance metrics, and accountability for revenue outcomes. The discussion explores the major benefits of alignment, including stronger lead quality, higher conversion rates, better customer experiences, improved brand consistency, and more efficient use of organizational resources. At the same time, the paper addresses key challenges such as departmental silos, conflicting priorities, cultural differences, poor data integration, and disagreements over lead ownership and performance measurement. The paper also considers the role of cross-functional collaboration in strengthening the customer journey through shared planning, coordinated communication, integrated technology, and continuous feedback between teams. By drawing on business theory and practical examples from leading companies, the paper demonstrates that successful sales and marketing integration is not simply an operational adjustment but a strategic approach to sustainable growth in contemporary organizations.</w:t>
      </w:r>
    </w:p>
    <w:p w14:paraId="4799BECB" w14:textId="77777777" w:rsidR="00A1182A" w:rsidRPr="006C42C9" w:rsidRDefault="00A1182A" w:rsidP="00A1182A">
      <w:pPr>
        <w:spacing w:line="480" w:lineRule="auto"/>
        <w:rPr>
          <w:rFonts w:ascii="Times New Roman" w:hAnsi="Times New Roman" w:cs="Times New Roman"/>
          <w:color w:val="000000" w:themeColor="text1"/>
          <w:szCs w:val="24"/>
        </w:rPr>
      </w:pPr>
    </w:p>
    <w:p w14:paraId="70394849" w14:textId="77777777" w:rsidR="00A1182A" w:rsidRPr="006C42C9" w:rsidRDefault="00A1182A" w:rsidP="00A1182A">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609710DA" w14:textId="77777777" w:rsidR="00A1182A" w:rsidRPr="006C42C9" w:rsidRDefault="00A1182A" w:rsidP="00A1182A">
          <w:pPr>
            <w:spacing w:line="480" w:lineRule="auto"/>
            <w:rPr>
              <w:rFonts w:ascii="Times New Roman" w:hAnsi="Times New Roman" w:cs="Times New Roman"/>
              <w:color w:val="000000" w:themeColor="text1"/>
              <w:szCs w:val="24"/>
            </w:rPr>
          </w:pPr>
          <w:r w:rsidRPr="006C42C9">
            <w:rPr>
              <w:rFonts w:ascii="Times New Roman" w:hAnsi="Times New Roman" w:cs="Times New Roman"/>
              <w:color w:val="000000" w:themeColor="text1"/>
              <w:szCs w:val="24"/>
            </w:rPr>
            <w:t>Contents</w:t>
          </w:r>
        </w:p>
        <w:p w14:paraId="1E6E709C"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r w:rsidRPr="006C42C9">
            <w:rPr>
              <w:rFonts w:ascii="Times New Roman" w:hAnsi="Times New Roman"/>
              <w:color w:val="000000" w:themeColor="text1"/>
              <w:sz w:val="24"/>
              <w:szCs w:val="24"/>
            </w:rPr>
            <w:fldChar w:fldCharType="begin"/>
          </w:r>
          <w:r w:rsidRPr="006C42C9">
            <w:rPr>
              <w:rFonts w:ascii="Times New Roman" w:hAnsi="Times New Roman"/>
              <w:color w:val="000000" w:themeColor="text1"/>
              <w:sz w:val="24"/>
              <w:szCs w:val="24"/>
            </w:rPr>
            <w:instrText xml:space="preserve"> TOC \o "1-3" \h \z \u </w:instrText>
          </w:r>
          <w:r w:rsidRPr="006C42C9">
            <w:rPr>
              <w:rFonts w:ascii="Times New Roman" w:hAnsi="Times New Roman"/>
              <w:color w:val="000000" w:themeColor="text1"/>
              <w:sz w:val="24"/>
              <w:szCs w:val="24"/>
            </w:rPr>
            <w:fldChar w:fldCharType="separate"/>
          </w:r>
          <w:hyperlink w:anchor="_Toc215261169" w:history="1">
            <w:r w:rsidRPr="006C42C9">
              <w:rPr>
                <w:rStyle w:val="Hyperlink"/>
                <w:rFonts w:ascii="Times New Roman" w:hAnsi="Times New Roman"/>
                <w:b/>
                <w:bCs/>
                <w:noProof/>
                <w:sz w:val="24"/>
                <w:szCs w:val="24"/>
              </w:rPr>
              <w:t>Abstract</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_Toc215261169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2</w:t>
            </w:r>
            <w:r w:rsidRPr="006C42C9">
              <w:rPr>
                <w:rFonts w:ascii="Times New Roman" w:hAnsi="Times New Roman"/>
                <w:noProof/>
                <w:webHidden/>
                <w:sz w:val="24"/>
                <w:szCs w:val="24"/>
              </w:rPr>
              <w:fldChar w:fldCharType="end"/>
            </w:r>
          </w:hyperlink>
        </w:p>
        <w:p w14:paraId="0DE2DC5A"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6C42C9">
              <w:rPr>
                <w:rStyle w:val="Hyperlink"/>
                <w:rFonts w:ascii="Times New Roman" w:hAnsi="Times New Roman"/>
                <w:b/>
                <w:bCs/>
                <w:noProof/>
                <w:sz w:val="24"/>
                <w:szCs w:val="24"/>
              </w:rPr>
              <w:t>1.Introduction</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_Toc215261170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5</w:t>
            </w:r>
            <w:r w:rsidRPr="006C42C9">
              <w:rPr>
                <w:rFonts w:ascii="Times New Roman" w:hAnsi="Times New Roman"/>
                <w:noProof/>
                <w:webHidden/>
                <w:sz w:val="24"/>
                <w:szCs w:val="24"/>
              </w:rPr>
              <w:fldChar w:fldCharType="end"/>
            </w:r>
          </w:hyperlink>
        </w:p>
        <w:p w14:paraId="532C2DB4"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6C42C9">
              <w:rPr>
                <w:rStyle w:val="Hyperlink"/>
                <w:rFonts w:ascii="Times New Roman" w:hAnsi="Times New Roman"/>
                <w:b/>
                <w:bCs/>
                <w:noProof/>
                <w:sz w:val="24"/>
                <w:szCs w:val="24"/>
              </w:rPr>
              <w:t>2. Literature Review</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_Toc215261171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7</w:t>
            </w:r>
            <w:r w:rsidRPr="006C42C9">
              <w:rPr>
                <w:rFonts w:ascii="Times New Roman" w:hAnsi="Times New Roman"/>
                <w:noProof/>
                <w:webHidden/>
                <w:sz w:val="24"/>
                <w:szCs w:val="24"/>
              </w:rPr>
              <w:fldChar w:fldCharType="end"/>
            </w:r>
          </w:hyperlink>
        </w:p>
        <w:p w14:paraId="60E23764"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6C42C9">
              <w:rPr>
                <w:rStyle w:val="Hyperlink"/>
                <w:rFonts w:ascii="Times New Roman" w:hAnsi="Times New Roman"/>
                <w:b/>
                <w:bCs/>
                <w:noProof/>
                <w:sz w:val="24"/>
                <w:szCs w:val="24"/>
              </w:rPr>
              <w:t>3 Methodology</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_Toc215261172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12</w:t>
            </w:r>
            <w:r w:rsidRPr="006C42C9">
              <w:rPr>
                <w:rFonts w:ascii="Times New Roman" w:hAnsi="Times New Roman"/>
                <w:noProof/>
                <w:webHidden/>
                <w:sz w:val="24"/>
                <w:szCs w:val="24"/>
              </w:rPr>
              <w:fldChar w:fldCharType="end"/>
            </w:r>
          </w:hyperlink>
        </w:p>
        <w:p w14:paraId="6173F1D6"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6C42C9">
              <w:rPr>
                <w:rStyle w:val="Hyperlink"/>
                <w:rFonts w:ascii="Times New Roman" w:hAnsi="Times New Roman"/>
                <w:b/>
                <w:bCs/>
                <w:noProof/>
                <w:sz w:val="24"/>
                <w:szCs w:val="24"/>
              </w:rPr>
              <w:t>4 Finding</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_Toc215261173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14</w:t>
            </w:r>
            <w:r w:rsidRPr="006C42C9">
              <w:rPr>
                <w:rFonts w:ascii="Times New Roman" w:hAnsi="Times New Roman"/>
                <w:noProof/>
                <w:webHidden/>
                <w:sz w:val="24"/>
                <w:szCs w:val="24"/>
              </w:rPr>
              <w:fldChar w:fldCharType="end"/>
            </w:r>
          </w:hyperlink>
        </w:p>
        <w:p w14:paraId="381177E8"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6C42C9">
              <w:rPr>
                <w:rStyle w:val="Hyperlink"/>
                <w:rFonts w:ascii="Times New Roman" w:hAnsi="Times New Roman"/>
                <w:b/>
                <w:bCs/>
                <w:noProof/>
                <w:sz w:val="24"/>
                <w:szCs w:val="24"/>
              </w:rPr>
              <w:t>5. Discussion</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_Toc215261174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18</w:t>
            </w:r>
            <w:r w:rsidRPr="006C42C9">
              <w:rPr>
                <w:rFonts w:ascii="Times New Roman" w:hAnsi="Times New Roman"/>
                <w:noProof/>
                <w:webHidden/>
                <w:sz w:val="24"/>
                <w:szCs w:val="24"/>
              </w:rPr>
              <w:fldChar w:fldCharType="end"/>
            </w:r>
          </w:hyperlink>
        </w:p>
        <w:p w14:paraId="1131DEF8"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6C42C9">
              <w:rPr>
                <w:rStyle w:val="Hyperlink"/>
                <w:rFonts w:ascii="Times New Roman" w:hAnsi="Times New Roman"/>
                <w:b/>
                <w:bCs/>
                <w:noProof/>
                <w:sz w:val="24"/>
                <w:szCs w:val="24"/>
              </w:rPr>
              <w:t>6. Recommendation</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_Toc215261175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21</w:t>
            </w:r>
            <w:r w:rsidRPr="006C42C9">
              <w:rPr>
                <w:rFonts w:ascii="Times New Roman" w:hAnsi="Times New Roman"/>
                <w:noProof/>
                <w:webHidden/>
                <w:sz w:val="24"/>
                <w:szCs w:val="24"/>
              </w:rPr>
              <w:fldChar w:fldCharType="end"/>
            </w:r>
          </w:hyperlink>
        </w:p>
        <w:p w14:paraId="414381D9"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6C42C9">
              <w:rPr>
                <w:rStyle w:val="Hyperlink"/>
                <w:rFonts w:ascii="Times New Roman" w:hAnsi="Times New Roman"/>
                <w:b/>
                <w:bCs/>
                <w:noProof/>
                <w:sz w:val="24"/>
                <w:szCs w:val="24"/>
              </w:rPr>
              <w:t>8. Conclusion</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_Toc215261176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23</w:t>
            </w:r>
            <w:r w:rsidRPr="006C42C9">
              <w:rPr>
                <w:rFonts w:ascii="Times New Roman" w:hAnsi="Times New Roman"/>
                <w:noProof/>
                <w:webHidden/>
                <w:sz w:val="24"/>
                <w:szCs w:val="24"/>
              </w:rPr>
              <w:fldChar w:fldCharType="end"/>
            </w:r>
          </w:hyperlink>
        </w:p>
        <w:p w14:paraId="55D92CAF" w14:textId="77777777" w:rsidR="00A1182A" w:rsidRPr="006C42C9" w:rsidRDefault="00A1182A" w:rsidP="00A1182A">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6C42C9">
              <w:rPr>
                <w:rStyle w:val="Hyperlink"/>
                <w:rFonts w:ascii="Times New Roman" w:hAnsi="Times New Roman"/>
                <w:b/>
                <w:bCs/>
                <w:noProof/>
                <w:sz w:val="24"/>
                <w:szCs w:val="24"/>
              </w:rPr>
              <w:t>Reference List</w:t>
            </w:r>
            <w:r w:rsidRPr="006C42C9">
              <w:rPr>
                <w:rFonts w:ascii="Times New Roman" w:hAnsi="Times New Roman"/>
                <w:noProof/>
                <w:webHidden/>
                <w:sz w:val="24"/>
                <w:szCs w:val="24"/>
              </w:rPr>
              <w:tab/>
            </w:r>
            <w:r w:rsidRPr="006C42C9">
              <w:rPr>
                <w:rFonts w:ascii="Times New Roman" w:hAnsi="Times New Roman"/>
                <w:noProof/>
                <w:webHidden/>
                <w:sz w:val="24"/>
                <w:szCs w:val="24"/>
              </w:rPr>
              <w:fldChar w:fldCharType="begin"/>
            </w:r>
            <w:r w:rsidRPr="006C42C9">
              <w:rPr>
                <w:rFonts w:ascii="Times New Roman" w:hAnsi="Times New Roman"/>
                <w:noProof/>
                <w:webHidden/>
                <w:sz w:val="24"/>
                <w:szCs w:val="24"/>
              </w:rPr>
              <w:instrText xml:space="preserve"> PAGEREF _Toc215261177 \h </w:instrText>
            </w:r>
            <w:r w:rsidRPr="006C42C9">
              <w:rPr>
                <w:rFonts w:ascii="Times New Roman" w:hAnsi="Times New Roman"/>
                <w:noProof/>
                <w:webHidden/>
                <w:sz w:val="24"/>
                <w:szCs w:val="24"/>
              </w:rPr>
            </w:r>
            <w:r w:rsidRPr="006C42C9">
              <w:rPr>
                <w:rFonts w:ascii="Times New Roman" w:hAnsi="Times New Roman"/>
                <w:noProof/>
                <w:webHidden/>
                <w:sz w:val="24"/>
                <w:szCs w:val="24"/>
              </w:rPr>
              <w:fldChar w:fldCharType="separate"/>
            </w:r>
            <w:r w:rsidRPr="006C42C9">
              <w:rPr>
                <w:rFonts w:ascii="Times New Roman" w:hAnsi="Times New Roman"/>
                <w:noProof/>
                <w:webHidden/>
                <w:sz w:val="24"/>
                <w:szCs w:val="24"/>
              </w:rPr>
              <w:t>25</w:t>
            </w:r>
            <w:r w:rsidRPr="006C42C9">
              <w:rPr>
                <w:rFonts w:ascii="Times New Roman" w:hAnsi="Times New Roman"/>
                <w:noProof/>
                <w:webHidden/>
                <w:sz w:val="24"/>
                <w:szCs w:val="24"/>
              </w:rPr>
              <w:fldChar w:fldCharType="end"/>
            </w:r>
          </w:hyperlink>
        </w:p>
        <w:p w14:paraId="07942106" w14:textId="77777777" w:rsidR="00A1182A" w:rsidRPr="006C42C9" w:rsidRDefault="00A1182A" w:rsidP="00A1182A">
          <w:pPr>
            <w:spacing w:line="480" w:lineRule="auto"/>
            <w:rPr>
              <w:rFonts w:ascii="Times New Roman" w:hAnsi="Times New Roman" w:cs="Times New Roman"/>
              <w:color w:val="000000" w:themeColor="text1"/>
              <w:szCs w:val="24"/>
            </w:rPr>
          </w:pPr>
          <w:r w:rsidRPr="006C42C9">
            <w:rPr>
              <w:rFonts w:ascii="Times New Roman" w:hAnsi="Times New Roman" w:cs="Times New Roman"/>
              <w:b/>
              <w:bCs/>
              <w:noProof/>
              <w:color w:val="000000" w:themeColor="text1"/>
              <w:szCs w:val="24"/>
            </w:rPr>
            <w:fldChar w:fldCharType="end"/>
          </w:r>
        </w:p>
      </w:sdtContent>
    </w:sdt>
    <w:p w14:paraId="58C3A8C9" w14:textId="77777777" w:rsidR="00A1182A" w:rsidRPr="006C42C9" w:rsidRDefault="00A1182A" w:rsidP="00A1182A">
      <w:pPr>
        <w:spacing w:line="480" w:lineRule="auto"/>
        <w:rPr>
          <w:rFonts w:ascii="Times New Roman" w:hAnsi="Times New Roman" w:cs="Times New Roman"/>
          <w:color w:val="000000" w:themeColor="text1"/>
          <w:szCs w:val="24"/>
        </w:rPr>
      </w:pPr>
    </w:p>
    <w:p w14:paraId="652F1D67" w14:textId="77777777" w:rsidR="00A1182A" w:rsidRPr="006C42C9" w:rsidRDefault="00A1182A" w:rsidP="00A1182A">
      <w:pPr>
        <w:spacing w:line="480" w:lineRule="auto"/>
        <w:rPr>
          <w:rFonts w:ascii="Times New Roman" w:hAnsi="Times New Roman" w:cs="Times New Roman"/>
          <w:color w:val="000000" w:themeColor="text1"/>
          <w:szCs w:val="24"/>
        </w:rPr>
      </w:pPr>
    </w:p>
    <w:p w14:paraId="5B87F852" w14:textId="77777777" w:rsidR="00A1182A" w:rsidRPr="006C42C9" w:rsidRDefault="00A1182A" w:rsidP="00A1182A">
      <w:pPr>
        <w:spacing w:line="480" w:lineRule="auto"/>
        <w:rPr>
          <w:rFonts w:ascii="Times New Roman" w:hAnsi="Times New Roman" w:cs="Times New Roman"/>
          <w:color w:val="000000" w:themeColor="text1"/>
          <w:szCs w:val="24"/>
        </w:rPr>
      </w:pPr>
      <w:r w:rsidRPr="006C42C9">
        <w:rPr>
          <w:rFonts w:ascii="Times New Roman" w:hAnsi="Times New Roman" w:cs="Times New Roman"/>
          <w:color w:val="000000" w:themeColor="text1"/>
          <w:szCs w:val="24"/>
        </w:rPr>
        <w:br w:type="page"/>
      </w:r>
    </w:p>
    <w:p w14:paraId="0A4E3DF4" w14:textId="77777777" w:rsidR="00A1182A" w:rsidRPr="006C42C9" w:rsidRDefault="00A1182A" w:rsidP="00A1182A">
      <w:pPr>
        <w:spacing w:line="480" w:lineRule="auto"/>
        <w:rPr>
          <w:rFonts w:ascii="Times New Roman" w:hAnsi="Times New Roman" w:cs="Times New Roman"/>
          <w:color w:val="000000" w:themeColor="text1"/>
          <w:szCs w:val="24"/>
        </w:rPr>
      </w:pPr>
      <w:bookmarkStart w:id="1" w:name="_Toc215261170"/>
      <w:r w:rsidRPr="006C42C9">
        <w:rPr>
          <w:rStyle w:val="Heading1Char"/>
          <w:rFonts w:ascii="Times New Roman" w:hAnsi="Times New Roman" w:cs="Times New Roman"/>
          <w:b/>
          <w:bCs/>
          <w:color w:val="000000" w:themeColor="text1"/>
          <w:sz w:val="24"/>
          <w:szCs w:val="24"/>
        </w:rPr>
        <w:lastRenderedPageBreak/>
        <w:t>1.Introduction</w:t>
      </w:r>
      <w:bookmarkEnd w:id="1"/>
      <w:r w:rsidRPr="006C42C9">
        <w:rPr>
          <w:rStyle w:val="Heading1Char"/>
          <w:rFonts w:ascii="Times New Roman" w:hAnsi="Times New Roman" w:cs="Times New Roman"/>
          <w:color w:val="000000" w:themeColor="text1"/>
          <w:sz w:val="24"/>
          <w:szCs w:val="24"/>
        </w:rPr>
        <w:t xml:space="preserve"> </w:t>
      </w:r>
    </w:p>
    <w:p w14:paraId="6EAD2455" w14:textId="77777777" w:rsidR="00A1182A" w:rsidRPr="00A1182A" w:rsidRDefault="00A1182A" w:rsidP="00A1182A">
      <w:pPr>
        <w:spacing w:line="480" w:lineRule="auto"/>
        <w:rPr>
          <w:rFonts w:ascii="Times New Roman" w:hAnsi="Times New Roman" w:cs="Times New Roman"/>
          <w:color w:val="000000" w:themeColor="text1"/>
          <w:szCs w:val="24"/>
        </w:rPr>
      </w:pPr>
      <w:bookmarkStart w:id="2" w:name="_Toc215261171"/>
      <w:r w:rsidRPr="00A1182A">
        <w:rPr>
          <w:rFonts w:ascii="Times New Roman" w:hAnsi="Times New Roman" w:cs="Times New Roman"/>
          <w:color w:val="000000" w:themeColor="text1"/>
          <w:szCs w:val="24"/>
        </w:rPr>
        <w:t>In the contemporary business environment, organizations operate in markets shaped by intense competition, rapid technological change, and increasingly informed customers. Buyers now have access to a wide range of information before interacting with a company, and they often move through multiple digital and physical touchpoints before making a purchase decision. As a result, the customer journey has become more complex, less predictable, and more influenced by the quality and consistency of organizational communication. In this context, the traditional separation between sales and marketing is becoming less effective. Businesses are increasingly expected to deliver a seamless experience from the first point of awareness to post-purchase engagement, and this requires stronger coordination between the teams responsible for creating demand and those responsible for converting and retaining customers.</w:t>
      </w:r>
    </w:p>
    <w:p w14:paraId="0357BD87"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t>Sales and marketing have historically been viewed as related but distinct business functions. Marketing is commonly associated with market research, segmentation, brand positioning, promotion, and lead generation. Its purpose is to create awareness, stimulate interest, and attract potential customers to the organization’s offerings. Sales, by contrast, is generally concerned with direct interaction with prospects, understanding customer needs, overcoming objections, negotiating value, and closing deals. While both functions contribute to revenue generation, they have often operated with different goals, systems, and performance measures. Marketing may prioritize campaign reach, engagement, and lead volume, whereas sales may focus on quotas, conversion rates, and immediate revenue. When these priorities are not aligned, tension can arise between the two departments.</w:t>
      </w:r>
    </w:p>
    <w:p w14:paraId="580EA634"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t xml:space="preserve">This misalignment can damage business performance in several ways. Marketing teams may produce leads that sales representatives consider unqualified, while sales teams may fail to </w:t>
      </w:r>
      <w:r w:rsidRPr="00A1182A">
        <w:rPr>
          <w:rFonts w:ascii="Times New Roman" w:hAnsi="Times New Roman" w:cs="Times New Roman"/>
          <w:color w:val="000000" w:themeColor="text1"/>
          <w:szCs w:val="24"/>
        </w:rPr>
        <w:lastRenderedPageBreak/>
        <w:t xml:space="preserve">follow up on leads quickly enough to convert interest into action. Customers may receive inconsistent messages as they move from advertising and digital content to direct conversations with sales staff. Important data may remain trapped in separate systems, preventing teams from developing a unified understanding of customer </w:t>
      </w:r>
      <w:proofErr w:type="spellStart"/>
      <w:r w:rsidRPr="00A1182A">
        <w:rPr>
          <w:rFonts w:ascii="Times New Roman" w:hAnsi="Times New Roman" w:cs="Times New Roman"/>
          <w:color w:val="000000" w:themeColor="text1"/>
          <w:szCs w:val="24"/>
        </w:rPr>
        <w:t>behavior</w:t>
      </w:r>
      <w:proofErr w:type="spellEnd"/>
      <w:r w:rsidRPr="00A1182A">
        <w:rPr>
          <w:rFonts w:ascii="Times New Roman" w:hAnsi="Times New Roman" w:cs="Times New Roman"/>
          <w:color w:val="000000" w:themeColor="text1"/>
          <w:szCs w:val="24"/>
        </w:rPr>
        <w:t>. In many organizations, these problems create wasted resources, slower responses, lower conversion rates, and weaker customer relationships. Instead of functioning as complementary parts of one growth system, sales and marketing can become isolated units working toward partially connected objectives.</w:t>
      </w:r>
    </w:p>
    <w:p w14:paraId="450B01A4"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t>The need for integration is therefore both practical and strategic. In modern organizations, growth depends not only on attracting attention but also on guiding potential customers through a coherent decision-making process and maintaining value after the initial sale. This requires close alignment between market-facing activities, customer insight, communication strategy, and revenue execution. When sales and marketing are integrated, organizations are better positioned to define target audiences accurately, create relevant messaging, nurture prospects effectively, and hand over leads at the right stage of readiness. Integration also strengthens the consistency of the brand promise because the messages communicated through campaigns, websites, email content, and sales conversations are more likely to reinforce one another. From the customer’s perspective, the organization appears more responsive, more credible, and more professional.</w:t>
      </w:r>
    </w:p>
    <w:p w14:paraId="524AC7DE"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t xml:space="preserve">Another reason integration matters </w:t>
      </w:r>
      <w:proofErr w:type="gramStart"/>
      <w:r w:rsidRPr="00A1182A">
        <w:rPr>
          <w:rFonts w:ascii="Times New Roman" w:hAnsi="Times New Roman" w:cs="Times New Roman"/>
          <w:color w:val="000000" w:themeColor="text1"/>
          <w:szCs w:val="24"/>
        </w:rPr>
        <w:t>is</w:t>
      </w:r>
      <w:proofErr w:type="gramEnd"/>
      <w:r w:rsidRPr="00A1182A">
        <w:rPr>
          <w:rFonts w:ascii="Times New Roman" w:hAnsi="Times New Roman" w:cs="Times New Roman"/>
          <w:color w:val="000000" w:themeColor="text1"/>
          <w:szCs w:val="24"/>
        </w:rPr>
        <w:t xml:space="preserve"> that customer acquisition and customer retention are increasingly interconnected. In many industries, growth is no longer driven solely by winning new customers; it also depends on repeat business, customer loyalty, and long-term relationship value. Marketing contributes to retention through brand trust, content engagement, personalized communication, and customer education, while sales </w:t>
      </w:r>
      <w:proofErr w:type="gramStart"/>
      <w:r w:rsidRPr="00A1182A">
        <w:rPr>
          <w:rFonts w:ascii="Times New Roman" w:hAnsi="Times New Roman" w:cs="Times New Roman"/>
          <w:color w:val="000000" w:themeColor="text1"/>
          <w:szCs w:val="24"/>
        </w:rPr>
        <w:t>contributes</w:t>
      </w:r>
      <w:proofErr w:type="gramEnd"/>
      <w:r w:rsidRPr="00A1182A">
        <w:rPr>
          <w:rFonts w:ascii="Times New Roman" w:hAnsi="Times New Roman" w:cs="Times New Roman"/>
          <w:color w:val="000000" w:themeColor="text1"/>
          <w:szCs w:val="24"/>
        </w:rPr>
        <w:t xml:space="preserve"> through consultative support, relationship management, and understanding changing customer needs. When both functions </w:t>
      </w:r>
      <w:r w:rsidRPr="00A1182A">
        <w:rPr>
          <w:rFonts w:ascii="Times New Roman" w:hAnsi="Times New Roman" w:cs="Times New Roman"/>
          <w:color w:val="000000" w:themeColor="text1"/>
          <w:szCs w:val="24"/>
        </w:rPr>
        <w:lastRenderedPageBreak/>
        <w:t>share information and collaborate beyond the initial transaction, organizations can improve not only first-time conversions but also renewal rates, cross-selling opportunities, and customer satisfaction. In this sense, integration supports a more complete view of the customer lifecycle rather than a narrow focus on isolated stages of the funnel.</w:t>
      </w:r>
    </w:p>
    <w:p w14:paraId="19E280F1"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t>Despite these advantages, effective integration is not easy to achieve. Many organizations struggle with structural barriers such as departmental silos, separate reporting lines, and incompatible technologies. Cultural differences can also create resistance, especially when one team sees the other as responsible for poor performance. Marketing may view sales as reactive and unwilling to use strategic content, while sales may view marketing as disconnected from customer realities. In addition, disagreements often emerge around lead definitions, attribution models, budget allocation, and accountability for revenue outcomes. These challenges show that integration requires more than improved communication; it demands changes in leadership, systems, incentives, and organizational mindset.</w:t>
      </w:r>
    </w:p>
    <w:p w14:paraId="2179699B"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t>Cross-functional collaboration offers a practical way to address these issues. When sales and marketing teams engage in shared planning, regular meetings, common dashboards, and collaborative problem-solving, they are more likely to develop mutual trust and a shared understanding of business goals. Collaboration can be strengthened through unified customer relationship management systems, joint campaign planning, agreed lead qualification criteria, and closed-loop feedback on customer responses. It can also be supported by revenue-focused structures in which both departments are measured against shared outcomes such as pipeline quality, conversion efficiency, customer lifetime value, and retention. Such an approach moves the organization away from functional rivalry and toward collective responsibility for growth.</w:t>
      </w:r>
    </w:p>
    <w:p w14:paraId="49D520CC" w14:textId="77777777" w:rsidR="00A1182A" w:rsidRPr="00A1182A" w:rsidRDefault="00A1182A" w:rsidP="00A1182A">
      <w:pPr>
        <w:spacing w:line="480" w:lineRule="auto"/>
        <w:rPr>
          <w:rFonts w:ascii="Times New Roman" w:hAnsi="Times New Roman" w:cs="Times New Roman"/>
          <w:color w:val="000000" w:themeColor="text1"/>
          <w:szCs w:val="24"/>
        </w:rPr>
      </w:pPr>
      <w:r w:rsidRPr="00A1182A">
        <w:rPr>
          <w:rFonts w:ascii="Times New Roman" w:hAnsi="Times New Roman" w:cs="Times New Roman"/>
          <w:color w:val="000000" w:themeColor="text1"/>
          <w:szCs w:val="24"/>
        </w:rPr>
        <w:lastRenderedPageBreak/>
        <w:t xml:space="preserve">This paper examines how organizations can effectively integrate sales and marketing strategies to drive business growth in modern business settings. It </w:t>
      </w:r>
      <w:proofErr w:type="spellStart"/>
      <w:r w:rsidRPr="00A1182A">
        <w:rPr>
          <w:rFonts w:ascii="Times New Roman" w:hAnsi="Times New Roman" w:cs="Times New Roman"/>
          <w:color w:val="000000" w:themeColor="text1"/>
          <w:szCs w:val="24"/>
        </w:rPr>
        <w:t>analyzes</w:t>
      </w:r>
      <w:proofErr w:type="spellEnd"/>
      <w:r w:rsidRPr="00A1182A">
        <w:rPr>
          <w:rFonts w:ascii="Times New Roman" w:hAnsi="Times New Roman" w:cs="Times New Roman"/>
          <w:color w:val="000000" w:themeColor="text1"/>
          <w:szCs w:val="24"/>
        </w:rPr>
        <w:t xml:space="preserve"> the major benefits and challenges of aligning these two functions and explains how cross-functional collaboration can improve both customer acquisition and retention. The discussion is grounded in the view that sales and marketing should not be treated as independent activities but as interdependent elements of a unified customer and revenue strategy. By exploring relevant theory and practical organizational approaches, the paper argues that strong sales and marketing integration is a critical requirement for sustainable competitive advantage in the modern marketplace.</w:t>
      </w:r>
    </w:p>
    <w:p w14:paraId="1F568BE6"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2FD72A12"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7DD75847"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67AE0FE1"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03B7153C"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6C53A405"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204C9805"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4242218F"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0543A19E"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0D762239"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0734BA46"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6093DEAA" w14:textId="77777777" w:rsidR="006C42C9" w:rsidRPr="006C42C9" w:rsidRDefault="00A1182A" w:rsidP="006C42C9">
      <w:pPr>
        <w:spacing w:line="480" w:lineRule="auto"/>
        <w:rPr>
          <w:rFonts w:ascii="Times New Roman" w:eastAsiaTheme="majorEastAsia" w:hAnsi="Times New Roman" w:cs="Times New Roman"/>
          <w:color w:val="000000" w:themeColor="text1"/>
          <w:szCs w:val="24"/>
        </w:rPr>
      </w:pPr>
      <w:r w:rsidRPr="006C42C9">
        <w:rPr>
          <w:rStyle w:val="Heading1Char"/>
          <w:rFonts w:ascii="Times New Roman" w:hAnsi="Times New Roman" w:cs="Times New Roman"/>
          <w:b/>
          <w:bCs/>
          <w:color w:val="000000" w:themeColor="text1"/>
          <w:sz w:val="24"/>
          <w:szCs w:val="24"/>
        </w:rPr>
        <w:lastRenderedPageBreak/>
        <w:t>2. Literature Review</w:t>
      </w:r>
      <w:bookmarkEnd w:id="2"/>
      <w:r w:rsidRPr="006C42C9">
        <w:rPr>
          <w:rFonts w:ascii="Times New Roman" w:hAnsi="Times New Roman" w:cs="Times New Roman"/>
          <w:color w:val="000000" w:themeColor="text1"/>
          <w:szCs w:val="24"/>
        </w:rPr>
        <w:t xml:space="preserve"> </w:t>
      </w:r>
      <w:r w:rsidRPr="006C42C9">
        <w:rPr>
          <w:rFonts w:ascii="Times New Roman" w:hAnsi="Times New Roman" w:cs="Times New Roman"/>
          <w:color w:val="000000" w:themeColor="text1"/>
          <w:szCs w:val="24"/>
        </w:rPr>
        <w:br/>
      </w:r>
      <w:bookmarkStart w:id="3" w:name="_Toc215261172"/>
      <w:r w:rsidR="006C42C9" w:rsidRPr="006C42C9">
        <w:rPr>
          <w:rFonts w:ascii="Times New Roman" w:eastAsiaTheme="majorEastAsia" w:hAnsi="Times New Roman" w:cs="Times New Roman"/>
          <w:color w:val="000000" w:themeColor="text1"/>
          <w:szCs w:val="24"/>
        </w:rPr>
        <w:t xml:space="preserve">The literature on the sales-marketing interface has developed from seeing sales and marketing as adjacent but separate functions to treating their relationship as a strategic source of competitive advantage. Early work framed the interface as a recurring organizational problem shaped by different goals, time horizons, information preferences, and performance expectations (Dewsnap &amp; Jobber, 2000). </w:t>
      </w:r>
      <w:proofErr w:type="spellStart"/>
      <w:r w:rsidR="006C42C9" w:rsidRPr="006C42C9">
        <w:rPr>
          <w:rFonts w:ascii="Times New Roman" w:eastAsiaTheme="majorEastAsia" w:hAnsi="Times New Roman" w:cs="Times New Roman"/>
          <w:color w:val="000000" w:themeColor="text1"/>
          <w:szCs w:val="24"/>
        </w:rPr>
        <w:t>Rouziès</w:t>
      </w:r>
      <w:proofErr w:type="spellEnd"/>
      <w:r w:rsidR="006C42C9" w:rsidRPr="006C42C9">
        <w:rPr>
          <w:rFonts w:ascii="Times New Roman" w:eastAsiaTheme="majorEastAsia" w:hAnsi="Times New Roman" w:cs="Times New Roman"/>
          <w:color w:val="000000" w:themeColor="text1"/>
          <w:szCs w:val="24"/>
        </w:rPr>
        <w:t xml:space="preserve"> et al. (2005) advanced this discussion by arguing that integration involves more than simple communication; it also depends on structural arrangements, systems, culture, and people-based mechanisms. More recently, Biemans et al. (2022) synthesized more than two decades of scholarship and concluded that the sales-marketing interface should be understood as a multidimensional construct involving structural linkages, interaction patterns, and shared perceptions. This progression in the literature is important because it moves analysis away from the narrow question of “who owns the customer” and toward the broader issue of how firms coordinate knowledge and action across the revenue-generating process. </w:t>
      </w:r>
    </w:p>
    <w:p w14:paraId="23D210FA" w14:textId="77777777" w:rsidR="006C42C9" w:rsidRPr="006C42C9" w:rsidRDefault="006C42C9" w:rsidP="006C42C9">
      <w:pPr>
        <w:spacing w:line="480" w:lineRule="auto"/>
        <w:rPr>
          <w:rFonts w:ascii="Times New Roman" w:eastAsiaTheme="majorEastAsia" w:hAnsi="Times New Roman" w:cs="Times New Roman"/>
          <w:color w:val="000000" w:themeColor="text1"/>
          <w:szCs w:val="24"/>
        </w:rPr>
      </w:pPr>
      <w:r w:rsidRPr="006C42C9">
        <w:rPr>
          <w:rFonts w:ascii="Times New Roman" w:eastAsiaTheme="majorEastAsia" w:hAnsi="Times New Roman" w:cs="Times New Roman"/>
          <w:color w:val="000000" w:themeColor="text1"/>
          <w:szCs w:val="24"/>
        </w:rPr>
        <w:t>A dominant theme in the literature is that stronger alignment between sales and marketing is associated with better organizational performance. Homburg et al. (2008) show that firms adopt different configurations of marketing and sales, and that the more successful configurations tend to combine strong structural linkages with strong market knowledge. Similarly, Le Meunier-</w:t>
      </w:r>
      <w:proofErr w:type="spellStart"/>
      <w:r w:rsidRPr="006C42C9">
        <w:rPr>
          <w:rFonts w:ascii="Times New Roman" w:eastAsiaTheme="majorEastAsia" w:hAnsi="Times New Roman" w:cs="Times New Roman"/>
          <w:color w:val="000000" w:themeColor="text1"/>
          <w:szCs w:val="24"/>
        </w:rPr>
        <w:t>FitzHugh</w:t>
      </w:r>
      <w:proofErr w:type="spellEnd"/>
      <w:r w:rsidRPr="006C42C9">
        <w:rPr>
          <w:rFonts w:ascii="Times New Roman" w:eastAsiaTheme="majorEastAsia" w:hAnsi="Times New Roman" w:cs="Times New Roman"/>
          <w:color w:val="000000" w:themeColor="text1"/>
          <w:szCs w:val="24"/>
        </w:rPr>
        <w:t xml:space="preserve"> and Piercy (2007) argue that collaboration between the two functions is positively associated with business performance, while Lyus et al. (2011) suggest that integration improves a firm’s strategic responsiveness to market change by strengthening market intelligence and its translation into action. Le Meunier-</w:t>
      </w:r>
      <w:proofErr w:type="spellStart"/>
      <w:r w:rsidRPr="006C42C9">
        <w:rPr>
          <w:rFonts w:ascii="Times New Roman" w:eastAsiaTheme="majorEastAsia" w:hAnsi="Times New Roman" w:cs="Times New Roman"/>
          <w:color w:val="000000" w:themeColor="text1"/>
          <w:szCs w:val="24"/>
        </w:rPr>
        <w:t>FitzHugh</w:t>
      </w:r>
      <w:proofErr w:type="spellEnd"/>
      <w:r w:rsidRPr="006C42C9">
        <w:rPr>
          <w:rFonts w:ascii="Times New Roman" w:eastAsiaTheme="majorEastAsia" w:hAnsi="Times New Roman" w:cs="Times New Roman"/>
          <w:color w:val="000000" w:themeColor="text1"/>
          <w:szCs w:val="24"/>
        </w:rPr>
        <w:t xml:space="preserve"> and Piercy (2010) also emphasize that the relationship between sales and marketing is not improved by proximity alone; it improves when organizations deliberately shape collaboration through shared goals and coordinated practices. </w:t>
      </w:r>
      <w:r w:rsidRPr="006C42C9">
        <w:rPr>
          <w:rFonts w:ascii="Times New Roman" w:eastAsiaTheme="majorEastAsia" w:hAnsi="Times New Roman" w:cs="Times New Roman"/>
          <w:color w:val="000000" w:themeColor="text1"/>
          <w:szCs w:val="24"/>
        </w:rPr>
        <w:lastRenderedPageBreak/>
        <w:t xml:space="preserve">However, the literature is somewhat less clear on causality. Much of the evidence is based on survey and case-study designs, so while the correlation between alignment and performance is strong, the exact causal pathways remain open to further testing. </w:t>
      </w:r>
    </w:p>
    <w:p w14:paraId="4CE20BE7" w14:textId="77777777" w:rsidR="006C42C9" w:rsidRPr="006C42C9" w:rsidRDefault="006C42C9" w:rsidP="006C42C9">
      <w:pPr>
        <w:spacing w:line="480" w:lineRule="auto"/>
        <w:rPr>
          <w:rFonts w:ascii="Times New Roman" w:eastAsiaTheme="majorEastAsia" w:hAnsi="Times New Roman" w:cs="Times New Roman"/>
          <w:color w:val="000000" w:themeColor="text1"/>
          <w:szCs w:val="24"/>
        </w:rPr>
      </w:pPr>
      <w:r w:rsidRPr="006C42C9">
        <w:rPr>
          <w:rFonts w:ascii="Times New Roman" w:eastAsiaTheme="majorEastAsia" w:hAnsi="Times New Roman" w:cs="Times New Roman"/>
          <w:color w:val="000000" w:themeColor="text1"/>
          <w:szCs w:val="24"/>
        </w:rPr>
        <w:t xml:space="preserve">Another important stream of research examines why integration often fails in practice. </w:t>
      </w:r>
      <w:proofErr w:type="spellStart"/>
      <w:r w:rsidRPr="006C42C9">
        <w:rPr>
          <w:rFonts w:ascii="Times New Roman" w:eastAsiaTheme="majorEastAsia" w:hAnsi="Times New Roman" w:cs="Times New Roman"/>
          <w:color w:val="000000" w:themeColor="text1"/>
          <w:szCs w:val="24"/>
        </w:rPr>
        <w:t>Beverland</w:t>
      </w:r>
      <w:proofErr w:type="spellEnd"/>
      <w:r w:rsidRPr="006C42C9">
        <w:rPr>
          <w:rFonts w:ascii="Times New Roman" w:eastAsiaTheme="majorEastAsia" w:hAnsi="Times New Roman" w:cs="Times New Roman"/>
          <w:color w:val="000000" w:themeColor="text1"/>
          <w:szCs w:val="24"/>
        </w:rPr>
        <w:t xml:space="preserve"> et al. (2006) argue that sales and marketing frequently operate through different cultural frames, meaning that they interpret customers, strategy, and internal legitimacy in different ways. This helps explain why formal coordination efforts sometimes produce only superficial cooperation. Malshe (2011) develops this insight further by identifying structure, language, and process as key linkages that shape interface quality. In addition, Le Meunier-</w:t>
      </w:r>
      <w:proofErr w:type="spellStart"/>
      <w:r w:rsidRPr="006C42C9">
        <w:rPr>
          <w:rFonts w:ascii="Times New Roman" w:eastAsiaTheme="majorEastAsia" w:hAnsi="Times New Roman" w:cs="Times New Roman"/>
          <w:color w:val="000000" w:themeColor="text1"/>
          <w:szCs w:val="24"/>
        </w:rPr>
        <w:t>FitzHugh</w:t>
      </w:r>
      <w:proofErr w:type="spellEnd"/>
      <w:r w:rsidRPr="006C42C9">
        <w:rPr>
          <w:rFonts w:ascii="Times New Roman" w:eastAsiaTheme="majorEastAsia" w:hAnsi="Times New Roman" w:cs="Times New Roman"/>
          <w:color w:val="000000" w:themeColor="text1"/>
          <w:szCs w:val="24"/>
        </w:rPr>
        <w:t xml:space="preserve"> et al. (2011) find that aligned reward systems and supportive senior management attitudes reduce </w:t>
      </w:r>
      <w:proofErr w:type="spellStart"/>
      <w:r w:rsidRPr="006C42C9">
        <w:rPr>
          <w:rFonts w:ascii="Times New Roman" w:eastAsiaTheme="majorEastAsia" w:hAnsi="Times New Roman" w:cs="Times New Roman"/>
          <w:color w:val="000000" w:themeColor="text1"/>
          <w:szCs w:val="24"/>
        </w:rPr>
        <w:t>interfunctional</w:t>
      </w:r>
      <w:proofErr w:type="spellEnd"/>
      <w:r w:rsidRPr="006C42C9">
        <w:rPr>
          <w:rFonts w:ascii="Times New Roman" w:eastAsiaTheme="majorEastAsia" w:hAnsi="Times New Roman" w:cs="Times New Roman"/>
          <w:color w:val="000000" w:themeColor="text1"/>
          <w:szCs w:val="24"/>
        </w:rPr>
        <w:t xml:space="preserve"> conflict and encourage collaboration. The literature also usefully distinguishes between productive and destructive disagreement. Massey and Dawes (2007) show that conflict is not always harmful; when communication quality is high, some forms of conflict can be functional because they improve decision making and relationship effectiveness. This is a valuable corrective to managerial advice that treats all conflict as dysfunctional. The evidence instead suggests that the real problem is unmanaged conflict rooted in incompatible incentives, weak communication, and low mutual trust. </w:t>
      </w:r>
    </w:p>
    <w:p w14:paraId="16EF88E4" w14:textId="77777777" w:rsidR="006C42C9" w:rsidRPr="006C42C9" w:rsidRDefault="006C42C9" w:rsidP="006C42C9">
      <w:pPr>
        <w:spacing w:line="480" w:lineRule="auto"/>
        <w:rPr>
          <w:rFonts w:ascii="Times New Roman" w:eastAsiaTheme="majorEastAsia" w:hAnsi="Times New Roman" w:cs="Times New Roman"/>
          <w:color w:val="000000" w:themeColor="text1"/>
          <w:szCs w:val="24"/>
        </w:rPr>
      </w:pPr>
      <w:r w:rsidRPr="006C42C9">
        <w:rPr>
          <w:rFonts w:ascii="Times New Roman" w:eastAsiaTheme="majorEastAsia" w:hAnsi="Times New Roman" w:cs="Times New Roman"/>
          <w:color w:val="000000" w:themeColor="text1"/>
          <w:szCs w:val="24"/>
        </w:rPr>
        <w:t xml:space="preserve">The literature further indicates that integration should begin during strategy development rather than at the point of implementation. Malshe and Sohi (2009) propose that successful strategy making across the sales-marketing interface unfolds through stages of groundwork, transfer, and follow-up, with both functions contributing throughout the process. This perspective is significant because it challenges the traditional handoff model in which marketing creates strategy and sales merely executes it. Instead, the studies suggest that sales involvement </w:t>
      </w:r>
      <w:r w:rsidRPr="006C42C9">
        <w:rPr>
          <w:rFonts w:ascii="Times New Roman" w:eastAsiaTheme="majorEastAsia" w:hAnsi="Times New Roman" w:cs="Times New Roman"/>
          <w:color w:val="000000" w:themeColor="text1"/>
          <w:szCs w:val="24"/>
        </w:rPr>
        <w:lastRenderedPageBreak/>
        <w:t xml:space="preserve">improves realism, internal acceptance, and implementation quality. A related theoretical foundation comes from Jaworski and Kohli (1993), who argue that market orientation depends partly on interdepartmental connectedness and reward systems that encourage responsiveness to customer needs. Taken together, these studies imply that firms achieve stronger alignment when strategy is built around shared market intelligence and shared accountability, rather than around rigid departmental ownership. </w:t>
      </w:r>
    </w:p>
    <w:p w14:paraId="7E6362D9" w14:textId="77777777" w:rsidR="006C42C9" w:rsidRPr="006C42C9" w:rsidRDefault="006C42C9" w:rsidP="006C42C9">
      <w:pPr>
        <w:spacing w:line="480" w:lineRule="auto"/>
        <w:rPr>
          <w:rFonts w:ascii="Times New Roman" w:eastAsiaTheme="majorEastAsia" w:hAnsi="Times New Roman" w:cs="Times New Roman"/>
          <w:color w:val="000000" w:themeColor="text1"/>
          <w:szCs w:val="24"/>
        </w:rPr>
      </w:pPr>
      <w:r w:rsidRPr="006C42C9">
        <w:rPr>
          <w:rFonts w:ascii="Times New Roman" w:eastAsiaTheme="majorEastAsia" w:hAnsi="Times New Roman" w:cs="Times New Roman"/>
          <w:color w:val="000000" w:themeColor="text1"/>
          <w:szCs w:val="24"/>
        </w:rPr>
        <w:t xml:space="preserve">A further body of scholarship links sales-marketing integration to customer acquisition, customer retention, and lifetime value through customer relationship management and customer journey thinking. Payne and Frow (2005) define CRM as a strategic, cross-functional process rather than a narrow technology initiative, while Payne and Frow (2004) stress the importance of multichannel integration so that customer interactions remain coherent across touchpoints. Reinartz et al. (2004) reinforce this argument by showing that CRM processes can be conceptualized, measured, and linked to performance outcomes. Verhoef (2003) similarly finds that CRM efforts affect both customer retention and customer share development, suggesting that firms can influence loyalty and growth through coordinated relational activities. More recently, Lemon and Verhoef (2016) argue that customer experience now spans multiple channels, media, and social contexts, which means firms must integrate internal functions and sometimes external partners to manage the journey effectively. For the present study, this literature is especially relevant because it shows that sales-marketing alignment affects not only lead generation and conversion, but also post-purchase experience, repeat business, and long-term customer profitability. </w:t>
      </w:r>
    </w:p>
    <w:p w14:paraId="45D41EBC" w14:textId="77777777" w:rsidR="006C42C9" w:rsidRPr="006C42C9" w:rsidRDefault="006C42C9" w:rsidP="006C42C9">
      <w:pPr>
        <w:spacing w:line="480" w:lineRule="auto"/>
        <w:rPr>
          <w:rFonts w:ascii="Times New Roman" w:eastAsiaTheme="majorEastAsia" w:hAnsi="Times New Roman" w:cs="Times New Roman"/>
          <w:color w:val="000000" w:themeColor="text1"/>
          <w:szCs w:val="24"/>
        </w:rPr>
      </w:pPr>
      <w:r w:rsidRPr="006C42C9">
        <w:rPr>
          <w:rFonts w:ascii="Times New Roman" w:eastAsiaTheme="majorEastAsia" w:hAnsi="Times New Roman" w:cs="Times New Roman"/>
          <w:color w:val="000000" w:themeColor="text1"/>
          <w:szCs w:val="24"/>
        </w:rPr>
        <w:t xml:space="preserve">The theoretical base of the literature also helps explain why integration matters. Morgan and Hunt’s (1994) commitment-trust theory suggests that enduring exchange relationships depend on </w:t>
      </w:r>
      <w:r w:rsidRPr="006C42C9">
        <w:rPr>
          <w:rFonts w:ascii="Times New Roman" w:eastAsiaTheme="majorEastAsia" w:hAnsi="Times New Roman" w:cs="Times New Roman"/>
          <w:color w:val="000000" w:themeColor="text1"/>
          <w:szCs w:val="24"/>
        </w:rPr>
        <w:lastRenderedPageBreak/>
        <w:t xml:space="preserve">trust and commitment, both of which are damaged when organizations communicate inconsistently across functions. In parallel, Vargo and Lusch (2004) argue through service-dominant logic that value is co-created through ongoing interactions rather than embedded in products alone. From this perspective, customers judge firms through the total quality of coordinated experiences, not through isolated departmental activities. When these theories are read alongside the sales-marketing interface literature, integration appears less like an administrative preference and more like a market-facing capability. Even so, the literature still has limitations. Much of the classic empirical work is concentrated in large B2B, UK, or European settings, and Biemans et al. (2022) note continuing gaps around digital technologies, national culture, SMEs, and changing role boundaries. Therefore, the literature strongly supports the business value of integration, but it also shows that successful alignment depends on context, leadership, incentive design, and the firm’s ability to transform shared strategy into a consistent customer experience. </w:t>
      </w:r>
    </w:p>
    <w:p w14:paraId="58B6B6E3" w14:textId="75ABEE88" w:rsidR="00A1182A" w:rsidRPr="006C42C9" w:rsidRDefault="00A1182A" w:rsidP="006C42C9">
      <w:pPr>
        <w:spacing w:line="480" w:lineRule="auto"/>
        <w:rPr>
          <w:rStyle w:val="Heading1Char"/>
          <w:rFonts w:ascii="Times New Roman" w:hAnsi="Times New Roman" w:cs="Times New Roman"/>
          <w:b/>
          <w:bCs/>
          <w:color w:val="000000" w:themeColor="text1"/>
          <w:sz w:val="24"/>
          <w:szCs w:val="24"/>
        </w:rPr>
      </w:pPr>
    </w:p>
    <w:p w14:paraId="7492FCFA"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45FFECD8"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062DF536"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2C24CAD2"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1A85A897"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3D9EDF0D" w14:textId="77777777" w:rsidR="006C42C9" w:rsidRPr="006C42C9" w:rsidRDefault="00A1182A" w:rsidP="006C42C9">
      <w:pPr>
        <w:spacing w:line="480" w:lineRule="auto"/>
        <w:rPr>
          <w:rFonts w:ascii="Times New Roman" w:hAnsi="Times New Roman" w:cs="Times New Roman"/>
          <w:color w:val="000000" w:themeColor="text1"/>
          <w:szCs w:val="24"/>
        </w:rPr>
      </w:pPr>
      <w:r w:rsidRPr="006C42C9">
        <w:rPr>
          <w:rStyle w:val="Heading1Char"/>
          <w:rFonts w:ascii="Times New Roman" w:hAnsi="Times New Roman" w:cs="Times New Roman"/>
          <w:b/>
          <w:bCs/>
          <w:color w:val="000000" w:themeColor="text1"/>
          <w:sz w:val="24"/>
          <w:szCs w:val="24"/>
        </w:rPr>
        <w:t>3 Methodology</w:t>
      </w:r>
      <w:bookmarkEnd w:id="3"/>
      <w:r w:rsidRPr="006C42C9">
        <w:rPr>
          <w:rFonts w:ascii="Times New Roman" w:hAnsi="Times New Roman" w:cs="Times New Roman"/>
          <w:b/>
          <w:bCs/>
          <w:color w:val="000000" w:themeColor="text1"/>
          <w:szCs w:val="24"/>
        </w:rPr>
        <w:t xml:space="preserve"> </w:t>
      </w:r>
      <w:r w:rsidRPr="006C42C9">
        <w:rPr>
          <w:rFonts w:ascii="Times New Roman" w:hAnsi="Times New Roman" w:cs="Times New Roman"/>
          <w:color w:val="000000" w:themeColor="text1"/>
          <w:szCs w:val="24"/>
        </w:rPr>
        <w:br/>
      </w:r>
      <w:bookmarkStart w:id="4" w:name="_Toc215261174"/>
      <w:r w:rsidR="006C42C9" w:rsidRPr="006C42C9">
        <w:rPr>
          <w:rFonts w:ascii="Times New Roman" w:hAnsi="Times New Roman" w:cs="Times New Roman"/>
          <w:color w:val="000000" w:themeColor="text1"/>
          <w:szCs w:val="24"/>
        </w:rPr>
        <w:t xml:space="preserve">This study adopts a </w:t>
      </w:r>
      <w:r w:rsidR="006C42C9" w:rsidRPr="006C42C9">
        <w:rPr>
          <w:rFonts w:ascii="Times New Roman" w:hAnsi="Times New Roman" w:cs="Times New Roman"/>
          <w:b/>
          <w:bCs/>
          <w:color w:val="000000" w:themeColor="text1"/>
          <w:szCs w:val="24"/>
        </w:rPr>
        <w:t>structured integrative literature review</w:t>
      </w:r>
      <w:r w:rsidR="006C42C9" w:rsidRPr="006C42C9">
        <w:rPr>
          <w:rFonts w:ascii="Times New Roman" w:hAnsi="Times New Roman" w:cs="Times New Roman"/>
          <w:color w:val="000000" w:themeColor="text1"/>
          <w:szCs w:val="24"/>
        </w:rPr>
        <w:t xml:space="preserve"> to examine how organizations </w:t>
      </w:r>
      <w:r w:rsidR="006C42C9" w:rsidRPr="006C42C9">
        <w:rPr>
          <w:rFonts w:ascii="Times New Roman" w:hAnsi="Times New Roman" w:cs="Times New Roman"/>
          <w:color w:val="000000" w:themeColor="text1"/>
          <w:szCs w:val="24"/>
        </w:rPr>
        <w:lastRenderedPageBreak/>
        <w:t xml:space="preserve">integrate sales and marketing strategies to improve business growth, customer acquisition, and customer retention. This approach is appropriate because the topic cuts across several related fields, including sales management, marketing, customer relationship management, and strategic management, and therefore draws on both conceptual and empirical studies. An integrative review is especially useful when the aim is to combine insights from qualitative, quantitative, and theoretical work rather than focus on one narrow type of evidence. In business research, review-based studies are most credible when they are transparent, systematic, and analytically focused rather than descriptive, so this section follows that logic throughout (Snyder, 2019; </w:t>
      </w:r>
      <w:proofErr w:type="spellStart"/>
      <w:r w:rsidR="006C42C9" w:rsidRPr="006C42C9">
        <w:rPr>
          <w:rFonts w:ascii="Times New Roman" w:hAnsi="Times New Roman" w:cs="Times New Roman"/>
          <w:color w:val="000000" w:themeColor="text1"/>
          <w:szCs w:val="24"/>
        </w:rPr>
        <w:t>Tranfield</w:t>
      </w:r>
      <w:proofErr w:type="spellEnd"/>
      <w:r w:rsidR="006C42C9" w:rsidRPr="006C42C9">
        <w:rPr>
          <w:rFonts w:ascii="Times New Roman" w:hAnsi="Times New Roman" w:cs="Times New Roman"/>
          <w:color w:val="000000" w:themeColor="text1"/>
          <w:szCs w:val="24"/>
        </w:rPr>
        <w:t xml:space="preserve"> et al., 2003; Whittemore &amp; </w:t>
      </w:r>
      <w:proofErr w:type="spellStart"/>
      <w:r w:rsidR="006C42C9" w:rsidRPr="006C42C9">
        <w:rPr>
          <w:rFonts w:ascii="Times New Roman" w:hAnsi="Times New Roman" w:cs="Times New Roman"/>
          <w:color w:val="000000" w:themeColor="text1"/>
          <w:szCs w:val="24"/>
        </w:rPr>
        <w:t>Knafl</w:t>
      </w:r>
      <w:proofErr w:type="spellEnd"/>
      <w:r w:rsidR="006C42C9" w:rsidRPr="006C42C9">
        <w:rPr>
          <w:rFonts w:ascii="Times New Roman" w:hAnsi="Times New Roman" w:cs="Times New Roman"/>
          <w:color w:val="000000" w:themeColor="text1"/>
          <w:szCs w:val="24"/>
        </w:rPr>
        <w:t xml:space="preserve">, 2005). </w:t>
      </w:r>
    </w:p>
    <w:p w14:paraId="12DFD9D4" w14:textId="77777777" w:rsidR="006C42C9" w:rsidRPr="006C42C9" w:rsidRDefault="006C42C9" w:rsidP="006C42C9">
      <w:pPr>
        <w:spacing w:line="480" w:lineRule="auto"/>
        <w:rPr>
          <w:rFonts w:ascii="Times New Roman" w:hAnsi="Times New Roman" w:cs="Times New Roman"/>
          <w:color w:val="000000" w:themeColor="text1"/>
          <w:szCs w:val="24"/>
        </w:rPr>
      </w:pPr>
      <w:r w:rsidRPr="006C42C9">
        <w:rPr>
          <w:rFonts w:ascii="Times New Roman" w:hAnsi="Times New Roman" w:cs="Times New Roman"/>
          <w:color w:val="000000" w:themeColor="text1"/>
          <w:szCs w:val="24"/>
        </w:rPr>
        <w:t xml:space="preserve">To strengthen methodological rigor, the review was designed in line with </w:t>
      </w:r>
      <w:r w:rsidRPr="006C42C9">
        <w:rPr>
          <w:rFonts w:ascii="Times New Roman" w:hAnsi="Times New Roman" w:cs="Times New Roman"/>
          <w:b/>
          <w:bCs/>
          <w:color w:val="000000" w:themeColor="text1"/>
          <w:szCs w:val="24"/>
        </w:rPr>
        <w:t>systematic review principles</w:t>
      </w:r>
      <w:r w:rsidRPr="006C42C9">
        <w:rPr>
          <w:rFonts w:ascii="Times New Roman" w:hAnsi="Times New Roman" w:cs="Times New Roman"/>
          <w:color w:val="000000" w:themeColor="text1"/>
          <w:szCs w:val="24"/>
        </w:rPr>
        <w:t xml:space="preserve"> and organized using the reporting logic associated with </w:t>
      </w:r>
      <w:r w:rsidRPr="006C42C9">
        <w:rPr>
          <w:rFonts w:ascii="Times New Roman" w:hAnsi="Times New Roman" w:cs="Times New Roman"/>
          <w:b/>
          <w:bCs/>
          <w:color w:val="000000" w:themeColor="text1"/>
          <w:szCs w:val="24"/>
        </w:rPr>
        <w:t>PRISMA 2020</w:t>
      </w:r>
      <w:r w:rsidRPr="006C42C9">
        <w:rPr>
          <w:rFonts w:ascii="Times New Roman" w:hAnsi="Times New Roman" w:cs="Times New Roman"/>
          <w:color w:val="000000" w:themeColor="text1"/>
          <w:szCs w:val="24"/>
        </w:rPr>
        <w:t xml:space="preserve">, particularly in relation to search transparency, screening, eligibility, and documentation of included studies (Page et al., 2021). The literature search focused on major academic databases that index business and management scholarship, including </w:t>
      </w:r>
      <w:r w:rsidRPr="006C42C9">
        <w:rPr>
          <w:rFonts w:ascii="Times New Roman" w:hAnsi="Times New Roman" w:cs="Times New Roman"/>
          <w:b/>
          <w:bCs/>
          <w:color w:val="000000" w:themeColor="text1"/>
          <w:szCs w:val="24"/>
        </w:rPr>
        <w:t>Scopus, Web of Science, Business Source Complete, ABI/INFORM, and Google Scholar</w:t>
      </w:r>
      <w:r w:rsidRPr="006C42C9">
        <w:rPr>
          <w:rFonts w:ascii="Times New Roman" w:hAnsi="Times New Roman" w:cs="Times New Roman"/>
          <w:color w:val="000000" w:themeColor="text1"/>
          <w:szCs w:val="24"/>
        </w:rPr>
        <w:t xml:space="preserve"> for supplementary coverage. Search strings combined the main concepts of the study using Boolean operators such as </w:t>
      </w:r>
      <w:r w:rsidRPr="006C42C9">
        <w:rPr>
          <w:rFonts w:ascii="Times New Roman" w:hAnsi="Times New Roman" w:cs="Times New Roman"/>
          <w:b/>
          <w:bCs/>
          <w:color w:val="000000" w:themeColor="text1"/>
          <w:szCs w:val="24"/>
        </w:rPr>
        <w:t>AND</w:t>
      </w:r>
      <w:r w:rsidRPr="006C42C9">
        <w:rPr>
          <w:rFonts w:ascii="Times New Roman" w:hAnsi="Times New Roman" w:cs="Times New Roman"/>
          <w:color w:val="000000" w:themeColor="text1"/>
          <w:szCs w:val="24"/>
        </w:rPr>
        <w:t xml:space="preserve"> </w:t>
      </w:r>
      <w:proofErr w:type="spellStart"/>
      <w:r w:rsidRPr="006C42C9">
        <w:rPr>
          <w:rFonts w:ascii="Times New Roman" w:hAnsi="Times New Roman" w:cs="Times New Roman"/>
          <w:color w:val="000000" w:themeColor="text1"/>
          <w:szCs w:val="24"/>
        </w:rPr>
        <w:t>and</w:t>
      </w:r>
      <w:proofErr w:type="spellEnd"/>
      <w:r w:rsidRPr="006C42C9">
        <w:rPr>
          <w:rFonts w:ascii="Times New Roman" w:hAnsi="Times New Roman" w:cs="Times New Roman"/>
          <w:color w:val="000000" w:themeColor="text1"/>
          <w:szCs w:val="24"/>
        </w:rPr>
        <w:t xml:space="preserve"> </w:t>
      </w:r>
      <w:r w:rsidRPr="006C42C9">
        <w:rPr>
          <w:rFonts w:ascii="Times New Roman" w:hAnsi="Times New Roman" w:cs="Times New Roman"/>
          <w:b/>
          <w:bCs/>
          <w:color w:val="000000" w:themeColor="text1"/>
          <w:szCs w:val="24"/>
        </w:rPr>
        <w:t>OR</w:t>
      </w:r>
      <w:r w:rsidRPr="006C42C9">
        <w:rPr>
          <w:rFonts w:ascii="Times New Roman" w:hAnsi="Times New Roman" w:cs="Times New Roman"/>
          <w:color w:val="000000" w:themeColor="text1"/>
          <w:szCs w:val="24"/>
        </w:rPr>
        <w:t xml:space="preserve">. Core terms included “sales and marketing integration,” “sales-marketing alignment,” “sales-marketing interface,” “cross-functional collaboration,” “customer acquisition,” “customer retention,” “CRM,” and “revenue growth.” In addition, backward and forward citation tracking was used to identify highly relevant studies and seminal articles that may not have appeared in the initial keyword search. This concept-led search process is consistent with good literature review practice because it helps the researcher move beyond isolated keyword matches and build a stronger intellectual map of the field (Page et al., 2021; Webster &amp; Watson, 2002). </w:t>
      </w:r>
    </w:p>
    <w:p w14:paraId="30B46745" w14:textId="77777777" w:rsidR="006C42C9" w:rsidRPr="006C42C9" w:rsidRDefault="006C42C9" w:rsidP="006C42C9">
      <w:pPr>
        <w:spacing w:line="480" w:lineRule="auto"/>
        <w:rPr>
          <w:rFonts w:ascii="Times New Roman" w:hAnsi="Times New Roman" w:cs="Times New Roman"/>
          <w:color w:val="000000" w:themeColor="text1"/>
          <w:szCs w:val="24"/>
        </w:rPr>
      </w:pPr>
      <w:r w:rsidRPr="006C42C9">
        <w:rPr>
          <w:rFonts w:ascii="Times New Roman" w:hAnsi="Times New Roman" w:cs="Times New Roman"/>
          <w:color w:val="000000" w:themeColor="text1"/>
          <w:szCs w:val="24"/>
        </w:rPr>
        <w:lastRenderedPageBreak/>
        <w:t xml:space="preserve">Clear </w:t>
      </w:r>
      <w:r w:rsidRPr="006C42C9">
        <w:rPr>
          <w:rFonts w:ascii="Times New Roman" w:hAnsi="Times New Roman" w:cs="Times New Roman"/>
          <w:b/>
          <w:bCs/>
          <w:color w:val="000000" w:themeColor="text1"/>
          <w:szCs w:val="24"/>
        </w:rPr>
        <w:t>inclusion and exclusion criteria</w:t>
      </w:r>
      <w:r w:rsidRPr="006C42C9">
        <w:rPr>
          <w:rFonts w:ascii="Times New Roman" w:hAnsi="Times New Roman" w:cs="Times New Roman"/>
          <w:color w:val="000000" w:themeColor="text1"/>
          <w:szCs w:val="24"/>
        </w:rPr>
        <w:t xml:space="preserve"> were applied to improve consistency and reduce selection bias. The review included peer-reviewed journal articles published in English between </w:t>
      </w:r>
      <w:r w:rsidRPr="006C42C9">
        <w:rPr>
          <w:rFonts w:ascii="Times New Roman" w:hAnsi="Times New Roman" w:cs="Times New Roman"/>
          <w:b/>
          <w:bCs/>
          <w:color w:val="000000" w:themeColor="text1"/>
          <w:szCs w:val="24"/>
        </w:rPr>
        <w:t>2000 and 2025</w:t>
      </w:r>
      <w:r w:rsidRPr="006C42C9">
        <w:rPr>
          <w:rFonts w:ascii="Times New Roman" w:hAnsi="Times New Roman" w:cs="Times New Roman"/>
          <w:color w:val="000000" w:themeColor="text1"/>
          <w:szCs w:val="24"/>
        </w:rPr>
        <w:t xml:space="preserve">, a period chosen because it reflects the growth of CRM systems, digital marketing platforms, marketing automation, and revenue-based coordination structures that have reshaped the relationship between sales and marketing in modern firms. Studies were included when they directly addressed at least one of the following issues: alignment between sales and marketing, cross-functional collaboration, lead generation and conversion, customer acquisition, customer retention, revenue performance, or organizational barriers affecting cooperation between the two functions. Both empirical and conceptual articles were retained because the assignment requires not only evidence of outcomes but also explanation of underlying processes and managerial implications. Conference papers, dissertations, non-peer-reviewed articles, and studies focused only on sales or only on marketing without discussing their interaction were excluded. Using explicit criteria in this way increases the trustworthiness of the review and reduces the risk of ad hoc judgement during article selection (Snyder, 2019; </w:t>
      </w:r>
      <w:proofErr w:type="spellStart"/>
      <w:r w:rsidRPr="006C42C9">
        <w:rPr>
          <w:rFonts w:ascii="Times New Roman" w:hAnsi="Times New Roman" w:cs="Times New Roman"/>
          <w:color w:val="000000" w:themeColor="text1"/>
          <w:szCs w:val="24"/>
        </w:rPr>
        <w:t>Tranfield</w:t>
      </w:r>
      <w:proofErr w:type="spellEnd"/>
      <w:r w:rsidRPr="006C42C9">
        <w:rPr>
          <w:rFonts w:ascii="Times New Roman" w:hAnsi="Times New Roman" w:cs="Times New Roman"/>
          <w:color w:val="000000" w:themeColor="text1"/>
          <w:szCs w:val="24"/>
        </w:rPr>
        <w:t xml:space="preserve"> et al., 2003). </w:t>
      </w:r>
    </w:p>
    <w:p w14:paraId="13EA7FF6" w14:textId="77777777" w:rsidR="006C42C9" w:rsidRPr="006C42C9" w:rsidRDefault="006C42C9" w:rsidP="006C42C9">
      <w:pPr>
        <w:spacing w:line="480" w:lineRule="auto"/>
        <w:rPr>
          <w:rFonts w:ascii="Times New Roman" w:hAnsi="Times New Roman" w:cs="Times New Roman"/>
          <w:color w:val="000000" w:themeColor="text1"/>
          <w:szCs w:val="24"/>
        </w:rPr>
      </w:pPr>
      <w:r w:rsidRPr="006C42C9">
        <w:rPr>
          <w:rFonts w:ascii="Times New Roman" w:hAnsi="Times New Roman" w:cs="Times New Roman"/>
          <w:color w:val="000000" w:themeColor="text1"/>
          <w:szCs w:val="24"/>
        </w:rPr>
        <w:t xml:space="preserve">After the search process, duplicate records were removed and the remaining studies were screened in two stages. First, titles and abstracts were reviewed to determine basic relevance to the assignment topic. Second, full texts were read to confirm that each article met the inclusion criteria and made a meaningful contribution to the research question. For each selected study, data were extracted into a structured review matrix. The matrix recorded the author, publication year, industry or country context, research design, theoretical lens, and key findings relating to benefits, challenges, and mechanisms of sales-marketing integration. Organizing the evidence in this way made it easier to compare studies systematically and to present the literature in a </w:t>
      </w:r>
      <w:r w:rsidRPr="006C42C9">
        <w:rPr>
          <w:rFonts w:ascii="Times New Roman" w:hAnsi="Times New Roman" w:cs="Times New Roman"/>
          <w:b/>
          <w:bCs/>
          <w:color w:val="000000" w:themeColor="text1"/>
          <w:szCs w:val="24"/>
        </w:rPr>
        <w:lastRenderedPageBreak/>
        <w:t>concept-centric</w:t>
      </w:r>
      <w:r w:rsidRPr="006C42C9">
        <w:rPr>
          <w:rFonts w:ascii="Times New Roman" w:hAnsi="Times New Roman" w:cs="Times New Roman"/>
          <w:color w:val="000000" w:themeColor="text1"/>
          <w:szCs w:val="24"/>
        </w:rPr>
        <w:t xml:space="preserve"> rather than author-by-author format. This is important because strong literature reviews are expected to synthesize ideas, patterns, and debates, not merely summarize separate papers one after another (Webster &amp; Watson, 2002). Because the evidence base includes diverse research methods, quality evaluation focused on relevance, methodological clarity, transparency of analysis, and strength of argument rather than using a single rigid checklist across all study types, which is consistent with integrative review guidance (Whittemore &amp; </w:t>
      </w:r>
      <w:proofErr w:type="spellStart"/>
      <w:r w:rsidRPr="006C42C9">
        <w:rPr>
          <w:rFonts w:ascii="Times New Roman" w:hAnsi="Times New Roman" w:cs="Times New Roman"/>
          <w:color w:val="000000" w:themeColor="text1"/>
          <w:szCs w:val="24"/>
        </w:rPr>
        <w:t>Knafl</w:t>
      </w:r>
      <w:proofErr w:type="spellEnd"/>
      <w:r w:rsidRPr="006C42C9">
        <w:rPr>
          <w:rFonts w:ascii="Times New Roman" w:hAnsi="Times New Roman" w:cs="Times New Roman"/>
          <w:color w:val="000000" w:themeColor="text1"/>
          <w:szCs w:val="24"/>
        </w:rPr>
        <w:t xml:space="preserve">, 2005). </w:t>
      </w:r>
    </w:p>
    <w:p w14:paraId="263BB532" w14:textId="77777777" w:rsidR="006C42C9" w:rsidRPr="006C42C9" w:rsidRDefault="006C42C9" w:rsidP="006C42C9">
      <w:pPr>
        <w:spacing w:line="480" w:lineRule="auto"/>
        <w:rPr>
          <w:rFonts w:ascii="Times New Roman" w:hAnsi="Times New Roman" w:cs="Times New Roman"/>
          <w:color w:val="000000" w:themeColor="text1"/>
          <w:szCs w:val="24"/>
        </w:rPr>
      </w:pPr>
      <w:r w:rsidRPr="006C42C9">
        <w:rPr>
          <w:rFonts w:ascii="Times New Roman" w:hAnsi="Times New Roman" w:cs="Times New Roman"/>
          <w:color w:val="000000" w:themeColor="text1"/>
          <w:szCs w:val="24"/>
        </w:rPr>
        <w:t xml:space="preserve">The selected literature was then </w:t>
      </w:r>
      <w:proofErr w:type="spellStart"/>
      <w:r w:rsidRPr="006C42C9">
        <w:rPr>
          <w:rFonts w:ascii="Times New Roman" w:hAnsi="Times New Roman" w:cs="Times New Roman"/>
          <w:color w:val="000000" w:themeColor="text1"/>
          <w:szCs w:val="24"/>
        </w:rPr>
        <w:t>analyzed</w:t>
      </w:r>
      <w:proofErr w:type="spellEnd"/>
      <w:r w:rsidRPr="006C42C9">
        <w:rPr>
          <w:rFonts w:ascii="Times New Roman" w:hAnsi="Times New Roman" w:cs="Times New Roman"/>
          <w:color w:val="000000" w:themeColor="text1"/>
          <w:szCs w:val="24"/>
        </w:rPr>
        <w:t xml:space="preserve"> using </w:t>
      </w:r>
      <w:r w:rsidRPr="006C42C9">
        <w:rPr>
          <w:rFonts w:ascii="Times New Roman" w:hAnsi="Times New Roman" w:cs="Times New Roman"/>
          <w:b/>
          <w:bCs/>
          <w:color w:val="000000" w:themeColor="text1"/>
          <w:szCs w:val="24"/>
        </w:rPr>
        <w:t>thematic analysis</w:t>
      </w:r>
      <w:r w:rsidRPr="006C42C9">
        <w:rPr>
          <w:rFonts w:ascii="Times New Roman" w:hAnsi="Times New Roman" w:cs="Times New Roman"/>
          <w:color w:val="000000" w:themeColor="text1"/>
          <w:szCs w:val="24"/>
        </w:rPr>
        <w:t xml:space="preserve">. This method is suitable because it provides a flexible but rigorous way to identify recurring patterns across a varied set of studies while still allowing critical interpretation of meaning and context. Braun and Clarke (2006) describe thematic analysis as a useful and adaptable method for identifying, </w:t>
      </w:r>
      <w:proofErr w:type="spellStart"/>
      <w:r w:rsidRPr="006C42C9">
        <w:rPr>
          <w:rFonts w:ascii="Times New Roman" w:hAnsi="Times New Roman" w:cs="Times New Roman"/>
          <w:color w:val="000000" w:themeColor="text1"/>
          <w:szCs w:val="24"/>
        </w:rPr>
        <w:t>analyzing</w:t>
      </w:r>
      <w:proofErr w:type="spellEnd"/>
      <w:r w:rsidRPr="006C42C9">
        <w:rPr>
          <w:rFonts w:ascii="Times New Roman" w:hAnsi="Times New Roman" w:cs="Times New Roman"/>
          <w:color w:val="000000" w:themeColor="text1"/>
          <w:szCs w:val="24"/>
        </w:rPr>
        <w:t xml:space="preserve">, and reporting patterns in qualitative material, and its logic can also be applied effectively in review-based synthesis. In this assignment, initial codes were developed from the research question and the early reading of the selected articles. These codes included themes such as strategic alignment, shared goals and metrics, communication quality, leadership support, data integration, CRM capability, customer journey coordination, acquisition outcomes, retention outcomes, and organizational barriers such as siloed culture or conflicting incentives. The codes were then grouped into broader analytical themes that explain how and why integration between sales and marketing affects business performance. This approach supports deeper critical analysis because it allows the review to compare areas of consensus, disagreement, and contextual difference across the literature rather than simply listing findings in isolation (Braun &amp; Clarke, 2006). </w:t>
      </w:r>
    </w:p>
    <w:p w14:paraId="5BA2F4D0" w14:textId="77777777" w:rsidR="006C42C9" w:rsidRPr="006C42C9" w:rsidRDefault="006C42C9" w:rsidP="006C42C9">
      <w:pPr>
        <w:spacing w:line="480" w:lineRule="auto"/>
        <w:rPr>
          <w:rFonts w:ascii="Times New Roman" w:hAnsi="Times New Roman" w:cs="Times New Roman"/>
          <w:color w:val="000000" w:themeColor="text1"/>
          <w:szCs w:val="24"/>
        </w:rPr>
      </w:pPr>
      <w:r w:rsidRPr="006C42C9">
        <w:rPr>
          <w:rFonts w:ascii="Times New Roman" w:hAnsi="Times New Roman" w:cs="Times New Roman"/>
          <w:color w:val="000000" w:themeColor="text1"/>
          <w:szCs w:val="24"/>
        </w:rPr>
        <w:t xml:space="preserve">Finally, this methodology recognizes several limitations. Restricting the review to English-language, peer-reviewed sources may exclude useful insights from practitioner reports, grey </w:t>
      </w:r>
      <w:r w:rsidRPr="006C42C9">
        <w:rPr>
          <w:rFonts w:ascii="Times New Roman" w:hAnsi="Times New Roman" w:cs="Times New Roman"/>
          <w:color w:val="000000" w:themeColor="text1"/>
          <w:szCs w:val="24"/>
        </w:rPr>
        <w:lastRenderedPageBreak/>
        <w:t xml:space="preserve">literature, or non-English studies. In addition, the concepts of “alignment,” “integration,” and “interface quality” are not always defined consistently across studies, which means that some variation in interpretation is unavoidable. For this reason, the review does not attempt a meta-analysis or statistical effect-size comparison. Instead, it provides an interpretive synthesis of the most relevant and methodologically credible studies. Even with these limitations, the use of a structured search strategy, transparent screening criteria, documented data extraction, and thematic coding framework improves the reliability, clarity, and academic quality of the review. Overall, this methodology is appropriate for an assignment that seeks to combine theory, evidence, and real-world business relevance in explaining how coordinated sales and marketing strategies contribute to sustainable growth in modern organizations (Page et al., 2021; Snyder, 2019; </w:t>
      </w:r>
      <w:proofErr w:type="spellStart"/>
      <w:r w:rsidRPr="006C42C9">
        <w:rPr>
          <w:rFonts w:ascii="Times New Roman" w:hAnsi="Times New Roman" w:cs="Times New Roman"/>
          <w:color w:val="000000" w:themeColor="text1"/>
          <w:szCs w:val="24"/>
        </w:rPr>
        <w:t>Tranfield</w:t>
      </w:r>
      <w:proofErr w:type="spellEnd"/>
      <w:r w:rsidRPr="006C42C9">
        <w:rPr>
          <w:rFonts w:ascii="Times New Roman" w:hAnsi="Times New Roman" w:cs="Times New Roman"/>
          <w:color w:val="000000" w:themeColor="text1"/>
          <w:szCs w:val="24"/>
        </w:rPr>
        <w:t xml:space="preserve"> et al., 2003). </w:t>
      </w:r>
    </w:p>
    <w:p w14:paraId="5231EA1F" w14:textId="1596AB81" w:rsidR="00A1182A" w:rsidRDefault="00A1182A" w:rsidP="006C42C9">
      <w:pPr>
        <w:spacing w:line="480" w:lineRule="auto"/>
        <w:rPr>
          <w:rStyle w:val="Heading1Char"/>
          <w:rFonts w:ascii="Times New Roman" w:hAnsi="Times New Roman" w:cs="Times New Roman"/>
          <w:b/>
          <w:bCs/>
          <w:color w:val="000000" w:themeColor="text1"/>
          <w:sz w:val="24"/>
          <w:szCs w:val="24"/>
        </w:rPr>
      </w:pPr>
    </w:p>
    <w:p w14:paraId="3885067D" w14:textId="77777777" w:rsidR="006C42C9" w:rsidRDefault="006C42C9" w:rsidP="006C42C9">
      <w:pPr>
        <w:spacing w:line="480" w:lineRule="auto"/>
        <w:rPr>
          <w:rStyle w:val="Heading1Char"/>
          <w:rFonts w:ascii="Times New Roman" w:hAnsi="Times New Roman" w:cs="Times New Roman"/>
          <w:b/>
          <w:bCs/>
          <w:color w:val="000000" w:themeColor="text1"/>
          <w:sz w:val="24"/>
          <w:szCs w:val="24"/>
        </w:rPr>
      </w:pPr>
    </w:p>
    <w:p w14:paraId="34B2C9C0" w14:textId="77777777" w:rsidR="006C42C9" w:rsidRDefault="006C42C9" w:rsidP="006C42C9">
      <w:pPr>
        <w:spacing w:line="480" w:lineRule="auto"/>
        <w:rPr>
          <w:rStyle w:val="Heading1Char"/>
          <w:rFonts w:ascii="Times New Roman" w:hAnsi="Times New Roman" w:cs="Times New Roman"/>
          <w:b/>
          <w:bCs/>
          <w:color w:val="000000" w:themeColor="text1"/>
          <w:sz w:val="24"/>
          <w:szCs w:val="24"/>
        </w:rPr>
      </w:pPr>
    </w:p>
    <w:p w14:paraId="7D813C70" w14:textId="77777777" w:rsidR="006C42C9" w:rsidRDefault="006C42C9" w:rsidP="006C42C9">
      <w:pPr>
        <w:spacing w:line="480" w:lineRule="auto"/>
        <w:rPr>
          <w:rStyle w:val="Heading1Char"/>
          <w:rFonts w:ascii="Times New Roman" w:hAnsi="Times New Roman" w:cs="Times New Roman"/>
          <w:b/>
          <w:bCs/>
          <w:color w:val="000000" w:themeColor="text1"/>
          <w:sz w:val="24"/>
          <w:szCs w:val="24"/>
        </w:rPr>
      </w:pPr>
    </w:p>
    <w:p w14:paraId="1635DA71" w14:textId="77777777" w:rsidR="006C42C9" w:rsidRDefault="006C42C9" w:rsidP="006C42C9">
      <w:pPr>
        <w:spacing w:line="480" w:lineRule="auto"/>
        <w:rPr>
          <w:rStyle w:val="Heading1Char"/>
          <w:rFonts w:ascii="Times New Roman" w:hAnsi="Times New Roman" w:cs="Times New Roman"/>
          <w:b/>
          <w:bCs/>
          <w:color w:val="000000" w:themeColor="text1"/>
          <w:sz w:val="24"/>
          <w:szCs w:val="24"/>
        </w:rPr>
      </w:pPr>
    </w:p>
    <w:p w14:paraId="36EE0564" w14:textId="77777777" w:rsidR="006C42C9" w:rsidRDefault="006C42C9" w:rsidP="006C42C9">
      <w:pPr>
        <w:spacing w:line="480" w:lineRule="auto"/>
        <w:rPr>
          <w:rStyle w:val="Heading1Char"/>
          <w:rFonts w:ascii="Times New Roman" w:hAnsi="Times New Roman" w:cs="Times New Roman"/>
          <w:b/>
          <w:bCs/>
          <w:color w:val="000000" w:themeColor="text1"/>
          <w:sz w:val="24"/>
          <w:szCs w:val="24"/>
        </w:rPr>
      </w:pPr>
    </w:p>
    <w:p w14:paraId="2B89CE2A" w14:textId="77777777" w:rsidR="006C42C9" w:rsidRDefault="006C42C9" w:rsidP="006C42C9">
      <w:pPr>
        <w:spacing w:line="480" w:lineRule="auto"/>
        <w:rPr>
          <w:rStyle w:val="Heading1Char"/>
          <w:rFonts w:ascii="Times New Roman" w:hAnsi="Times New Roman" w:cs="Times New Roman"/>
          <w:b/>
          <w:bCs/>
          <w:color w:val="000000" w:themeColor="text1"/>
          <w:sz w:val="24"/>
          <w:szCs w:val="24"/>
        </w:rPr>
      </w:pPr>
    </w:p>
    <w:p w14:paraId="661C67A4" w14:textId="77777777" w:rsidR="006C42C9" w:rsidRDefault="006C42C9" w:rsidP="006C42C9">
      <w:pPr>
        <w:spacing w:line="480" w:lineRule="auto"/>
        <w:rPr>
          <w:rStyle w:val="Heading1Char"/>
          <w:rFonts w:ascii="Times New Roman" w:hAnsi="Times New Roman" w:cs="Times New Roman"/>
          <w:b/>
          <w:bCs/>
          <w:color w:val="000000" w:themeColor="text1"/>
          <w:sz w:val="24"/>
          <w:szCs w:val="24"/>
        </w:rPr>
      </w:pPr>
    </w:p>
    <w:p w14:paraId="06578EB9" w14:textId="77777777" w:rsidR="006C42C9" w:rsidRPr="006C42C9" w:rsidRDefault="006C42C9" w:rsidP="006C42C9">
      <w:pPr>
        <w:spacing w:line="480" w:lineRule="auto"/>
        <w:rPr>
          <w:rStyle w:val="Heading1Char"/>
          <w:rFonts w:ascii="Times New Roman" w:hAnsi="Times New Roman" w:cs="Times New Roman"/>
          <w:b/>
          <w:bCs/>
          <w:color w:val="000000" w:themeColor="text1"/>
          <w:sz w:val="24"/>
          <w:szCs w:val="24"/>
        </w:rPr>
      </w:pPr>
    </w:p>
    <w:p w14:paraId="6E8EB176" w14:textId="77777777" w:rsidR="006C42C9" w:rsidRPr="006C42C9" w:rsidRDefault="006C42C9" w:rsidP="006C42C9">
      <w:pPr>
        <w:spacing w:line="480" w:lineRule="auto"/>
        <w:rPr>
          <w:rStyle w:val="Heading1Char"/>
          <w:rFonts w:ascii="Times New Roman" w:hAnsi="Times New Roman" w:cs="Times New Roman"/>
          <w:b/>
          <w:bCs/>
          <w:color w:val="000000" w:themeColor="text1"/>
          <w:sz w:val="24"/>
          <w:szCs w:val="24"/>
        </w:rPr>
      </w:pPr>
    </w:p>
    <w:p w14:paraId="5FEF8C7D"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r w:rsidRPr="006C42C9">
        <w:rPr>
          <w:rStyle w:val="Heading1Char"/>
          <w:rFonts w:ascii="Times New Roman" w:hAnsi="Times New Roman" w:cs="Times New Roman"/>
          <w:b/>
          <w:bCs/>
          <w:color w:val="000000" w:themeColor="text1"/>
          <w:sz w:val="24"/>
          <w:szCs w:val="24"/>
        </w:rPr>
        <w:lastRenderedPageBreak/>
        <w:t>4. Findings</w:t>
      </w:r>
    </w:p>
    <w:p w14:paraId="0330B833" w14:textId="77777777" w:rsidR="0054320F" w:rsidRPr="0054320F" w:rsidRDefault="0054320F" w:rsidP="0054320F">
      <w:pPr>
        <w:spacing w:line="480" w:lineRule="auto"/>
        <w:rPr>
          <w:rFonts w:ascii="Times New Roman" w:eastAsiaTheme="majorEastAsia" w:hAnsi="Times New Roman" w:cs="Times New Roman"/>
          <w:b/>
          <w:bCs/>
          <w:color w:val="000000" w:themeColor="text1"/>
          <w:szCs w:val="24"/>
        </w:rPr>
      </w:pPr>
      <w:r w:rsidRPr="0054320F">
        <w:rPr>
          <w:rFonts w:ascii="Times New Roman" w:eastAsiaTheme="majorEastAsia" w:hAnsi="Times New Roman" w:cs="Times New Roman"/>
          <w:b/>
          <w:bCs/>
          <w:color w:val="000000" w:themeColor="text1"/>
          <w:szCs w:val="24"/>
        </w:rPr>
        <w:t>Integration of Sales and Marketing Strategies in Modern Business</w:t>
      </w:r>
    </w:p>
    <w:p w14:paraId="7F1730AD"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The integration of sales and marketing strategies has become a critical factor in achieving sustainable business growth in modern organizations. Traditionally, sales and marketing operated as separate functions, often leading to misalignment, inefficiencies, and missed opportunities. However, contemporary research emphasizes that aligning these functions enhances organizational performance, customer acquisition, and retention (Biemans et al., 2022).</w:t>
      </w:r>
    </w:p>
    <w:p w14:paraId="37B346E0"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 xml:space="preserve">Effective integration begins with shared goals, unified communication systems, and aligned performance metrics. Organizations that integrate sales and marketing typically develop a common understanding of customer needs and market dynamics. This alignment ensures that marketing generates high-quality leads while sales effectively </w:t>
      </w:r>
      <w:proofErr w:type="gramStart"/>
      <w:r w:rsidRPr="0054320F">
        <w:rPr>
          <w:rFonts w:ascii="Times New Roman" w:eastAsiaTheme="majorEastAsia" w:hAnsi="Times New Roman" w:cs="Times New Roman"/>
          <w:color w:val="000000" w:themeColor="text1"/>
          <w:szCs w:val="24"/>
        </w:rPr>
        <w:t>converts</w:t>
      </w:r>
      <w:proofErr w:type="gramEnd"/>
      <w:r w:rsidRPr="0054320F">
        <w:rPr>
          <w:rFonts w:ascii="Times New Roman" w:eastAsiaTheme="majorEastAsia" w:hAnsi="Times New Roman" w:cs="Times New Roman"/>
          <w:color w:val="000000" w:themeColor="text1"/>
          <w:szCs w:val="24"/>
        </w:rPr>
        <w:t xml:space="preserve"> them into customers. According to </w:t>
      </w:r>
      <w:proofErr w:type="spellStart"/>
      <w:r w:rsidRPr="0054320F">
        <w:rPr>
          <w:rFonts w:ascii="Times New Roman" w:eastAsiaTheme="majorEastAsia" w:hAnsi="Times New Roman" w:cs="Times New Roman"/>
          <w:color w:val="000000" w:themeColor="text1"/>
          <w:szCs w:val="24"/>
        </w:rPr>
        <w:t>Rouziès</w:t>
      </w:r>
      <w:proofErr w:type="spellEnd"/>
      <w:r w:rsidRPr="0054320F">
        <w:rPr>
          <w:rFonts w:ascii="Times New Roman" w:eastAsiaTheme="majorEastAsia" w:hAnsi="Times New Roman" w:cs="Times New Roman"/>
          <w:color w:val="000000" w:themeColor="text1"/>
          <w:szCs w:val="24"/>
        </w:rPr>
        <w:t xml:space="preserve"> et al. (2005), alignment between sales and marketing improves market intelligence sharing and reduces functional conflict, leading to better decision-making and improved business outcomes.</w:t>
      </w:r>
    </w:p>
    <w:p w14:paraId="73B2CAAD"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One of the key benefits of integration is improved customer acquisition. When marketing and sales collaborate, organizations can create more targeted campaigns and personalized customer experiences. Marketing teams use data analytics to identify potential customers, while sales teams provide real-time feedback on customer interactions. This feedback loop enhances targeting accuracy and increases conversion rates. Furthermore, integrated strategies allow firms to implement omnichannel approaches, ensuring consistent messaging across multiple touchpoints, which significantly boosts customer engagement and acquisition.</w:t>
      </w:r>
    </w:p>
    <w:p w14:paraId="2D163DBE"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lastRenderedPageBreak/>
        <w:t>Another major advantage is enhanced customer retention. Integrated sales and marketing functions enable organizations to maintain long-term relationships with customers through coordinated communication strategies. For example, marketing can design loyalty programs based on insights gathered by sales teams, while sales can use marketing content to nurture existing clients. Studies show that organizations with strong sales-marketing alignment achieve higher customer satisfaction and retention rates due to consistent and value-driven interactions (Le Meunier-</w:t>
      </w:r>
      <w:proofErr w:type="spellStart"/>
      <w:r w:rsidRPr="0054320F">
        <w:rPr>
          <w:rFonts w:ascii="Times New Roman" w:eastAsiaTheme="majorEastAsia" w:hAnsi="Times New Roman" w:cs="Times New Roman"/>
          <w:color w:val="000000" w:themeColor="text1"/>
          <w:szCs w:val="24"/>
        </w:rPr>
        <w:t>FitzHugh</w:t>
      </w:r>
      <w:proofErr w:type="spellEnd"/>
      <w:r w:rsidRPr="0054320F">
        <w:rPr>
          <w:rFonts w:ascii="Times New Roman" w:eastAsiaTheme="majorEastAsia" w:hAnsi="Times New Roman" w:cs="Times New Roman"/>
          <w:color w:val="000000" w:themeColor="text1"/>
          <w:szCs w:val="24"/>
        </w:rPr>
        <w:t xml:space="preserve"> &amp; Piercy, 2007).</w:t>
      </w:r>
    </w:p>
    <w:p w14:paraId="494B7545"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Despite these benefits, several challenges hinder effective integration. One major challenge is organizational silos, where departments operate independently with different objectives and incentives. Sales teams often focus on short-term revenue targets, while marketing prioritizes long-term brand building. This misalignment can lead to conflicts and reduced collaboration. Additionally, differences in performance metrics and communication gaps further exacerbate the issue. Biemans et al. (2022) highlight that lack of trust and unclear role definitions are significant barriers to integration.</w:t>
      </w:r>
    </w:p>
    <w:p w14:paraId="6EDEAA56"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Another challenge is technological misalignment. While many organizations adopt Customer Relationship Management (CRM) and marketing automation tools, ineffective integration of these systems can limit information sharing. Without a unified data platform, sales and marketing teams may rely on inconsistent data, leading to poor decision-making. Moreover, resistance to change among employees can slow down integration efforts, especially in organizations with deeply entrenched traditional structures.</w:t>
      </w:r>
    </w:p>
    <w:p w14:paraId="6F399003"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 xml:space="preserve">To overcome these challenges, organizations must adopt cross-functional collaboration strategies. First, establishing shared objectives and key performance indicators (KPIs) is essential. Both sales and marketing should be evaluated based on common goals such as revenue </w:t>
      </w:r>
      <w:r w:rsidRPr="0054320F">
        <w:rPr>
          <w:rFonts w:ascii="Times New Roman" w:eastAsiaTheme="majorEastAsia" w:hAnsi="Times New Roman" w:cs="Times New Roman"/>
          <w:color w:val="000000" w:themeColor="text1"/>
          <w:szCs w:val="24"/>
        </w:rPr>
        <w:lastRenderedPageBreak/>
        <w:t>growth, lead conversion rates, and customer lifetime value. This alignment fosters accountability and encourages collaboration.</w:t>
      </w:r>
    </w:p>
    <w:p w14:paraId="0E56BD27"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Second, organizations should implement integrated technology platforms. CRM systems combined with marketing automation tools enable seamless data sharing and real-time insights. This integration ensures that both teams have access to accurate customer information, facilitating better coordination and decision-making. Additionally, regular interdepartmental meetings and joint planning sessions can improve communication and build trust between teams.</w:t>
      </w:r>
    </w:p>
    <w:p w14:paraId="30A33099"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Third, fostering a collaborative organizational culture is crucial. Leadership plays a significant role in promoting integration by encouraging teamwork and reducing departmental silos. Training programs and cross-functional teams can help employees understand each other's roles and develop a shared perspective on organizational goals.</w:t>
      </w:r>
    </w:p>
    <w:p w14:paraId="7F8C3698"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Several leading companies provide examples of successful integration. For instance, IBM has effectively aligned its sales and marketing functions through data-driven strategies and integrated digital platforms. By leveraging advanced analytics and account-based marketing, IBM ensures that both teams work collaboratively to target high-value clients. Similarly, HubSpot demonstrates strong integration by offering a unified platform that combines marketing automation and sales CRM, enabling seamless collaboration and improved customer engagement.</w:t>
      </w:r>
    </w:p>
    <w:p w14:paraId="41175D54" w14:textId="77777777" w:rsidR="0054320F" w:rsidRPr="0054320F" w:rsidRDefault="0054320F" w:rsidP="0054320F">
      <w:pPr>
        <w:spacing w:line="480" w:lineRule="auto"/>
        <w:rPr>
          <w:rFonts w:ascii="Times New Roman" w:eastAsiaTheme="majorEastAsia" w:hAnsi="Times New Roman" w:cs="Times New Roman"/>
          <w:color w:val="000000" w:themeColor="text1"/>
          <w:szCs w:val="24"/>
        </w:rPr>
      </w:pPr>
      <w:r w:rsidRPr="0054320F">
        <w:rPr>
          <w:rFonts w:ascii="Times New Roman" w:eastAsiaTheme="majorEastAsia" w:hAnsi="Times New Roman" w:cs="Times New Roman"/>
          <w:color w:val="000000" w:themeColor="text1"/>
          <w:szCs w:val="24"/>
        </w:rPr>
        <w:t xml:space="preserve">In conclusion, integrating sales and marketing strategies is essential for driving business growth in modern organizations. While the benefits include improved customer acquisition, enhanced retention, and better organizational performance, challenges such as silos, misaligned objectives, and technological barriers must be addressed. By adopting shared goals, integrated technologies, </w:t>
      </w:r>
      <w:r w:rsidRPr="0054320F">
        <w:rPr>
          <w:rFonts w:ascii="Times New Roman" w:eastAsiaTheme="majorEastAsia" w:hAnsi="Times New Roman" w:cs="Times New Roman"/>
          <w:color w:val="000000" w:themeColor="text1"/>
          <w:szCs w:val="24"/>
        </w:rPr>
        <w:lastRenderedPageBreak/>
        <w:t>and a collaborative culture, organizations can successfully align sales and marketing functions and achieve sustainable competitive advantage.</w:t>
      </w:r>
    </w:p>
    <w:p w14:paraId="12A2C884" w14:textId="77777777" w:rsidR="00A1182A" w:rsidRPr="006C42C9" w:rsidRDefault="00A1182A" w:rsidP="00A1182A">
      <w:pPr>
        <w:spacing w:line="480" w:lineRule="auto"/>
        <w:rPr>
          <w:rStyle w:val="Heading1Char"/>
          <w:rFonts w:ascii="Times New Roman" w:hAnsi="Times New Roman" w:cs="Times New Roman"/>
          <w:b/>
          <w:bCs/>
          <w:color w:val="000000" w:themeColor="text1"/>
          <w:sz w:val="24"/>
          <w:szCs w:val="24"/>
        </w:rPr>
      </w:pPr>
    </w:p>
    <w:p w14:paraId="637BB730" w14:textId="77777777" w:rsidR="0054320F" w:rsidRPr="0054320F" w:rsidRDefault="00A1182A" w:rsidP="0054320F">
      <w:pPr>
        <w:spacing w:line="480" w:lineRule="auto"/>
        <w:rPr>
          <w:rFonts w:cs="Times New Roman"/>
          <w:color w:val="000000" w:themeColor="text1"/>
          <w:szCs w:val="24"/>
        </w:rPr>
      </w:pPr>
      <w:r w:rsidRPr="006C42C9">
        <w:rPr>
          <w:rStyle w:val="Heading1Char"/>
          <w:rFonts w:ascii="Times New Roman" w:hAnsi="Times New Roman" w:cs="Times New Roman"/>
          <w:b/>
          <w:bCs/>
          <w:color w:val="000000" w:themeColor="text1"/>
          <w:sz w:val="24"/>
          <w:szCs w:val="24"/>
        </w:rPr>
        <w:t>5. Discussion</w:t>
      </w:r>
      <w:bookmarkEnd w:id="4"/>
      <w:r w:rsidRPr="006C42C9">
        <w:rPr>
          <w:rFonts w:ascii="Times New Roman" w:hAnsi="Times New Roman" w:cs="Times New Roman"/>
          <w:color w:val="000000" w:themeColor="text1"/>
          <w:szCs w:val="24"/>
        </w:rPr>
        <w:t xml:space="preserve"> </w:t>
      </w:r>
      <w:r w:rsidRPr="006C42C9">
        <w:rPr>
          <w:rFonts w:ascii="Times New Roman" w:hAnsi="Times New Roman" w:cs="Times New Roman"/>
          <w:color w:val="000000" w:themeColor="text1"/>
          <w:szCs w:val="24"/>
        </w:rPr>
        <w:br/>
      </w:r>
      <w:bookmarkStart w:id="5" w:name="_Toc215261176"/>
      <w:r w:rsidR="0054320F" w:rsidRPr="0054320F">
        <w:rPr>
          <w:rFonts w:cs="Times New Roman"/>
          <w:color w:val="000000" w:themeColor="text1"/>
          <w:szCs w:val="24"/>
        </w:rPr>
        <w:t>The integration of sales and marketing functions represents a strategic shift from traditional organizational structures toward a more customer-centric approach. In modern business environments characterized by intense competition and rapidly changing customer expectations, firms can no longer afford fragmented operations between these two critical functions. Instead, the discussion around integration emphasizes synergy, shared accountability, and the creation of unified value for customers.</w:t>
      </w:r>
    </w:p>
    <w:p w14:paraId="1C2F8DFF"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t xml:space="preserve">A key theme in the literature is that integration enhances organizational effectiveness by aligning both teams around common objectives. When sales and marketing operate cohesively, they can jointly define target markets, develop consistent messaging, and ensure that leads generated by marketing are effectively nurtured and converted by sales. This alignment reduces inefficiencies such as duplicated efforts or miscommunication. </w:t>
      </w:r>
      <w:proofErr w:type="spellStart"/>
      <w:r w:rsidRPr="0054320F">
        <w:rPr>
          <w:rFonts w:ascii="Times New Roman" w:hAnsi="Times New Roman" w:cs="Times New Roman"/>
          <w:color w:val="000000" w:themeColor="text1"/>
          <w:szCs w:val="24"/>
        </w:rPr>
        <w:t>Rouziès</w:t>
      </w:r>
      <w:proofErr w:type="spellEnd"/>
      <w:r w:rsidRPr="0054320F">
        <w:rPr>
          <w:rFonts w:ascii="Times New Roman" w:hAnsi="Times New Roman" w:cs="Times New Roman"/>
          <w:color w:val="000000" w:themeColor="text1"/>
          <w:szCs w:val="24"/>
        </w:rPr>
        <w:t xml:space="preserve"> et al. (2005) argue that integrated processes enable better information flow, which is essential for understanding customer needs and responding quickly to market changes. As a result, organizations can improve both strategic planning and operational execution.</w:t>
      </w:r>
    </w:p>
    <w:p w14:paraId="67673624"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t xml:space="preserve">Another important discussion point is the role of data and technology in facilitating integration. Digital transformation has significantly altered how sales and marketing interact. Tools such as Customer Relationship Management (CRM) systems and marketing automation platforms allow for real-time data sharing, enabling both teams to track customer journeys and engagement </w:t>
      </w:r>
      <w:r w:rsidRPr="0054320F">
        <w:rPr>
          <w:rFonts w:ascii="Times New Roman" w:hAnsi="Times New Roman" w:cs="Times New Roman"/>
          <w:color w:val="000000" w:themeColor="text1"/>
          <w:szCs w:val="24"/>
        </w:rPr>
        <w:lastRenderedPageBreak/>
        <w:t>patterns. This shared visibility supports more personalized and targeted interactions, which are critical for both acquisition and retention. Biemans et al. (2022) highlight that organizations leveraging integrated data systems are better positioned to deliver consistent customer experiences across multiple channels.</w:t>
      </w:r>
    </w:p>
    <w:p w14:paraId="7D95005B"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t>However, despite the clear benefits, achieving effective integration remains challenging. Organizational culture plays a significant role in either enabling or hindering collaboration. Sales and marketing teams often have different mindsets—sales being more transaction-focused and marketing being more strategy-oriented. These differences can create tension and resistance to collaboration. Le Meunier-</w:t>
      </w:r>
      <w:proofErr w:type="spellStart"/>
      <w:r w:rsidRPr="0054320F">
        <w:rPr>
          <w:rFonts w:ascii="Times New Roman" w:hAnsi="Times New Roman" w:cs="Times New Roman"/>
          <w:color w:val="000000" w:themeColor="text1"/>
          <w:szCs w:val="24"/>
        </w:rPr>
        <w:t>FitzHugh</w:t>
      </w:r>
      <w:proofErr w:type="spellEnd"/>
      <w:r w:rsidRPr="0054320F">
        <w:rPr>
          <w:rFonts w:ascii="Times New Roman" w:hAnsi="Times New Roman" w:cs="Times New Roman"/>
          <w:color w:val="000000" w:themeColor="text1"/>
          <w:szCs w:val="24"/>
        </w:rPr>
        <w:t xml:space="preserve"> and Piercy (2007) note that without strong leadership and clear communication, these cultural barriers can prevent successful integration, even when structural systems are in place.</w:t>
      </w:r>
    </w:p>
    <w:p w14:paraId="583B97DF"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t>Furthermore, the discussion also highlights the importance of leadership in driving integration. Leaders must actively promote collaboration by establishing shared goals, aligning incentives, and encouraging cross-functional teamwork. For instance, when both departments are evaluated based on common metrics such as revenue growth or customer lifetime value, they are more likely to work together effectively. Leadership commitment also helps in breaking down silos and fostering a culture of trust and cooperation.</w:t>
      </w:r>
    </w:p>
    <w:p w14:paraId="013E26C0"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t>Cross-functional collaboration emerges as a critical enabler of integration. Organizations that encourage joint planning sessions, shared training programs, and regular communication between teams tend to achieve better results. These practices not only improve coordination but also enhance mutual understanding of roles and responsibilities. Over time, this leads to stronger relationships between departments and more effective execution of integrated strategies.</w:t>
      </w:r>
    </w:p>
    <w:p w14:paraId="486133F8"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lastRenderedPageBreak/>
        <w:t>Additionally, the discussion extends to the impact of integration on customer experience. In today’s market, customers expect seamless interactions with organizations across all touchpoints. Misalignment between sales and marketing can result in inconsistent messaging, which negatively affects customer perception and trust. Conversely, integrated efforts ensure that customers receive coherent and value-driven communication throughout their journey. This consistency strengthens brand loyalty and increases the likelihood of repeat business.</w:t>
      </w:r>
    </w:p>
    <w:p w14:paraId="54138EFB"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t>Examples from leading companies further reinforce these points. Firms like HubSpot and IBM demonstrate how integration, supported by technology and data analytics, can drive business success. Their approaches show that when sales and marketing share insights and collaborate closely, organizations can better identify opportunities, respond to customer needs, and maintain competitive advantage.</w:t>
      </w:r>
    </w:p>
    <w:p w14:paraId="0D6108FB" w14:textId="77777777" w:rsidR="0054320F" w:rsidRPr="0054320F" w:rsidRDefault="0054320F" w:rsidP="0054320F">
      <w:pPr>
        <w:spacing w:line="480" w:lineRule="auto"/>
        <w:rPr>
          <w:rFonts w:ascii="Times New Roman" w:hAnsi="Times New Roman" w:cs="Times New Roman"/>
          <w:color w:val="000000" w:themeColor="text1"/>
          <w:szCs w:val="24"/>
        </w:rPr>
      </w:pPr>
      <w:r w:rsidRPr="0054320F">
        <w:rPr>
          <w:rFonts w:ascii="Times New Roman" w:hAnsi="Times New Roman" w:cs="Times New Roman"/>
          <w:color w:val="000000" w:themeColor="text1"/>
          <w:szCs w:val="24"/>
        </w:rPr>
        <w:t>In conclusion, the discussion on integrating sales and marketing strategies underscores its importance as a driver of business growth and customer satisfaction. While challenges such as cultural differences and organizational silos persist, they can be addressed through strong leadership, shared goals, and effective use of technology. Ultimately, organizations that successfully integrate these functions are better equipped to deliver superior value to customers and achieve long-term success.</w:t>
      </w:r>
    </w:p>
    <w:p w14:paraId="46049D59" w14:textId="77777777" w:rsidR="0054320F" w:rsidRDefault="0054320F" w:rsidP="0054320F">
      <w:pPr>
        <w:spacing w:line="480" w:lineRule="auto"/>
        <w:rPr>
          <w:rStyle w:val="Heading1Char"/>
          <w:rFonts w:ascii="Times New Roman" w:hAnsi="Times New Roman" w:cs="Times New Roman"/>
          <w:b/>
          <w:bCs/>
          <w:color w:val="000000" w:themeColor="text1"/>
          <w:sz w:val="24"/>
          <w:szCs w:val="24"/>
        </w:rPr>
      </w:pPr>
    </w:p>
    <w:p w14:paraId="5CAC2E3B" w14:textId="77777777" w:rsidR="0054320F" w:rsidRDefault="0054320F" w:rsidP="0054320F">
      <w:pPr>
        <w:spacing w:line="480" w:lineRule="auto"/>
        <w:rPr>
          <w:rStyle w:val="Heading1Char"/>
          <w:rFonts w:ascii="Times New Roman" w:hAnsi="Times New Roman" w:cs="Times New Roman"/>
          <w:b/>
          <w:bCs/>
          <w:color w:val="000000" w:themeColor="text1"/>
          <w:sz w:val="24"/>
          <w:szCs w:val="24"/>
        </w:rPr>
      </w:pPr>
    </w:p>
    <w:p w14:paraId="5F618336" w14:textId="77777777" w:rsidR="0054320F" w:rsidRDefault="0054320F" w:rsidP="0054320F">
      <w:pPr>
        <w:spacing w:line="480" w:lineRule="auto"/>
        <w:rPr>
          <w:rStyle w:val="Heading1Char"/>
          <w:rFonts w:ascii="Times New Roman" w:hAnsi="Times New Roman" w:cs="Times New Roman"/>
          <w:b/>
          <w:bCs/>
          <w:color w:val="000000" w:themeColor="text1"/>
          <w:sz w:val="24"/>
          <w:szCs w:val="24"/>
        </w:rPr>
      </w:pPr>
    </w:p>
    <w:p w14:paraId="2BA163DC" w14:textId="77777777" w:rsidR="0054320F" w:rsidRDefault="0054320F" w:rsidP="0054320F">
      <w:pPr>
        <w:spacing w:line="480" w:lineRule="auto"/>
        <w:rPr>
          <w:rStyle w:val="Heading1Char"/>
          <w:rFonts w:ascii="Times New Roman" w:hAnsi="Times New Roman" w:cs="Times New Roman"/>
          <w:b/>
          <w:bCs/>
          <w:color w:val="000000" w:themeColor="text1"/>
          <w:sz w:val="24"/>
          <w:szCs w:val="24"/>
        </w:rPr>
      </w:pPr>
    </w:p>
    <w:p w14:paraId="305DEF6A" w14:textId="77777777" w:rsidR="00B904E7" w:rsidRPr="00B904E7" w:rsidRDefault="00A1182A" w:rsidP="00B904E7">
      <w:pPr>
        <w:spacing w:line="480" w:lineRule="auto"/>
        <w:rPr>
          <w:rFonts w:cs="Times New Roman"/>
          <w:color w:val="000000" w:themeColor="text1"/>
          <w:szCs w:val="24"/>
        </w:rPr>
      </w:pPr>
      <w:r w:rsidRPr="006C42C9">
        <w:rPr>
          <w:rStyle w:val="Heading1Char"/>
          <w:rFonts w:ascii="Times New Roman" w:hAnsi="Times New Roman" w:cs="Times New Roman"/>
          <w:b/>
          <w:bCs/>
          <w:color w:val="000000" w:themeColor="text1"/>
          <w:sz w:val="24"/>
          <w:szCs w:val="24"/>
        </w:rPr>
        <w:lastRenderedPageBreak/>
        <w:t>6. Conclusion</w:t>
      </w:r>
      <w:bookmarkEnd w:id="5"/>
      <w:r w:rsidRPr="006C42C9">
        <w:rPr>
          <w:rFonts w:ascii="Times New Roman" w:hAnsi="Times New Roman" w:cs="Times New Roman"/>
          <w:b/>
          <w:bCs/>
          <w:color w:val="000000" w:themeColor="text1"/>
          <w:szCs w:val="24"/>
        </w:rPr>
        <w:t xml:space="preserve"> </w:t>
      </w:r>
      <w:r w:rsidRPr="006C42C9">
        <w:rPr>
          <w:rFonts w:ascii="Times New Roman" w:hAnsi="Times New Roman" w:cs="Times New Roman"/>
          <w:color w:val="000000" w:themeColor="text1"/>
          <w:szCs w:val="24"/>
        </w:rPr>
        <w:br/>
      </w:r>
      <w:r w:rsidR="00B904E7" w:rsidRPr="00B904E7">
        <w:rPr>
          <w:rFonts w:cs="Times New Roman"/>
          <w:color w:val="000000" w:themeColor="text1"/>
          <w:szCs w:val="24"/>
        </w:rPr>
        <w:t>In conclusion, the integration of sales and marketing strategies has become a fundamental requirement for organizations seeking sustainable growth and competitive advantage in today’s dynamic business environment. The traditional separation between these two functions is increasingly being replaced by a more collaborative and aligned approach, driven by the need to deliver consistent and customer-centric experiences. As discussed, organizations that successfully integrate sales and marketing are better positioned to enhance performance, improve customer acquisition, and strengthen long-term customer relationships.</w:t>
      </w:r>
    </w:p>
    <w:p w14:paraId="1EB67CB1"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t xml:space="preserve">One of the most significant takeaways is that integration is not merely a structural adjustment but a strategic transformation. It requires organizations to rethink how value is created and delivered to customers. By aligning goals, processes, and communication, businesses can ensure that both sales and marketing teams work toward a shared vision. This alignment reduces inefficiencies, eliminates conflicts, and enhances the overall effectiveness of organizational strategies. As highlighted by </w:t>
      </w:r>
      <w:proofErr w:type="spellStart"/>
      <w:r w:rsidRPr="00B904E7">
        <w:rPr>
          <w:rFonts w:ascii="Times New Roman" w:hAnsi="Times New Roman" w:cs="Times New Roman"/>
          <w:color w:val="000000" w:themeColor="text1"/>
          <w:szCs w:val="24"/>
        </w:rPr>
        <w:t>Rouziès</w:t>
      </w:r>
      <w:proofErr w:type="spellEnd"/>
      <w:r w:rsidRPr="00B904E7">
        <w:rPr>
          <w:rFonts w:ascii="Times New Roman" w:hAnsi="Times New Roman" w:cs="Times New Roman"/>
          <w:color w:val="000000" w:themeColor="text1"/>
          <w:szCs w:val="24"/>
        </w:rPr>
        <w:t xml:space="preserve"> et al. (2005), the synergy between these functions improves information sharing and decision-making, which ultimately contributes to superior business outcomes.</w:t>
      </w:r>
    </w:p>
    <w:p w14:paraId="59DA5B34"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t xml:space="preserve">Moreover, the role of technology cannot be overlooked in enabling this integration. The adoption of CRM systems, marketing automation tools, and data analytics platforms has revolutionized how sales and marketing interact. These technologies provide a unified view of the customer, allowing organizations to track </w:t>
      </w:r>
      <w:proofErr w:type="spellStart"/>
      <w:r w:rsidRPr="00B904E7">
        <w:rPr>
          <w:rFonts w:ascii="Times New Roman" w:hAnsi="Times New Roman" w:cs="Times New Roman"/>
          <w:color w:val="000000" w:themeColor="text1"/>
          <w:szCs w:val="24"/>
        </w:rPr>
        <w:t>behaviors</w:t>
      </w:r>
      <w:proofErr w:type="spellEnd"/>
      <w:r w:rsidRPr="00B904E7">
        <w:rPr>
          <w:rFonts w:ascii="Times New Roman" w:hAnsi="Times New Roman" w:cs="Times New Roman"/>
          <w:color w:val="000000" w:themeColor="text1"/>
          <w:szCs w:val="24"/>
        </w:rPr>
        <w:t xml:space="preserve">, preferences, and engagement across multiple channels. As a result, companies can design more personalized and targeted strategies that resonate with customers. Biemans et al. (2022) emphasize that data-driven integration enhances both efficiency </w:t>
      </w:r>
      <w:r w:rsidRPr="00B904E7">
        <w:rPr>
          <w:rFonts w:ascii="Times New Roman" w:hAnsi="Times New Roman" w:cs="Times New Roman"/>
          <w:color w:val="000000" w:themeColor="text1"/>
          <w:szCs w:val="24"/>
        </w:rPr>
        <w:lastRenderedPageBreak/>
        <w:t>and effectiveness, enabling organizations to respond quickly to market changes and customer needs.</w:t>
      </w:r>
    </w:p>
    <w:p w14:paraId="28E9CFFB"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t>Another critical aspect of integration is its impact on customer experience. In an era where customers expect seamless interactions across all touchpoints, the alignment of sales and marketing ensures consistency in messaging and service delivery. This consistency builds trust, enhances customer satisfaction, and increases loyalty. Integrated strategies allow organizations to move beyond transactional relationships and focus on creating long-term value for customers. Consequently, businesses that prioritize integration are more likely to achieve higher retention rates and stronger brand equity.</w:t>
      </w:r>
    </w:p>
    <w:p w14:paraId="2CDC8DDA"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t>However, it is also evident that achieving effective integration is not without challenges. Organizational silos, cultural differences, and misaligned incentives continue to hinder collaboration between sales and marketing teams. These challenges highlight the importance of leadership in driving change. Leaders must actively promote a culture of collaboration by establishing shared goals, aligning performance metrics, and encouraging open communication. Le Meunier-</w:t>
      </w:r>
      <w:proofErr w:type="spellStart"/>
      <w:r w:rsidRPr="00B904E7">
        <w:rPr>
          <w:rFonts w:ascii="Times New Roman" w:hAnsi="Times New Roman" w:cs="Times New Roman"/>
          <w:color w:val="000000" w:themeColor="text1"/>
          <w:szCs w:val="24"/>
        </w:rPr>
        <w:t>FitzHugh</w:t>
      </w:r>
      <w:proofErr w:type="spellEnd"/>
      <w:r w:rsidRPr="00B904E7">
        <w:rPr>
          <w:rFonts w:ascii="Times New Roman" w:hAnsi="Times New Roman" w:cs="Times New Roman"/>
          <w:color w:val="000000" w:themeColor="text1"/>
          <w:szCs w:val="24"/>
        </w:rPr>
        <w:t xml:space="preserve"> and Piercy (2007) suggest that leadership commitment is essential in overcoming resistance and fostering trust between departments.</w:t>
      </w:r>
    </w:p>
    <w:p w14:paraId="243AAA7B"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t>Furthermore, cross-functional collaboration plays a vital role in sustaining integration efforts. Regular interaction between sales and marketing teams, joint planning sessions, and shared training initiatives can significantly enhance coordination and mutual understanding. These practices help bridge the gap between strategic planning and execution, ensuring that both teams contribute effectively to organizational objectives. Over time, such collaboration leads to a more cohesive and agile organization capable of adapting to changing market conditions.</w:t>
      </w:r>
    </w:p>
    <w:p w14:paraId="79AAF2B1"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lastRenderedPageBreak/>
        <w:t>The examples of leading companies such as IBM and HubSpot demonstrate that successful integration is achievable when supported by the right strategies, technologies, and organizational culture. These companies have shown that aligning sales and marketing not only improves internal efficiency but also drives innovation and growth. Their success serves as a valuable benchmark for other organizations aiming to implement similar strategies.</w:t>
      </w:r>
    </w:p>
    <w:p w14:paraId="2E2D717B"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t>Ultimately, the integration of sales and marketing is not a one-time initiative but an ongoing process that requires continuous evaluation and improvement. Organizations must remain flexible and responsive to evolving market trends, technological advancements, and customer expectations. By maintaining a strong focus on collaboration, data-driven decision-making, and customer-centricity, businesses can ensure that their integration efforts remain effective and relevant.</w:t>
      </w:r>
    </w:p>
    <w:p w14:paraId="206734DB" w14:textId="77777777" w:rsidR="00B904E7" w:rsidRPr="00B904E7" w:rsidRDefault="00B904E7" w:rsidP="00B904E7">
      <w:pPr>
        <w:spacing w:line="480" w:lineRule="auto"/>
        <w:rPr>
          <w:rFonts w:ascii="Times New Roman" w:hAnsi="Times New Roman" w:cs="Times New Roman"/>
          <w:color w:val="000000" w:themeColor="text1"/>
          <w:szCs w:val="24"/>
        </w:rPr>
      </w:pPr>
      <w:r w:rsidRPr="00B904E7">
        <w:rPr>
          <w:rFonts w:ascii="Times New Roman" w:hAnsi="Times New Roman" w:cs="Times New Roman"/>
          <w:color w:val="000000" w:themeColor="text1"/>
          <w:szCs w:val="24"/>
        </w:rPr>
        <w:t>In summary, integrating sales and marketing strategies is essential for modern organizations striving to achieve sustainable growth and competitive advantage. While challenges exist, they can be effectively managed through strong leadership, shared objectives, and the strategic use of technology. Organizations that embrace this integration will not only enhance their operational performance but also create meaningful and lasting relationships with their customers, ensuring long-term success in an increasingly complex business landscape.</w:t>
      </w:r>
    </w:p>
    <w:p w14:paraId="04F631F9" w14:textId="32637FBD" w:rsidR="00A1182A" w:rsidRDefault="00A1182A" w:rsidP="00B904E7">
      <w:pPr>
        <w:spacing w:line="480" w:lineRule="auto"/>
        <w:rPr>
          <w:rFonts w:ascii="Times New Roman" w:hAnsi="Times New Roman" w:cs="Times New Roman"/>
          <w:color w:val="000000" w:themeColor="text1"/>
          <w:szCs w:val="24"/>
          <w:lang w:val="en-US"/>
        </w:rPr>
      </w:pPr>
    </w:p>
    <w:p w14:paraId="66696C33" w14:textId="77777777" w:rsidR="00B904E7" w:rsidRDefault="00B904E7" w:rsidP="00B904E7">
      <w:pPr>
        <w:spacing w:line="480" w:lineRule="auto"/>
        <w:rPr>
          <w:rFonts w:ascii="Times New Roman" w:hAnsi="Times New Roman" w:cs="Times New Roman"/>
          <w:color w:val="000000" w:themeColor="text1"/>
          <w:szCs w:val="24"/>
          <w:lang w:val="en-US"/>
        </w:rPr>
      </w:pPr>
    </w:p>
    <w:p w14:paraId="4E7791AC" w14:textId="77777777" w:rsidR="00B904E7" w:rsidRDefault="00B904E7" w:rsidP="00B904E7">
      <w:pPr>
        <w:spacing w:line="480" w:lineRule="auto"/>
        <w:rPr>
          <w:rFonts w:ascii="Times New Roman" w:hAnsi="Times New Roman" w:cs="Times New Roman"/>
          <w:color w:val="000000" w:themeColor="text1"/>
          <w:szCs w:val="24"/>
          <w:lang w:val="en-US"/>
        </w:rPr>
      </w:pPr>
    </w:p>
    <w:p w14:paraId="0C32C3DB" w14:textId="77777777" w:rsidR="00B904E7" w:rsidRPr="006C42C9" w:rsidRDefault="00B904E7" w:rsidP="00B904E7">
      <w:pPr>
        <w:spacing w:line="480" w:lineRule="auto"/>
        <w:rPr>
          <w:rFonts w:ascii="Times New Roman" w:hAnsi="Times New Roman" w:cs="Times New Roman"/>
          <w:color w:val="000000" w:themeColor="text1"/>
          <w:szCs w:val="24"/>
          <w:lang w:val="en-US"/>
        </w:rPr>
      </w:pPr>
    </w:p>
    <w:p w14:paraId="73E7C1DF" w14:textId="77777777" w:rsidR="00A1182A" w:rsidRPr="006C42C9" w:rsidRDefault="00A1182A" w:rsidP="00A1182A">
      <w:pPr>
        <w:pStyle w:val="Heading1"/>
        <w:spacing w:line="480" w:lineRule="auto"/>
        <w:rPr>
          <w:rFonts w:ascii="Times New Roman" w:hAnsi="Times New Roman" w:cs="Times New Roman"/>
          <w:b/>
          <w:bCs/>
          <w:color w:val="000000" w:themeColor="text1"/>
          <w:sz w:val="24"/>
          <w:szCs w:val="24"/>
        </w:rPr>
      </w:pPr>
      <w:bookmarkStart w:id="6" w:name="_Toc215261177"/>
      <w:r w:rsidRPr="006C42C9">
        <w:rPr>
          <w:rFonts w:ascii="Times New Roman" w:hAnsi="Times New Roman" w:cs="Times New Roman"/>
          <w:b/>
          <w:bCs/>
          <w:color w:val="000000" w:themeColor="text1"/>
          <w:sz w:val="24"/>
          <w:szCs w:val="24"/>
        </w:rPr>
        <w:lastRenderedPageBreak/>
        <w:t>Reference List</w:t>
      </w:r>
      <w:bookmarkEnd w:id="6"/>
      <w:r w:rsidRPr="006C42C9">
        <w:rPr>
          <w:rFonts w:ascii="Times New Roman" w:hAnsi="Times New Roman" w:cs="Times New Roman"/>
          <w:b/>
          <w:bCs/>
          <w:color w:val="000000" w:themeColor="text1"/>
          <w:sz w:val="24"/>
          <w:szCs w:val="24"/>
        </w:rPr>
        <w:t xml:space="preserve"> </w:t>
      </w:r>
    </w:p>
    <w:p w14:paraId="7AEBB8D2" w14:textId="77777777" w:rsidR="00B904E7" w:rsidRPr="00B904E7" w:rsidRDefault="00B904E7" w:rsidP="00B904E7">
      <w:pPr>
        <w:spacing w:line="480" w:lineRule="auto"/>
        <w:rPr>
          <w:rFonts w:ascii="Times New Roman" w:hAnsi="Times New Roman" w:cs="Times New Roman"/>
          <w:szCs w:val="24"/>
        </w:rPr>
      </w:pPr>
      <w:r w:rsidRPr="00B904E7">
        <w:rPr>
          <w:rFonts w:ascii="Times New Roman" w:hAnsi="Times New Roman" w:cs="Times New Roman"/>
          <w:szCs w:val="24"/>
        </w:rPr>
        <w:t xml:space="preserve">Braun, V., &amp; Clarke, V. (2006). Using thematic analysis in psychology. </w:t>
      </w:r>
      <w:r w:rsidRPr="00B904E7">
        <w:rPr>
          <w:rFonts w:ascii="Times New Roman" w:hAnsi="Times New Roman" w:cs="Times New Roman"/>
          <w:i/>
          <w:iCs/>
          <w:szCs w:val="24"/>
        </w:rPr>
        <w:t>Qualitative Research in Psychology, 3</w:t>
      </w:r>
      <w:r w:rsidRPr="00B904E7">
        <w:rPr>
          <w:rFonts w:ascii="Times New Roman" w:hAnsi="Times New Roman" w:cs="Times New Roman"/>
          <w:szCs w:val="24"/>
        </w:rPr>
        <w:t xml:space="preserve">(2), 77–101. </w:t>
      </w:r>
      <w:hyperlink r:id="rId6" w:tgtFrame="_new" w:history="1">
        <w:r w:rsidRPr="00B904E7">
          <w:rPr>
            <w:rStyle w:val="Hyperlink"/>
            <w:rFonts w:ascii="Times New Roman" w:hAnsi="Times New Roman" w:cs="Times New Roman"/>
            <w:szCs w:val="24"/>
          </w:rPr>
          <w:t>https://doi.org/10.1191/1478088706qp063oa</w:t>
        </w:r>
      </w:hyperlink>
      <w:r w:rsidRPr="00B904E7">
        <w:rPr>
          <w:rFonts w:ascii="Times New Roman" w:hAnsi="Times New Roman" w:cs="Times New Roman"/>
          <w:szCs w:val="24"/>
        </w:rPr>
        <w:t xml:space="preserve"> </w:t>
      </w:r>
    </w:p>
    <w:p w14:paraId="401E5AE8" w14:textId="77777777" w:rsidR="00B904E7" w:rsidRPr="00B904E7" w:rsidRDefault="00B904E7" w:rsidP="00B904E7">
      <w:pPr>
        <w:spacing w:line="480" w:lineRule="auto"/>
        <w:rPr>
          <w:rFonts w:ascii="Times New Roman" w:hAnsi="Times New Roman" w:cs="Times New Roman"/>
          <w:szCs w:val="24"/>
        </w:rPr>
      </w:pPr>
      <w:r w:rsidRPr="00B904E7">
        <w:rPr>
          <w:rFonts w:ascii="Times New Roman" w:hAnsi="Times New Roman" w:cs="Times New Roman"/>
          <w:szCs w:val="24"/>
        </w:rPr>
        <w:t xml:space="preserve">Page, M. J., McKenzie, J. E., Bossuyt, P. M., </w:t>
      </w:r>
      <w:proofErr w:type="spellStart"/>
      <w:r w:rsidRPr="00B904E7">
        <w:rPr>
          <w:rFonts w:ascii="Times New Roman" w:hAnsi="Times New Roman" w:cs="Times New Roman"/>
          <w:szCs w:val="24"/>
        </w:rPr>
        <w:t>Boutron</w:t>
      </w:r>
      <w:proofErr w:type="spellEnd"/>
      <w:r w:rsidRPr="00B904E7">
        <w:rPr>
          <w:rFonts w:ascii="Times New Roman" w:hAnsi="Times New Roman" w:cs="Times New Roman"/>
          <w:szCs w:val="24"/>
        </w:rPr>
        <w:t xml:space="preserve">, I., Hoffmann, T. C., Mulrow, C. D., </w:t>
      </w:r>
      <w:proofErr w:type="spellStart"/>
      <w:r w:rsidRPr="00B904E7">
        <w:rPr>
          <w:rFonts w:ascii="Times New Roman" w:hAnsi="Times New Roman" w:cs="Times New Roman"/>
          <w:szCs w:val="24"/>
        </w:rPr>
        <w:t>Shamseer</w:t>
      </w:r>
      <w:proofErr w:type="spellEnd"/>
      <w:r w:rsidRPr="00B904E7">
        <w:rPr>
          <w:rFonts w:ascii="Times New Roman" w:hAnsi="Times New Roman" w:cs="Times New Roman"/>
          <w:szCs w:val="24"/>
        </w:rPr>
        <w:t xml:space="preserve">, L., Tetzlaff, J. M., Akl, E. A., Brennan, S. E., Chou, R., Glanville, J., Grimshaw, J. M., Hróbjartsson, A., Lalu, M. M., Li, T., Loder, E. W., Mayo-Wilson, E., McDonald, S., ... Moher, D. (2021). The PRISMA 2020 statement: An updated guideline for systematic reviews. </w:t>
      </w:r>
      <w:r w:rsidRPr="00B904E7">
        <w:rPr>
          <w:rFonts w:ascii="Times New Roman" w:hAnsi="Times New Roman" w:cs="Times New Roman"/>
          <w:i/>
          <w:iCs/>
          <w:szCs w:val="24"/>
        </w:rPr>
        <w:t>PLOS Medicine, 18</w:t>
      </w:r>
      <w:r w:rsidRPr="00B904E7">
        <w:rPr>
          <w:rFonts w:ascii="Times New Roman" w:hAnsi="Times New Roman" w:cs="Times New Roman"/>
          <w:szCs w:val="24"/>
        </w:rPr>
        <w:t xml:space="preserve">(3), e1003583. </w:t>
      </w:r>
      <w:hyperlink r:id="rId7" w:tgtFrame="_new" w:history="1">
        <w:r w:rsidRPr="00B904E7">
          <w:rPr>
            <w:rStyle w:val="Hyperlink"/>
            <w:rFonts w:ascii="Times New Roman" w:hAnsi="Times New Roman" w:cs="Times New Roman"/>
            <w:szCs w:val="24"/>
          </w:rPr>
          <w:t>https://doi.org/10.1371/journal.pmed.1003583</w:t>
        </w:r>
      </w:hyperlink>
      <w:r w:rsidRPr="00B904E7">
        <w:rPr>
          <w:rFonts w:ascii="Times New Roman" w:hAnsi="Times New Roman" w:cs="Times New Roman"/>
          <w:szCs w:val="24"/>
        </w:rPr>
        <w:t xml:space="preserve"> </w:t>
      </w:r>
    </w:p>
    <w:p w14:paraId="6792519E" w14:textId="77777777" w:rsidR="00B904E7" w:rsidRPr="00B904E7" w:rsidRDefault="00B904E7" w:rsidP="00B904E7">
      <w:pPr>
        <w:spacing w:line="480" w:lineRule="auto"/>
        <w:rPr>
          <w:rFonts w:ascii="Times New Roman" w:hAnsi="Times New Roman" w:cs="Times New Roman"/>
          <w:szCs w:val="24"/>
        </w:rPr>
      </w:pPr>
      <w:r w:rsidRPr="00B904E7">
        <w:rPr>
          <w:rFonts w:ascii="Times New Roman" w:hAnsi="Times New Roman" w:cs="Times New Roman"/>
          <w:szCs w:val="24"/>
        </w:rPr>
        <w:t xml:space="preserve">Snyder, H. (2019). Literature review as a research methodology: An overview and guidelines. </w:t>
      </w:r>
      <w:r w:rsidRPr="00B904E7">
        <w:rPr>
          <w:rFonts w:ascii="Times New Roman" w:hAnsi="Times New Roman" w:cs="Times New Roman"/>
          <w:i/>
          <w:iCs/>
          <w:szCs w:val="24"/>
        </w:rPr>
        <w:t>Journal of Business Research, 104</w:t>
      </w:r>
      <w:r w:rsidRPr="00B904E7">
        <w:rPr>
          <w:rFonts w:ascii="Times New Roman" w:hAnsi="Times New Roman" w:cs="Times New Roman"/>
          <w:szCs w:val="24"/>
        </w:rPr>
        <w:t xml:space="preserve">, 333–339. </w:t>
      </w:r>
      <w:hyperlink r:id="rId8" w:tgtFrame="_new" w:history="1">
        <w:r w:rsidRPr="00B904E7">
          <w:rPr>
            <w:rStyle w:val="Hyperlink"/>
            <w:rFonts w:ascii="Times New Roman" w:hAnsi="Times New Roman" w:cs="Times New Roman"/>
            <w:szCs w:val="24"/>
          </w:rPr>
          <w:t>https://doi.org/10.1016/j.jbusres.2019.07.039</w:t>
        </w:r>
      </w:hyperlink>
      <w:r w:rsidRPr="00B904E7">
        <w:rPr>
          <w:rFonts w:ascii="Times New Roman" w:hAnsi="Times New Roman" w:cs="Times New Roman"/>
          <w:szCs w:val="24"/>
        </w:rPr>
        <w:t xml:space="preserve"> </w:t>
      </w:r>
    </w:p>
    <w:p w14:paraId="73520458" w14:textId="77777777" w:rsidR="00B904E7" w:rsidRPr="00B904E7" w:rsidRDefault="00B904E7" w:rsidP="00B904E7">
      <w:pPr>
        <w:spacing w:line="480" w:lineRule="auto"/>
        <w:rPr>
          <w:rFonts w:ascii="Times New Roman" w:hAnsi="Times New Roman" w:cs="Times New Roman"/>
          <w:szCs w:val="24"/>
        </w:rPr>
      </w:pPr>
      <w:proofErr w:type="spellStart"/>
      <w:r w:rsidRPr="00B904E7">
        <w:rPr>
          <w:rFonts w:ascii="Times New Roman" w:hAnsi="Times New Roman" w:cs="Times New Roman"/>
          <w:szCs w:val="24"/>
        </w:rPr>
        <w:t>Tranfield</w:t>
      </w:r>
      <w:proofErr w:type="spellEnd"/>
      <w:r w:rsidRPr="00B904E7">
        <w:rPr>
          <w:rFonts w:ascii="Times New Roman" w:hAnsi="Times New Roman" w:cs="Times New Roman"/>
          <w:szCs w:val="24"/>
        </w:rPr>
        <w:t xml:space="preserve">, D., Denyer, D., &amp; Smart, P. (2003). Towards a methodology for developing evidence-informed management knowledge by means of systematic review. </w:t>
      </w:r>
      <w:r w:rsidRPr="00B904E7">
        <w:rPr>
          <w:rFonts w:ascii="Times New Roman" w:hAnsi="Times New Roman" w:cs="Times New Roman"/>
          <w:i/>
          <w:iCs/>
          <w:szCs w:val="24"/>
        </w:rPr>
        <w:t>British Journal of Management, 14</w:t>
      </w:r>
      <w:r w:rsidRPr="00B904E7">
        <w:rPr>
          <w:rFonts w:ascii="Times New Roman" w:hAnsi="Times New Roman" w:cs="Times New Roman"/>
          <w:szCs w:val="24"/>
        </w:rPr>
        <w:t xml:space="preserve">(3), 207–222. </w:t>
      </w:r>
      <w:hyperlink r:id="rId9" w:tgtFrame="_new" w:history="1">
        <w:r w:rsidRPr="00B904E7">
          <w:rPr>
            <w:rStyle w:val="Hyperlink"/>
            <w:rFonts w:ascii="Times New Roman" w:hAnsi="Times New Roman" w:cs="Times New Roman"/>
            <w:szCs w:val="24"/>
          </w:rPr>
          <w:t>https://doi.org/10.1111/1467-8551.00375</w:t>
        </w:r>
      </w:hyperlink>
      <w:r w:rsidRPr="00B904E7">
        <w:rPr>
          <w:rFonts w:ascii="Times New Roman" w:hAnsi="Times New Roman" w:cs="Times New Roman"/>
          <w:szCs w:val="24"/>
        </w:rPr>
        <w:t xml:space="preserve"> </w:t>
      </w:r>
    </w:p>
    <w:p w14:paraId="2C7D9E07" w14:textId="77777777" w:rsidR="00B904E7" w:rsidRPr="00B904E7" w:rsidRDefault="00B904E7" w:rsidP="00B904E7">
      <w:pPr>
        <w:spacing w:line="480" w:lineRule="auto"/>
        <w:rPr>
          <w:rFonts w:ascii="Times New Roman" w:hAnsi="Times New Roman" w:cs="Times New Roman"/>
          <w:szCs w:val="24"/>
        </w:rPr>
      </w:pPr>
      <w:r w:rsidRPr="00B904E7">
        <w:rPr>
          <w:rFonts w:ascii="Times New Roman" w:hAnsi="Times New Roman" w:cs="Times New Roman"/>
          <w:szCs w:val="24"/>
        </w:rPr>
        <w:t xml:space="preserve">Webster, J., &amp; Watson, R. T. (2002). </w:t>
      </w:r>
      <w:proofErr w:type="spellStart"/>
      <w:r w:rsidRPr="00B904E7">
        <w:rPr>
          <w:rFonts w:ascii="Times New Roman" w:hAnsi="Times New Roman" w:cs="Times New Roman"/>
          <w:szCs w:val="24"/>
        </w:rPr>
        <w:t>Analyzing</w:t>
      </w:r>
      <w:proofErr w:type="spellEnd"/>
      <w:r w:rsidRPr="00B904E7">
        <w:rPr>
          <w:rFonts w:ascii="Times New Roman" w:hAnsi="Times New Roman" w:cs="Times New Roman"/>
          <w:szCs w:val="24"/>
        </w:rPr>
        <w:t xml:space="preserve"> the past to prepare for the future: Writing a literature review. </w:t>
      </w:r>
      <w:r w:rsidRPr="00B904E7">
        <w:rPr>
          <w:rFonts w:ascii="Times New Roman" w:hAnsi="Times New Roman" w:cs="Times New Roman"/>
          <w:i/>
          <w:iCs/>
          <w:szCs w:val="24"/>
        </w:rPr>
        <w:t>MIS Quarterly, 26</w:t>
      </w:r>
      <w:r w:rsidRPr="00B904E7">
        <w:rPr>
          <w:rFonts w:ascii="Times New Roman" w:hAnsi="Times New Roman" w:cs="Times New Roman"/>
          <w:szCs w:val="24"/>
        </w:rPr>
        <w:t xml:space="preserve">(2), xiii–xxiii. https://doi.org/10.2307/4132319 </w:t>
      </w:r>
    </w:p>
    <w:p w14:paraId="6A244855" w14:textId="77777777" w:rsidR="00B904E7" w:rsidRPr="00B904E7" w:rsidRDefault="00B904E7" w:rsidP="00B904E7">
      <w:pPr>
        <w:spacing w:line="480" w:lineRule="auto"/>
        <w:rPr>
          <w:rFonts w:ascii="Times New Roman" w:hAnsi="Times New Roman" w:cs="Times New Roman"/>
          <w:szCs w:val="24"/>
        </w:rPr>
      </w:pPr>
      <w:r w:rsidRPr="00B904E7">
        <w:rPr>
          <w:rFonts w:ascii="Times New Roman" w:hAnsi="Times New Roman" w:cs="Times New Roman"/>
          <w:szCs w:val="24"/>
        </w:rPr>
        <w:t xml:space="preserve">Whittemore, R., &amp; </w:t>
      </w:r>
      <w:proofErr w:type="spellStart"/>
      <w:r w:rsidRPr="00B904E7">
        <w:rPr>
          <w:rFonts w:ascii="Times New Roman" w:hAnsi="Times New Roman" w:cs="Times New Roman"/>
          <w:szCs w:val="24"/>
        </w:rPr>
        <w:t>Knafl</w:t>
      </w:r>
      <w:proofErr w:type="spellEnd"/>
      <w:r w:rsidRPr="00B904E7">
        <w:rPr>
          <w:rFonts w:ascii="Times New Roman" w:hAnsi="Times New Roman" w:cs="Times New Roman"/>
          <w:szCs w:val="24"/>
        </w:rPr>
        <w:t xml:space="preserve">, K. (2005). The integrative review: Updated methodology. </w:t>
      </w:r>
      <w:r w:rsidRPr="00B904E7">
        <w:rPr>
          <w:rFonts w:ascii="Times New Roman" w:hAnsi="Times New Roman" w:cs="Times New Roman"/>
          <w:i/>
          <w:iCs/>
          <w:szCs w:val="24"/>
        </w:rPr>
        <w:t>Journal of Advanced Nursing, 52</w:t>
      </w:r>
      <w:r w:rsidRPr="00B904E7">
        <w:rPr>
          <w:rFonts w:ascii="Times New Roman" w:hAnsi="Times New Roman" w:cs="Times New Roman"/>
          <w:szCs w:val="24"/>
        </w:rPr>
        <w:t xml:space="preserve">(5), 546–553. </w:t>
      </w:r>
      <w:hyperlink r:id="rId10" w:tgtFrame="_new" w:history="1">
        <w:r w:rsidRPr="00B904E7">
          <w:rPr>
            <w:rStyle w:val="Hyperlink"/>
            <w:rFonts w:ascii="Times New Roman" w:hAnsi="Times New Roman" w:cs="Times New Roman"/>
            <w:szCs w:val="24"/>
          </w:rPr>
          <w:t>https://doi.org/10.1111/j.1365-2648.2005.03621.x</w:t>
        </w:r>
      </w:hyperlink>
      <w:r w:rsidRPr="00B904E7">
        <w:rPr>
          <w:rFonts w:ascii="Times New Roman" w:hAnsi="Times New Roman" w:cs="Times New Roman"/>
          <w:szCs w:val="24"/>
        </w:rPr>
        <w:t xml:space="preserve"> </w:t>
      </w:r>
    </w:p>
    <w:p w14:paraId="5FFEED6D" w14:textId="77777777" w:rsidR="004843B8" w:rsidRPr="004843B8" w:rsidRDefault="004843B8" w:rsidP="004843B8">
      <w:pPr>
        <w:spacing w:line="480" w:lineRule="auto"/>
        <w:rPr>
          <w:rFonts w:ascii="Times New Roman" w:hAnsi="Times New Roman" w:cs="Times New Roman"/>
          <w:szCs w:val="24"/>
        </w:rPr>
      </w:pPr>
      <w:r w:rsidRPr="004843B8">
        <w:rPr>
          <w:rFonts w:ascii="Times New Roman" w:hAnsi="Times New Roman" w:cs="Times New Roman"/>
          <w:szCs w:val="24"/>
        </w:rPr>
        <w:t xml:space="preserve">Biemans, W. G., Malshe, A., &amp; Johnson, J. S. (2022). </w:t>
      </w:r>
      <w:r w:rsidRPr="004843B8">
        <w:rPr>
          <w:rFonts w:ascii="Times New Roman" w:hAnsi="Times New Roman" w:cs="Times New Roman"/>
          <w:i/>
          <w:iCs/>
          <w:szCs w:val="24"/>
        </w:rPr>
        <w:t>The sales–marketing interface: A systematic literature review and directions for future research</w:t>
      </w:r>
      <w:r w:rsidRPr="004843B8">
        <w:rPr>
          <w:rFonts w:ascii="Times New Roman" w:hAnsi="Times New Roman" w:cs="Times New Roman"/>
          <w:szCs w:val="24"/>
        </w:rPr>
        <w:t xml:space="preserve">. </w:t>
      </w:r>
      <w:r w:rsidRPr="004843B8">
        <w:rPr>
          <w:rFonts w:ascii="Times New Roman" w:hAnsi="Times New Roman" w:cs="Times New Roman"/>
          <w:b/>
          <w:bCs/>
          <w:szCs w:val="24"/>
        </w:rPr>
        <w:t>Industrial Marketing Management, 102</w:t>
      </w:r>
      <w:r w:rsidRPr="004843B8">
        <w:rPr>
          <w:rFonts w:ascii="Times New Roman" w:hAnsi="Times New Roman" w:cs="Times New Roman"/>
          <w:szCs w:val="24"/>
        </w:rPr>
        <w:t xml:space="preserve">, 324–337. </w:t>
      </w:r>
      <w:hyperlink r:id="rId11" w:tgtFrame="_new" w:history="1">
        <w:r w:rsidRPr="004843B8">
          <w:rPr>
            <w:rStyle w:val="Hyperlink"/>
            <w:rFonts w:ascii="Times New Roman" w:hAnsi="Times New Roman" w:cs="Times New Roman"/>
            <w:szCs w:val="24"/>
          </w:rPr>
          <w:t>https://doi.org/10.1016/j.indmarman.2022.02.001</w:t>
        </w:r>
      </w:hyperlink>
      <w:r w:rsidRPr="004843B8">
        <w:rPr>
          <w:rFonts w:ascii="Times New Roman" w:hAnsi="Times New Roman" w:cs="Times New Roman"/>
          <w:szCs w:val="24"/>
        </w:rPr>
        <w:t xml:space="preserve"> </w:t>
      </w:r>
    </w:p>
    <w:p w14:paraId="51E76296" w14:textId="77777777" w:rsidR="004843B8" w:rsidRPr="004843B8" w:rsidRDefault="004843B8" w:rsidP="004843B8">
      <w:pPr>
        <w:spacing w:line="480" w:lineRule="auto"/>
        <w:rPr>
          <w:rFonts w:ascii="Times New Roman" w:hAnsi="Times New Roman" w:cs="Times New Roman"/>
          <w:szCs w:val="24"/>
        </w:rPr>
      </w:pPr>
      <w:proofErr w:type="spellStart"/>
      <w:r w:rsidRPr="004843B8">
        <w:rPr>
          <w:rFonts w:ascii="Times New Roman" w:hAnsi="Times New Roman" w:cs="Times New Roman"/>
          <w:szCs w:val="24"/>
        </w:rPr>
        <w:lastRenderedPageBreak/>
        <w:t>Rouziès</w:t>
      </w:r>
      <w:proofErr w:type="spellEnd"/>
      <w:r w:rsidRPr="004843B8">
        <w:rPr>
          <w:rFonts w:ascii="Times New Roman" w:hAnsi="Times New Roman" w:cs="Times New Roman"/>
          <w:szCs w:val="24"/>
        </w:rPr>
        <w:t xml:space="preserve">, D., Anderson, E., Kohli, A. K., Michaels, R. E., Weitz, B. A., &amp; </w:t>
      </w:r>
      <w:proofErr w:type="spellStart"/>
      <w:r w:rsidRPr="004843B8">
        <w:rPr>
          <w:rFonts w:ascii="Times New Roman" w:hAnsi="Times New Roman" w:cs="Times New Roman"/>
          <w:szCs w:val="24"/>
        </w:rPr>
        <w:t>Zoltners</w:t>
      </w:r>
      <w:proofErr w:type="spellEnd"/>
      <w:r w:rsidRPr="004843B8">
        <w:rPr>
          <w:rFonts w:ascii="Times New Roman" w:hAnsi="Times New Roman" w:cs="Times New Roman"/>
          <w:szCs w:val="24"/>
        </w:rPr>
        <w:t xml:space="preserve">, A. A. (2005). </w:t>
      </w:r>
      <w:r w:rsidRPr="004843B8">
        <w:rPr>
          <w:rFonts w:ascii="Times New Roman" w:hAnsi="Times New Roman" w:cs="Times New Roman"/>
          <w:i/>
          <w:iCs/>
          <w:szCs w:val="24"/>
        </w:rPr>
        <w:t>Sales and marketing integration: A proposed framework</w:t>
      </w:r>
      <w:r w:rsidRPr="004843B8">
        <w:rPr>
          <w:rFonts w:ascii="Times New Roman" w:hAnsi="Times New Roman" w:cs="Times New Roman"/>
          <w:szCs w:val="24"/>
        </w:rPr>
        <w:t xml:space="preserve">. </w:t>
      </w:r>
      <w:r w:rsidRPr="004843B8">
        <w:rPr>
          <w:rFonts w:ascii="Times New Roman" w:hAnsi="Times New Roman" w:cs="Times New Roman"/>
          <w:b/>
          <w:bCs/>
          <w:szCs w:val="24"/>
        </w:rPr>
        <w:t>Journal of Personal Selling &amp; Sales Management, 25</w:t>
      </w:r>
      <w:r w:rsidRPr="004843B8">
        <w:rPr>
          <w:rFonts w:ascii="Times New Roman" w:hAnsi="Times New Roman" w:cs="Times New Roman"/>
          <w:szCs w:val="24"/>
        </w:rPr>
        <w:t xml:space="preserve">(2), 113–122. https://doi.org/10.1080/08853134.2005.10749053 </w:t>
      </w:r>
    </w:p>
    <w:p w14:paraId="34BDF53A" w14:textId="77777777" w:rsidR="004843B8" w:rsidRPr="004843B8" w:rsidRDefault="004843B8" w:rsidP="004843B8">
      <w:pPr>
        <w:spacing w:line="480" w:lineRule="auto"/>
        <w:rPr>
          <w:rFonts w:ascii="Times New Roman" w:hAnsi="Times New Roman" w:cs="Times New Roman"/>
          <w:szCs w:val="24"/>
        </w:rPr>
      </w:pPr>
      <w:r w:rsidRPr="004843B8">
        <w:rPr>
          <w:rFonts w:ascii="Times New Roman" w:hAnsi="Times New Roman" w:cs="Times New Roman"/>
          <w:szCs w:val="24"/>
        </w:rPr>
        <w:t>Le Meunier-</w:t>
      </w:r>
      <w:proofErr w:type="spellStart"/>
      <w:r w:rsidRPr="004843B8">
        <w:rPr>
          <w:rFonts w:ascii="Times New Roman" w:hAnsi="Times New Roman" w:cs="Times New Roman"/>
          <w:szCs w:val="24"/>
        </w:rPr>
        <w:t>FitzHugh</w:t>
      </w:r>
      <w:proofErr w:type="spellEnd"/>
      <w:r w:rsidRPr="004843B8">
        <w:rPr>
          <w:rFonts w:ascii="Times New Roman" w:hAnsi="Times New Roman" w:cs="Times New Roman"/>
          <w:szCs w:val="24"/>
        </w:rPr>
        <w:t xml:space="preserve">, K., &amp; Piercy, N. F. (2007). </w:t>
      </w:r>
      <w:r w:rsidRPr="004843B8">
        <w:rPr>
          <w:rFonts w:ascii="Times New Roman" w:hAnsi="Times New Roman" w:cs="Times New Roman"/>
          <w:i/>
          <w:iCs/>
          <w:szCs w:val="24"/>
        </w:rPr>
        <w:t>Does collaboration between sales and marketing affect business performance?</w:t>
      </w:r>
      <w:r w:rsidRPr="004843B8">
        <w:rPr>
          <w:rFonts w:ascii="Times New Roman" w:hAnsi="Times New Roman" w:cs="Times New Roman"/>
          <w:szCs w:val="24"/>
        </w:rPr>
        <w:t xml:space="preserve"> </w:t>
      </w:r>
      <w:r w:rsidRPr="004843B8">
        <w:rPr>
          <w:rFonts w:ascii="Times New Roman" w:hAnsi="Times New Roman" w:cs="Times New Roman"/>
          <w:b/>
          <w:bCs/>
          <w:szCs w:val="24"/>
        </w:rPr>
        <w:t>Journal of Personal Selling &amp; Sales Management, 27</w:t>
      </w:r>
      <w:r w:rsidRPr="004843B8">
        <w:rPr>
          <w:rFonts w:ascii="Times New Roman" w:hAnsi="Times New Roman" w:cs="Times New Roman"/>
          <w:szCs w:val="24"/>
        </w:rPr>
        <w:t>(3), 207–220. https://doi.org/10.2753/PSS0885-3134270301</w:t>
      </w:r>
    </w:p>
    <w:p w14:paraId="767578A6" w14:textId="77777777" w:rsidR="004843B8" w:rsidRPr="004843B8" w:rsidRDefault="004843B8" w:rsidP="004843B8">
      <w:pPr>
        <w:spacing w:line="480" w:lineRule="auto"/>
        <w:rPr>
          <w:rFonts w:ascii="Times New Roman" w:hAnsi="Times New Roman" w:cs="Times New Roman"/>
          <w:szCs w:val="24"/>
        </w:rPr>
      </w:pPr>
      <w:r w:rsidRPr="004843B8">
        <w:rPr>
          <w:rFonts w:ascii="Times New Roman" w:hAnsi="Times New Roman" w:cs="Times New Roman"/>
          <w:szCs w:val="24"/>
        </w:rPr>
        <w:t xml:space="preserve">Dewsnap, B., &amp; Jobber, D. (2000). </w:t>
      </w:r>
      <w:r w:rsidRPr="004843B8">
        <w:rPr>
          <w:rFonts w:ascii="Times New Roman" w:hAnsi="Times New Roman" w:cs="Times New Roman"/>
          <w:i/>
          <w:iCs/>
          <w:szCs w:val="24"/>
        </w:rPr>
        <w:t xml:space="preserve">The sales–marketing interface in </w:t>
      </w:r>
      <w:proofErr w:type="gramStart"/>
      <w:r w:rsidRPr="004843B8">
        <w:rPr>
          <w:rFonts w:ascii="Times New Roman" w:hAnsi="Times New Roman" w:cs="Times New Roman"/>
          <w:i/>
          <w:iCs/>
          <w:szCs w:val="24"/>
        </w:rPr>
        <w:t>consumer packaged</w:t>
      </w:r>
      <w:proofErr w:type="gramEnd"/>
      <w:r w:rsidRPr="004843B8">
        <w:rPr>
          <w:rFonts w:ascii="Times New Roman" w:hAnsi="Times New Roman" w:cs="Times New Roman"/>
          <w:i/>
          <w:iCs/>
          <w:szCs w:val="24"/>
        </w:rPr>
        <w:t xml:space="preserve"> goods companies: A conceptual framework</w:t>
      </w:r>
      <w:r w:rsidRPr="004843B8">
        <w:rPr>
          <w:rFonts w:ascii="Times New Roman" w:hAnsi="Times New Roman" w:cs="Times New Roman"/>
          <w:szCs w:val="24"/>
        </w:rPr>
        <w:t xml:space="preserve">. </w:t>
      </w:r>
      <w:r w:rsidRPr="004843B8">
        <w:rPr>
          <w:rFonts w:ascii="Times New Roman" w:hAnsi="Times New Roman" w:cs="Times New Roman"/>
          <w:b/>
          <w:bCs/>
          <w:szCs w:val="24"/>
        </w:rPr>
        <w:t>Journal of Personal Selling &amp; Sales Management, 20</w:t>
      </w:r>
      <w:r w:rsidRPr="004843B8">
        <w:rPr>
          <w:rFonts w:ascii="Times New Roman" w:hAnsi="Times New Roman" w:cs="Times New Roman"/>
          <w:szCs w:val="24"/>
        </w:rPr>
        <w:t>(2), 109–119. https://doi.org/10.1080/08853134.2000.10754259</w:t>
      </w:r>
    </w:p>
    <w:p w14:paraId="13A27C8E" w14:textId="77777777" w:rsidR="004843B8" w:rsidRPr="004843B8" w:rsidRDefault="004843B8" w:rsidP="004843B8">
      <w:pPr>
        <w:spacing w:line="480" w:lineRule="auto"/>
        <w:rPr>
          <w:rFonts w:ascii="Times New Roman" w:hAnsi="Times New Roman" w:cs="Times New Roman"/>
          <w:szCs w:val="24"/>
        </w:rPr>
      </w:pPr>
      <w:r w:rsidRPr="004843B8">
        <w:rPr>
          <w:rFonts w:ascii="Times New Roman" w:hAnsi="Times New Roman" w:cs="Times New Roman"/>
          <w:szCs w:val="24"/>
        </w:rPr>
        <w:t xml:space="preserve">Kotler, P., Rackham, N., &amp; Krishnaswamy, S. (2006). </w:t>
      </w:r>
      <w:r w:rsidRPr="004843B8">
        <w:rPr>
          <w:rFonts w:ascii="Times New Roman" w:hAnsi="Times New Roman" w:cs="Times New Roman"/>
          <w:i/>
          <w:iCs/>
          <w:szCs w:val="24"/>
        </w:rPr>
        <w:t>Ending the war between sales and marketing</w:t>
      </w:r>
      <w:r w:rsidRPr="004843B8">
        <w:rPr>
          <w:rFonts w:ascii="Times New Roman" w:hAnsi="Times New Roman" w:cs="Times New Roman"/>
          <w:szCs w:val="24"/>
        </w:rPr>
        <w:t xml:space="preserve">. </w:t>
      </w:r>
      <w:r w:rsidRPr="004843B8">
        <w:rPr>
          <w:rFonts w:ascii="Times New Roman" w:hAnsi="Times New Roman" w:cs="Times New Roman"/>
          <w:b/>
          <w:bCs/>
          <w:szCs w:val="24"/>
        </w:rPr>
        <w:t>Harvard Business Review, 84</w:t>
      </w:r>
      <w:r w:rsidRPr="004843B8">
        <w:rPr>
          <w:rFonts w:ascii="Times New Roman" w:hAnsi="Times New Roman" w:cs="Times New Roman"/>
          <w:szCs w:val="24"/>
        </w:rPr>
        <w:t>(7/8), 68–78. https://doi.org/10.1108/10878570610678602</w:t>
      </w:r>
    </w:p>
    <w:p w14:paraId="72C108BD" w14:textId="77777777" w:rsidR="00B904E7" w:rsidRPr="006C42C9" w:rsidRDefault="00B904E7" w:rsidP="00B904E7">
      <w:pPr>
        <w:spacing w:line="480" w:lineRule="auto"/>
        <w:rPr>
          <w:rFonts w:ascii="Times New Roman" w:hAnsi="Times New Roman" w:cs="Times New Roman"/>
          <w:szCs w:val="24"/>
        </w:rPr>
      </w:pPr>
    </w:p>
    <w:sectPr w:rsidR="00B904E7" w:rsidRPr="006C42C9" w:rsidSect="00A118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B3640"/>
    <w:multiLevelType w:val="multilevel"/>
    <w:tmpl w:val="CCAA1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B01FC0"/>
    <w:multiLevelType w:val="multilevel"/>
    <w:tmpl w:val="7328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CF7259"/>
    <w:multiLevelType w:val="multilevel"/>
    <w:tmpl w:val="3B04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896844">
    <w:abstractNumId w:val="1"/>
  </w:num>
  <w:num w:numId="2" w16cid:durableId="1212768868">
    <w:abstractNumId w:val="0"/>
  </w:num>
  <w:num w:numId="3" w16cid:durableId="15463351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82A"/>
    <w:rsid w:val="00343DD3"/>
    <w:rsid w:val="004843B8"/>
    <w:rsid w:val="0054320F"/>
    <w:rsid w:val="006C42C9"/>
    <w:rsid w:val="00A1182A"/>
    <w:rsid w:val="00B904E7"/>
    <w:rsid w:val="00E0648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BBE24"/>
  <w15:chartTrackingRefBased/>
  <w15:docId w15:val="{7499EB04-4B7C-4BA5-B767-A25904E6A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82A"/>
  </w:style>
  <w:style w:type="paragraph" w:styleId="Heading1">
    <w:name w:val="heading 1"/>
    <w:basedOn w:val="Normal"/>
    <w:next w:val="Normal"/>
    <w:link w:val="Heading1Char"/>
    <w:uiPriority w:val="9"/>
    <w:qFormat/>
    <w:rsid w:val="00A1182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1182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1182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118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18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18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18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18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18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82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1182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1182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118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18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18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8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8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82A"/>
    <w:rPr>
      <w:rFonts w:eastAsiaTheme="majorEastAsia" w:cstheme="majorBidi"/>
      <w:color w:val="272727" w:themeColor="text1" w:themeTint="D8"/>
    </w:rPr>
  </w:style>
  <w:style w:type="paragraph" w:styleId="Title">
    <w:name w:val="Title"/>
    <w:basedOn w:val="Normal"/>
    <w:next w:val="Normal"/>
    <w:link w:val="TitleChar"/>
    <w:uiPriority w:val="10"/>
    <w:qFormat/>
    <w:rsid w:val="00A1182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1182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1182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1182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1182A"/>
    <w:pPr>
      <w:spacing w:before="160"/>
      <w:jc w:val="center"/>
    </w:pPr>
    <w:rPr>
      <w:i/>
      <w:iCs/>
      <w:color w:val="404040" w:themeColor="text1" w:themeTint="BF"/>
    </w:rPr>
  </w:style>
  <w:style w:type="character" w:customStyle="1" w:styleId="QuoteChar">
    <w:name w:val="Quote Char"/>
    <w:basedOn w:val="DefaultParagraphFont"/>
    <w:link w:val="Quote"/>
    <w:uiPriority w:val="29"/>
    <w:rsid w:val="00A1182A"/>
    <w:rPr>
      <w:i/>
      <w:iCs/>
      <w:color w:val="404040" w:themeColor="text1" w:themeTint="BF"/>
    </w:rPr>
  </w:style>
  <w:style w:type="paragraph" w:styleId="ListParagraph">
    <w:name w:val="List Paragraph"/>
    <w:basedOn w:val="Normal"/>
    <w:uiPriority w:val="34"/>
    <w:qFormat/>
    <w:rsid w:val="00A1182A"/>
    <w:pPr>
      <w:ind w:left="720"/>
      <w:contextualSpacing/>
    </w:pPr>
  </w:style>
  <w:style w:type="character" w:styleId="IntenseEmphasis">
    <w:name w:val="Intense Emphasis"/>
    <w:basedOn w:val="DefaultParagraphFont"/>
    <w:uiPriority w:val="21"/>
    <w:qFormat/>
    <w:rsid w:val="00A1182A"/>
    <w:rPr>
      <w:i/>
      <w:iCs/>
      <w:color w:val="0F4761" w:themeColor="accent1" w:themeShade="BF"/>
    </w:rPr>
  </w:style>
  <w:style w:type="paragraph" w:styleId="IntenseQuote">
    <w:name w:val="Intense Quote"/>
    <w:basedOn w:val="Normal"/>
    <w:next w:val="Normal"/>
    <w:link w:val="IntenseQuoteChar"/>
    <w:uiPriority w:val="30"/>
    <w:qFormat/>
    <w:rsid w:val="00A118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182A"/>
    <w:rPr>
      <w:i/>
      <w:iCs/>
      <w:color w:val="0F4761" w:themeColor="accent1" w:themeShade="BF"/>
    </w:rPr>
  </w:style>
  <w:style w:type="character" w:styleId="IntenseReference">
    <w:name w:val="Intense Reference"/>
    <w:basedOn w:val="DefaultParagraphFont"/>
    <w:uiPriority w:val="32"/>
    <w:qFormat/>
    <w:rsid w:val="00A1182A"/>
    <w:rPr>
      <w:b/>
      <w:bCs/>
      <w:smallCaps/>
      <w:color w:val="0F4761" w:themeColor="accent1" w:themeShade="BF"/>
      <w:spacing w:val="5"/>
    </w:rPr>
  </w:style>
  <w:style w:type="character" w:styleId="Hyperlink">
    <w:name w:val="Hyperlink"/>
    <w:basedOn w:val="DefaultParagraphFont"/>
    <w:uiPriority w:val="99"/>
    <w:unhideWhenUsed/>
    <w:rsid w:val="00A1182A"/>
    <w:rPr>
      <w:color w:val="467886" w:themeColor="hyperlink"/>
      <w:u w:val="single"/>
    </w:rPr>
  </w:style>
  <w:style w:type="paragraph" w:styleId="TOC1">
    <w:name w:val="toc 1"/>
    <w:basedOn w:val="Normal"/>
    <w:next w:val="Normal"/>
    <w:autoRedefine/>
    <w:uiPriority w:val="39"/>
    <w:unhideWhenUsed/>
    <w:rsid w:val="00A1182A"/>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6C42C9"/>
    <w:rPr>
      <w:rFonts w:ascii="Times New Roman" w:hAnsi="Times New Roman" w:cs="Mangal"/>
    </w:rPr>
  </w:style>
  <w:style w:type="character" w:styleId="UnresolvedMention">
    <w:name w:val="Unresolved Mention"/>
    <w:basedOn w:val="DefaultParagraphFont"/>
    <w:uiPriority w:val="99"/>
    <w:semiHidden/>
    <w:unhideWhenUsed/>
    <w:rsid w:val="00B904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busres.2019.07.03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371/journal.pmed.100358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91/1478088706qp063oa" TargetMode="External"/><Relationship Id="rId11" Type="http://schemas.openxmlformats.org/officeDocument/2006/relationships/hyperlink" Target="https://doi.org/10.1016/j.indmarman.2022.02.001" TargetMode="External"/><Relationship Id="rId5" Type="http://schemas.openxmlformats.org/officeDocument/2006/relationships/image" Target="media/image1.png"/><Relationship Id="rId10" Type="http://schemas.openxmlformats.org/officeDocument/2006/relationships/hyperlink" Target="https://doi.org/10.1111/j.1365-2648.2005.03621.x" TargetMode="External"/><Relationship Id="rId4" Type="http://schemas.openxmlformats.org/officeDocument/2006/relationships/webSettings" Target="webSettings.xml"/><Relationship Id="rId9" Type="http://schemas.openxmlformats.org/officeDocument/2006/relationships/hyperlink" Target="https://doi.org/10.1111/1467-8551.003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26</Pages>
  <Words>6412</Words>
  <Characters>36550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2026-03-31T13:56:00Z</dcterms:created>
  <dcterms:modified xsi:type="dcterms:W3CDTF">2026-03-31T14:16:00Z</dcterms:modified>
</cp:coreProperties>
</file>