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46B" w:rsidRDefault="0070246B" w:rsidP="0019504D">
      <w:pPr>
        <w:rPr>
          <w:lang w:val="en-US"/>
        </w:rPr>
      </w:pPr>
    </w:p>
    <w:p w:rsidR="0019504D" w:rsidRDefault="0019504D" w:rsidP="0019504D">
      <w:pPr>
        <w:rPr>
          <w:lang w:val="en-US"/>
        </w:rPr>
      </w:pPr>
      <w:r>
        <w:rPr>
          <w:noProof/>
          <w:lang w:eastAsia="en-IN"/>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9314CC" w:rsidRDefault="00C21EBA" w:rsidP="00661030">
      <w:pPr>
        <w:rPr>
          <w:b/>
          <w:bCs/>
          <w:sz w:val="44"/>
          <w:szCs w:val="44"/>
          <w:lang w:val="en-US"/>
        </w:rPr>
      </w:pPr>
      <w:r w:rsidRPr="009314CC">
        <w:rPr>
          <w:b/>
          <w:bCs/>
          <w:sz w:val="44"/>
          <w:szCs w:val="44"/>
          <w:lang w:val="en-US"/>
        </w:rPr>
        <w:t>Planning</w:t>
      </w:r>
      <w:r w:rsidR="00661030" w:rsidRPr="009314CC">
        <w:rPr>
          <w:b/>
          <w:bCs/>
          <w:sz w:val="44"/>
          <w:szCs w:val="44"/>
          <w:lang w:val="en-US"/>
        </w:rPr>
        <w:t xml:space="preserve"> and </w:t>
      </w:r>
      <w:r w:rsidRPr="009314CC">
        <w:rPr>
          <w:b/>
          <w:bCs/>
          <w:sz w:val="44"/>
          <w:szCs w:val="44"/>
          <w:lang w:val="en-US"/>
        </w:rPr>
        <w:t>Management</w:t>
      </w:r>
      <w:r w:rsidR="00661030" w:rsidRPr="009314CC">
        <w:rPr>
          <w:b/>
          <w:bCs/>
          <w:sz w:val="44"/>
          <w:szCs w:val="44"/>
          <w:lang w:val="en-US"/>
        </w:rPr>
        <w:t xml:space="preserve"> </w:t>
      </w:r>
      <w:r w:rsidRPr="009314CC">
        <w:rPr>
          <w:b/>
          <w:bCs/>
          <w:sz w:val="44"/>
          <w:szCs w:val="44"/>
          <w:lang w:val="en-US"/>
        </w:rPr>
        <w:t xml:space="preserve">of Sustainable </w:t>
      </w:r>
      <w:r w:rsidR="00661030" w:rsidRPr="009314CC">
        <w:rPr>
          <w:b/>
          <w:bCs/>
          <w:sz w:val="44"/>
          <w:szCs w:val="44"/>
          <w:lang w:val="en-US"/>
        </w:rPr>
        <w:t>Tourism</w:t>
      </w:r>
      <w:r w:rsidRPr="009314CC">
        <w:rPr>
          <w:b/>
          <w:bCs/>
          <w:sz w:val="44"/>
          <w:szCs w:val="44"/>
          <w:lang w:val="en-US"/>
        </w:rPr>
        <w:t xml:space="preserve"> Spaces</w:t>
      </w:r>
    </w:p>
    <w:p w:rsidR="0019504D" w:rsidRPr="009314CC" w:rsidRDefault="0019504D" w:rsidP="0019504D">
      <w:pPr>
        <w:rPr>
          <w:sz w:val="44"/>
          <w:szCs w:val="44"/>
          <w:lang w:val="en-US"/>
        </w:rPr>
      </w:pPr>
      <w:r w:rsidRPr="009314CC">
        <w:rPr>
          <w:sz w:val="44"/>
          <w:szCs w:val="44"/>
          <w:lang w:val="en-US"/>
        </w:rPr>
        <w:t xml:space="preserve">Assignment </w:t>
      </w:r>
      <w:r w:rsidR="0070246B" w:rsidRPr="009314CC">
        <w:rPr>
          <w:sz w:val="44"/>
          <w:szCs w:val="44"/>
          <w:lang w:val="en-US"/>
        </w:rPr>
        <w:t>11</w:t>
      </w:r>
    </w:p>
    <w:p w:rsidR="00637F36" w:rsidRPr="009314CC" w:rsidRDefault="0070246B" w:rsidP="0019504D">
      <w:pPr>
        <w:rPr>
          <w:sz w:val="44"/>
          <w:szCs w:val="44"/>
          <w:lang w:val="en-US"/>
        </w:rPr>
      </w:pPr>
      <w:r w:rsidRPr="009314CC">
        <w:rPr>
          <w:sz w:val="44"/>
          <w:szCs w:val="44"/>
          <w:lang w:val="en-US"/>
        </w:rPr>
        <w:t>1</w:t>
      </w:r>
      <w:r w:rsidR="009673A4" w:rsidRPr="009314CC">
        <w:rPr>
          <w:sz w:val="44"/>
          <w:szCs w:val="44"/>
          <w:lang w:val="en-US"/>
        </w:rPr>
        <w:t>0</w:t>
      </w:r>
      <w:r w:rsidR="0019504D" w:rsidRPr="009314CC">
        <w:rPr>
          <w:sz w:val="44"/>
          <w:szCs w:val="44"/>
          <w:lang w:val="en-US"/>
        </w:rPr>
        <w:t>.</w:t>
      </w:r>
      <w:r w:rsidRPr="009314CC">
        <w:rPr>
          <w:sz w:val="44"/>
          <w:szCs w:val="44"/>
          <w:lang w:val="en-US"/>
        </w:rPr>
        <w:t>12</w:t>
      </w:r>
      <w:r w:rsidR="0019504D" w:rsidRPr="009314CC">
        <w:rPr>
          <w:sz w:val="44"/>
          <w:szCs w:val="44"/>
          <w:lang w:val="en-US"/>
        </w:rPr>
        <w:t>.2025</w:t>
      </w:r>
    </w:p>
    <w:p w:rsidR="0019504D" w:rsidRPr="009314CC" w:rsidRDefault="00AA0182" w:rsidP="0019504D">
      <w:pPr>
        <w:rPr>
          <w:sz w:val="44"/>
          <w:szCs w:val="44"/>
          <w:lang w:val="en-US"/>
        </w:rPr>
      </w:pPr>
      <w:r>
        <w:rPr>
          <w:sz w:val="44"/>
          <w:szCs w:val="44"/>
          <w:lang w:val="en-US"/>
        </w:rPr>
        <w:br/>
        <w:t xml:space="preserve">Student Name: jagdeep Kumar </w:t>
      </w:r>
      <w:r>
        <w:rPr>
          <w:sz w:val="44"/>
          <w:szCs w:val="44"/>
          <w:lang w:val="en-US"/>
        </w:rPr>
        <w:br/>
        <w:t>ID Number: DE240144</w:t>
      </w:r>
      <w:r w:rsidR="00637F36" w:rsidRPr="009314CC">
        <w:rPr>
          <w:sz w:val="44"/>
          <w:szCs w:val="44"/>
          <w:lang w:val="en-US"/>
        </w:rPr>
        <w:br/>
      </w:r>
    </w:p>
    <w:p w:rsidR="0019504D" w:rsidRDefault="0019504D"/>
    <w:p w:rsidR="009314CC" w:rsidRPr="009314CC" w:rsidRDefault="009314CC" w:rsidP="009314CC">
      <w:pPr>
        <w:rPr>
          <w:rFonts w:ascii="Times New Roman" w:hAnsi="Times New Roman" w:cs="Times New Roman"/>
          <w:sz w:val="40"/>
          <w:szCs w:val="40"/>
        </w:rPr>
      </w:pPr>
      <w:r w:rsidRPr="009314CC">
        <w:rPr>
          <w:rFonts w:ascii="Times New Roman" w:hAnsi="Times New Roman" w:cs="Times New Roman"/>
          <w:sz w:val="40"/>
          <w:szCs w:val="40"/>
        </w:rPr>
        <w:t>Using the PATA Crisis Management Strategy to Tackle Tourism Crises: The 2011 Tōhoku Earthquake and Tsunami</w:t>
      </w:r>
    </w:p>
    <w:p w:rsidR="009314CC" w:rsidRPr="009314CC" w:rsidRDefault="009314CC" w:rsidP="009314CC">
      <w:pPr>
        <w:rPr>
          <w:rFonts w:ascii="Times New Roman" w:hAnsi="Times New Roman" w:cs="Times New Roman"/>
          <w:sz w:val="44"/>
          <w:szCs w:val="44"/>
        </w:rPr>
      </w:pPr>
    </w:p>
    <w:p w:rsidR="009314CC" w:rsidRPr="009314CC" w:rsidRDefault="009314CC" w:rsidP="009314CC">
      <w:pPr>
        <w:rPr>
          <w:rFonts w:ascii="Times New Roman" w:hAnsi="Times New Roman" w:cs="Times New Roman"/>
          <w:sz w:val="36"/>
          <w:szCs w:val="36"/>
        </w:rPr>
      </w:pPr>
      <w:r w:rsidRPr="009314CC">
        <w:rPr>
          <w:rFonts w:ascii="Times New Roman" w:hAnsi="Times New Roman" w:cs="Times New Roman"/>
          <w:sz w:val="36"/>
          <w:szCs w:val="36"/>
        </w:rPr>
        <w:t>Introduction</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Tourist spots are always on edge. Natural disasters, political turmoil, pandemics, random accidents—they can hit out of nowhere. When something big happens, solid crisis management isn’t a luxury; it’s the only way to keep damage in check and get back to business. The Pacific Asia Travel Association (PATA) stepped up with a crisis management plan built for tourism. Here, I’m digging into how the PATA strategy helped soften the blow of the 2011 Tōhoku earthquake and tsunami in Japan, with a close look at what happened after the disaster.</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36"/>
          <w:szCs w:val="36"/>
        </w:rPr>
      </w:pPr>
      <w:r w:rsidRPr="009314CC">
        <w:rPr>
          <w:rFonts w:ascii="Times New Roman" w:hAnsi="Times New Roman" w:cs="Times New Roman"/>
          <w:sz w:val="36"/>
          <w:szCs w:val="36"/>
        </w:rPr>
        <w:t>The PATA Crisis Management Strategy Framework</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PATA breaks things down into four phases: Preparedness, Response, Recovery, and Mitigation. It’s not just a list for the wall—it’s actually useful, guiding destinations to protect travelers and the whole tourism scene.</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Preparedness is all about spotting risks and making plans. Think risk checks, staff training, clear ways to talk in a crisis, and setting up who does what.</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lastRenderedPageBreak/>
        <w:t>Response kicks in right away—get people safe, share accurate updates fast, and manage news coverage.</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Recovery means getting things working again: fixing up roads, rebuilding trust, and showing the world the place is worth visiting.</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Mitigation is forward-thinking. It’s about making places tough enough to ride out the next hit, and planning for tourism that can survive trouble.</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This isn’t a one-time thing. Every crisis brings fresh lessons, so the cycle keeps evolving.</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36"/>
          <w:szCs w:val="36"/>
        </w:rPr>
      </w:pPr>
      <w:r w:rsidRPr="009314CC">
        <w:rPr>
          <w:rFonts w:ascii="Times New Roman" w:hAnsi="Times New Roman" w:cs="Times New Roman"/>
          <w:sz w:val="36"/>
          <w:szCs w:val="36"/>
        </w:rPr>
        <w:t>Case Study: 2011 Tōhoku Earthquake and Tsunami</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March 11, 2011—an earthquake rocks Tōhoku. Then a tsunami hits, and on top of all that, the Fukushima nuclear disaster grabs global headlines. Tourism grinds to a halt. People evacuate, infrastructure is destroyed, and Japan’s safety suddenly looks shaky to the world.</w:t>
      </w:r>
    </w:p>
    <w:p w:rsidR="009314CC" w:rsidRPr="009314CC" w:rsidRDefault="009314CC" w:rsidP="009314CC">
      <w:pPr>
        <w:rPr>
          <w:rFonts w:ascii="Times New Roman" w:hAnsi="Times New Roman" w:cs="Times New Roman"/>
          <w:sz w:val="28"/>
          <w:szCs w:val="28"/>
        </w:rPr>
      </w:pPr>
    </w:p>
    <w:p w:rsidR="009314CC" w:rsidRPr="00AA0182" w:rsidRDefault="009314CC" w:rsidP="009314CC">
      <w:pPr>
        <w:rPr>
          <w:rFonts w:ascii="Times New Roman" w:hAnsi="Times New Roman" w:cs="Times New Roman"/>
          <w:sz w:val="36"/>
          <w:szCs w:val="36"/>
        </w:rPr>
      </w:pPr>
      <w:r w:rsidRPr="00AA0182">
        <w:rPr>
          <w:rFonts w:ascii="Times New Roman" w:hAnsi="Times New Roman" w:cs="Times New Roman"/>
          <w:sz w:val="36"/>
          <w:szCs w:val="36"/>
        </w:rPr>
        <w:t>Application of PATA Strategy</w:t>
      </w:r>
    </w:p>
    <w:p w:rsidR="009314CC" w:rsidRPr="009314CC" w:rsidRDefault="009314CC" w:rsidP="009314CC">
      <w:pPr>
        <w:rPr>
          <w:rFonts w:ascii="Times New Roman" w:hAnsi="Times New Roman" w:cs="Times New Roman"/>
          <w:sz w:val="28"/>
          <w:szCs w:val="28"/>
        </w:rPr>
      </w:pPr>
    </w:p>
    <w:p w:rsidR="009314CC" w:rsidRPr="00AA0182" w:rsidRDefault="009314CC" w:rsidP="009314CC">
      <w:pPr>
        <w:rPr>
          <w:rFonts w:ascii="Times New Roman" w:hAnsi="Times New Roman" w:cs="Times New Roman"/>
          <w:sz w:val="36"/>
          <w:szCs w:val="36"/>
        </w:rPr>
      </w:pPr>
      <w:r w:rsidRPr="00AA0182">
        <w:rPr>
          <w:rFonts w:ascii="Times New Roman" w:hAnsi="Times New Roman" w:cs="Times New Roman"/>
          <w:sz w:val="36"/>
          <w:szCs w:val="36"/>
        </w:rPr>
        <w:t>Preparedness</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Japan was already ahead of the curve: earthquake-proof buildings, warning systems, regular drills. But the tsunami was massive—way more than anyone expected. One thing really stood out: communicating quickly and clearly with international tourists didn’t go as smoothly as it should have.</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36"/>
          <w:szCs w:val="36"/>
        </w:rPr>
      </w:pPr>
      <w:r w:rsidRPr="009314CC">
        <w:rPr>
          <w:rFonts w:ascii="Times New Roman" w:hAnsi="Times New Roman" w:cs="Times New Roman"/>
          <w:sz w:val="36"/>
          <w:szCs w:val="36"/>
        </w:rPr>
        <w:t>Response</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PATA’s playbook shaped the quick actions:</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 Move tourists and locals out of danger, no delays.</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 Push out timely, honest updates about the nuclear situation.</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 Get tourism agencies, local officials, and emergency crews working hand-in-hand to organize everything on the ground.</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PATA’s focus on honest, fast communication paid off—less panic, fewer rumors, more trust.</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36"/>
          <w:szCs w:val="36"/>
        </w:rPr>
      </w:pPr>
      <w:r w:rsidRPr="009314CC">
        <w:rPr>
          <w:rFonts w:ascii="Times New Roman" w:hAnsi="Times New Roman" w:cs="Times New Roman"/>
          <w:sz w:val="36"/>
          <w:szCs w:val="36"/>
        </w:rPr>
        <w:t>Recovery</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Japan didn’t wait around. Following PATA’s steps, they:</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lastRenderedPageBreak/>
        <w:t>- Fixed roads, railways, hotels—got the basics up and running fast.</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 Launched campaigns showing what was still safe, encouraging people to travel within Japan and help struggling regions.</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 Built trust back up by uniting government, businesses, and locals—keeping the economy going and rebuilding confidence.</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Recovery wasn’t just about fixing buildings. It was about restoring Japan’s reputation and reminding travelers that the country was open and worth their visit.</w:t>
      </w:r>
    </w:p>
    <w:p w:rsidR="009314CC" w:rsidRPr="009314CC" w:rsidRDefault="009314CC" w:rsidP="009314CC">
      <w:pPr>
        <w:rPr>
          <w:rFonts w:ascii="Times New Roman" w:hAnsi="Times New Roman" w:cs="Times New Roman"/>
          <w:sz w:val="28"/>
          <w:szCs w:val="28"/>
        </w:rPr>
      </w:pPr>
    </w:p>
    <w:p w:rsidR="009314CC" w:rsidRPr="00AA0182" w:rsidRDefault="009314CC" w:rsidP="009314CC">
      <w:pPr>
        <w:rPr>
          <w:rFonts w:ascii="Times New Roman" w:hAnsi="Times New Roman" w:cs="Times New Roman"/>
          <w:sz w:val="36"/>
          <w:szCs w:val="36"/>
        </w:rPr>
      </w:pPr>
      <w:r w:rsidRPr="00AA0182">
        <w:rPr>
          <w:rFonts w:ascii="Times New Roman" w:hAnsi="Times New Roman" w:cs="Times New Roman"/>
          <w:sz w:val="36"/>
          <w:szCs w:val="36"/>
        </w:rPr>
        <w:t>Mitigation</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Japan learned quickly from Tōhoku. Afterward, they:</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 Upgraded warning and evacuation systems, especially in places tourists flock to.</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 Rolled out crisis training for the tourism industry.</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 Started promoting more diverse attractions, so tourism didn’t rely on just one region.</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These things, all in line with PATA’s advice, made the whole system stronger and future crises less overwhelming.</w:t>
      </w:r>
    </w:p>
    <w:p w:rsidR="009314CC" w:rsidRPr="009314CC" w:rsidRDefault="009314CC" w:rsidP="009314CC">
      <w:pPr>
        <w:rPr>
          <w:rFonts w:ascii="Times New Roman" w:hAnsi="Times New Roman" w:cs="Times New Roman"/>
          <w:sz w:val="28"/>
          <w:szCs w:val="28"/>
        </w:rPr>
      </w:pPr>
    </w:p>
    <w:p w:rsidR="009314CC" w:rsidRPr="00AA0182" w:rsidRDefault="009314CC" w:rsidP="009314CC">
      <w:pPr>
        <w:rPr>
          <w:rFonts w:ascii="Times New Roman" w:hAnsi="Times New Roman" w:cs="Times New Roman"/>
          <w:sz w:val="36"/>
          <w:szCs w:val="36"/>
        </w:rPr>
      </w:pPr>
      <w:r w:rsidRPr="00AA0182">
        <w:rPr>
          <w:rFonts w:ascii="Times New Roman" w:hAnsi="Times New Roman" w:cs="Times New Roman"/>
          <w:sz w:val="36"/>
          <w:szCs w:val="36"/>
        </w:rPr>
        <w:t>How PATA Strategy Cuts Crisis Damage</w:t>
      </w:r>
    </w:p>
    <w:p w:rsidR="009314CC" w:rsidRPr="009314CC" w:rsidRDefault="009314CC" w:rsidP="009314CC">
      <w:pPr>
        <w:rPr>
          <w:rFonts w:ascii="Times New Roman" w:hAnsi="Times New Roman" w:cs="Times New Roman"/>
          <w:sz w:val="28"/>
          <w:szCs w:val="28"/>
        </w:rPr>
      </w:pP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Having a clear plan keeps people from floundering. Open lines of communication let everyone act fast and confidently.</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The focus stays on saving lives and protecting property—safety first, always.</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Sharing real updates and smart marketing keeps a destination’s reputation afloat.</w:t>
      </w:r>
    </w:p>
    <w:p w:rsidR="009314CC"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When everyone—government, b</w:t>
      </w:r>
      <w:bookmarkStart w:id="0" w:name="_GoBack"/>
      <w:bookmarkEnd w:id="0"/>
      <w:r w:rsidRPr="009314CC">
        <w:rPr>
          <w:rFonts w:ascii="Times New Roman" w:hAnsi="Times New Roman" w:cs="Times New Roman"/>
          <w:sz w:val="28"/>
          <w:szCs w:val="28"/>
        </w:rPr>
        <w:t>usiness, and local communities—pulls together for recovery, the whole industry bounces back sooner.</w:t>
      </w:r>
    </w:p>
    <w:p w:rsidR="009314CC" w:rsidRPr="009314CC" w:rsidRDefault="009314CC" w:rsidP="009314CC">
      <w:pPr>
        <w:rPr>
          <w:rFonts w:ascii="Times New Roman" w:hAnsi="Times New Roman" w:cs="Times New Roman"/>
        </w:rPr>
      </w:pPr>
      <w:r w:rsidRPr="009314CC">
        <w:rPr>
          <w:rFonts w:ascii="Times New Roman" w:hAnsi="Times New Roman" w:cs="Times New Roman"/>
          <w:sz w:val="28"/>
          <w:szCs w:val="28"/>
        </w:rPr>
        <w:t>Every crisis adds something new to the playbook, making the next round of preparedness and mitigation even stronger</w:t>
      </w:r>
      <w:r w:rsidRPr="009314CC">
        <w:rPr>
          <w:rFonts w:ascii="Times New Roman" w:hAnsi="Times New Roman" w:cs="Times New Roman"/>
        </w:rPr>
        <w:t>.</w:t>
      </w:r>
    </w:p>
    <w:p w:rsidR="009314CC" w:rsidRPr="009314CC" w:rsidRDefault="009314CC" w:rsidP="009314CC">
      <w:pPr>
        <w:rPr>
          <w:rFonts w:ascii="Times New Roman" w:hAnsi="Times New Roman" w:cs="Times New Roman"/>
        </w:rPr>
      </w:pPr>
    </w:p>
    <w:p w:rsidR="009314CC" w:rsidRPr="00AA0182" w:rsidRDefault="009314CC" w:rsidP="009314CC">
      <w:pPr>
        <w:rPr>
          <w:rFonts w:ascii="Times New Roman" w:hAnsi="Times New Roman" w:cs="Times New Roman"/>
          <w:sz w:val="36"/>
          <w:szCs w:val="36"/>
        </w:rPr>
      </w:pPr>
      <w:r w:rsidRPr="00AA0182">
        <w:rPr>
          <w:rFonts w:ascii="Times New Roman" w:hAnsi="Times New Roman" w:cs="Times New Roman"/>
          <w:sz w:val="36"/>
          <w:szCs w:val="36"/>
        </w:rPr>
        <w:t>Conclusion</w:t>
      </w:r>
    </w:p>
    <w:p w:rsidR="009314CC" w:rsidRPr="00AA0182" w:rsidRDefault="009314CC" w:rsidP="009314CC">
      <w:pPr>
        <w:rPr>
          <w:rFonts w:ascii="Times New Roman" w:hAnsi="Times New Roman" w:cs="Times New Roman"/>
          <w:sz w:val="36"/>
          <w:szCs w:val="36"/>
        </w:rPr>
      </w:pPr>
    </w:p>
    <w:p w:rsidR="0019504D" w:rsidRPr="009314CC" w:rsidRDefault="009314CC" w:rsidP="009314CC">
      <w:pPr>
        <w:rPr>
          <w:rFonts w:ascii="Times New Roman" w:hAnsi="Times New Roman" w:cs="Times New Roman"/>
          <w:sz w:val="28"/>
          <w:szCs w:val="28"/>
        </w:rPr>
      </w:pPr>
      <w:r w:rsidRPr="009314CC">
        <w:rPr>
          <w:rFonts w:ascii="Times New Roman" w:hAnsi="Times New Roman" w:cs="Times New Roman"/>
          <w:sz w:val="28"/>
          <w:szCs w:val="28"/>
        </w:rPr>
        <w:t>PATA’s crisis management isn’t just talk—it works. By linking preparedness, response, recovery, and mitigation, it gives destinations a real way to survive and recover from almost anything. Japan’s response to the 2011 Tōhoku disaster proves just how powerful this approach is, especially when rebuilding goes beyond infrastructure and reaches into trust and reputation.</w:t>
      </w:r>
    </w:p>
    <w:p w:rsidR="0019504D" w:rsidRPr="009314CC" w:rsidRDefault="0019504D">
      <w:pPr>
        <w:rPr>
          <w:rFonts w:ascii="Times New Roman" w:hAnsi="Times New Roman" w:cs="Times New Roman"/>
          <w:sz w:val="28"/>
          <w:szCs w:val="28"/>
        </w:rPr>
      </w:pPr>
    </w:p>
    <w:p w:rsidR="00CD620A" w:rsidRPr="009314CC" w:rsidRDefault="00CD620A">
      <w:pPr>
        <w:rPr>
          <w:rFonts w:ascii="Times New Roman" w:hAnsi="Times New Roman" w:cs="Times New Roman"/>
        </w:rPr>
      </w:pPr>
    </w:p>
    <w:p w:rsidR="009673A4" w:rsidRPr="009314CC" w:rsidRDefault="009673A4">
      <w:pPr>
        <w:rPr>
          <w:rFonts w:ascii="Times New Roman" w:hAnsi="Times New Roman" w:cs="Times New Roman"/>
        </w:rPr>
      </w:pPr>
    </w:p>
    <w:p w:rsidR="009673A4" w:rsidRPr="009314CC" w:rsidRDefault="009673A4">
      <w:pPr>
        <w:rPr>
          <w:rFonts w:ascii="Times New Roman" w:hAnsi="Times New Roman" w:cs="Times New Roman"/>
        </w:rPr>
      </w:pPr>
    </w:p>
    <w:p w:rsidR="009673A4" w:rsidRPr="009314CC" w:rsidRDefault="009673A4">
      <w:pPr>
        <w:rPr>
          <w:rFonts w:ascii="Times New Roman" w:hAnsi="Times New Roman" w:cs="Times New Roman"/>
        </w:rPr>
      </w:pPr>
    </w:p>
    <w:p w:rsidR="009673A4" w:rsidRPr="009314CC" w:rsidRDefault="009673A4">
      <w:pPr>
        <w:rPr>
          <w:rFonts w:ascii="Times New Roman" w:hAnsi="Times New Roman" w:cs="Times New Roman"/>
        </w:rPr>
      </w:pPr>
    </w:p>
    <w:p w:rsidR="009673A4" w:rsidRPr="009314CC" w:rsidRDefault="009673A4">
      <w:pPr>
        <w:rPr>
          <w:rFonts w:ascii="Times New Roman" w:hAnsi="Times New Roman" w:cs="Times New Roman"/>
        </w:rPr>
      </w:pPr>
    </w:p>
    <w:p w:rsidR="009673A4" w:rsidRPr="009314CC" w:rsidRDefault="009673A4">
      <w:pPr>
        <w:rPr>
          <w:rFonts w:ascii="Times New Roman" w:hAnsi="Times New Roman" w:cs="Times New Roman"/>
        </w:rPr>
      </w:pPr>
    </w:p>
    <w:p w:rsidR="009673A4" w:rsidRPr="009314CC" w:rsidRDefault="009673A4">
      <w:pPr>
        <w:rPr>
          <w:rFonts w:ascii="Times New Roman" w:hAnsi="Times New Roman" w:cs="Times New Roman"/>
        </w:rPr>
      </w:pPr>
    </w:p>
    <w:sectPr w:rsidR="009673A4" w:rsidRPr="009314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ED92C26-7E7B-4168-9E2C-B154DDB81943}"/>
    <w:embedBold r:id="rId2" w:fontKey="{FEF826C0-4D81-4BA0-A293-79B9AD80819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B4500EA-CAB6-46BE-B4B2-76D1F438EB66}"/>
  </w:font>
  <w:font w:name="Calibri Light">
    <w:panose1 w:val="020F0302020204030204"/>
    <w:charset w:val="00"/>
    <w:family w:val="swiss"/>
    <w:pitch w:val="variable"/>
    <w:sig w:usb0="E4002EFF" w:usb1="C000247B" w:usb2="00000009" w:usb3="00000000" w:csb0="000001FF" w:csb1="00000000"/>
    <w:embedRegular r:id="rId4" w:fontKey="{54B447B3-7C3F-4218-806B-0C8FDE37D9E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8"/>
  </w:num>
  <w:num w:numId="5">
    <w:abstractNumId w:val="0"/>
  </w:num>
  <w:num w:numId="6">
    <w:abstractNumId w:val="3"/>
  </w:num>
  <w:num w:numId="7">
    <w:abstractNumId w:val="2"/>
  </w:num>
  <w:num w:numId="8">
    <w:abstractNumId w:val="7"/>
  </w:num>
  <w:num w:numId="9">
    <w:abstractNumId w:val="5"/>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95108"/>
    <w:rsid w:val="00844EC2"/>
    <w:rsid w:val="008516FE"/>
    <w:rsid w:val="00903466"/>
    <w:rsid w:val="009314CC"/>
    <w:rsid w:val="009673A4"/>
    <w:rsid w:val="009C1D0A"/>
    <w:rsid w:val="00A044F7"/>
    <w:rsid w:val="00A8150E"/>
    <w:rsid w:val="00AA0182"/>
    <w:rsid w:val="00B20343"/>
    <w:rsid w:val="00B53DB7"/>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able of figures"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Mahmoud Bakry</dc:creator>
  <cp:lastModifiedBy>Hp</cp:lastModifiedBy>
  <cp:revision>2</cp:revision>
  <dcterms:created xsi:type="dcterms:W3CDTF">2025-12-13T14:28:00Z</dcterms:created>
  <dcterms:modified xsi:type="dcterms:W3CDTF">2025-12-13T14:28:00Z</dcterms:modified>
</cp:coreProperties>
</file>