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662D5" w14:textId="1A089D04" w:rsidR="00B45C1E" w:rsidRDefault="00B45C1E" w:rsidP="00B45C1E">
      <w:pPr>
        <w:jc w:val="center"/>
        <w:rPr>
          <w:rFonts w:ascii="Times New Roman" w:hAnsi="Times New Roman" w:cs="Times New Roman"/>
          <w:b/>
          <w:bCs/>
          <w:szCs w:val="24"/>
        </w:rPr>
      </w:pPr>
      <w:r w:rsidRPr="00B45C1E">
        <w:rPr>
          <w:rFonts w:ascii="Times New Roman" w:hAnsi="Times New Roman" w:cs="Times New Roman"/>
          <w:b/>
          <w:bCs/>
          <w:szCs w:val="24"/>
        </w:rPr>
        <w:drawing>
          <wp:inline distT="0" distB="0" distL="0" distR="0" wp14:anchorId="577C54A7" wp14:editId="57C87F55">
            <wp:extent cx="2276793" cy="543001"/>
            <wp:effectExtent l="0" t="0" r="0" b="9525"/>
            <wp:docPr id="2134760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60936" name=""/>
                    <pic:cNvPicPr/>
                  </pic:nvPicPr>
                  <pic:blipFill>
                    <a:blip r:embed="rId5"/>
                    <a:stretch>
                      <a:fillRect/>
                    </a:stretch>
                  </pic:blipFill>
                  <pic:spPr>
                    <a:xfrm>
                      <a:off x="0" y="0"/>
                      <a:ext cx="2276793" cy="543001"/>
                    </a:xfrm>
                    <a:prstGeom prst="rect">
                      <a:avLst/>
                    </a:prstGeom>
                  </pic:spPr>
                </pic:pic>
              </a:graphicData>
            </a:graphic>
          </wp:inline>
        </w:drawing>
      </w:r>
    </w:p>
    <w:p w14:paraId="32CD628F" w14:textId="32B82F96" w:rsidR="000C3F07" w:rsidRDefault="00B45C1E" w:rsidP="00B45C1E">
      <w:pPr>
        <w:jc w:val="center"/>
        <w:rPr>
          <w:rFonts w:ascii="Times New Roman" w:hAnsi="Times New Roman" w:cs="Times New Roman"/>
          <w:b/>
          <w:bCs/>
          <w:szCs w:val="24"/>
        </w:rPr>
      </w:pPr>
      <w:r w:rsidRPr="00B45C1E">
        <w:rPr>
          <w:rFonts w:ascii="Times New Roman" w:hAnsi="Times New Roman" w:cs="Times New Roman"/>
          <w:b/>
          <w:bCs/>
          <w:szCs w:val="24"/>
        </w:rPr>
        <w:t>M13 – Global Business Environment</w:t>
      </w:r>
    </w:p>
    <w:p w14:paraId="71D585CD" w14:textId="3DDE0951" w:rsidR="00B45C1E" w:rsidRPr="00B45C1E" w:rsidRDefault="00B45C1E" w:rsidP="00B45C1E">
      <w:pPr>
        <w:jc w:val="center"/>
        <w:rPr>
          <w:rFonts w:ascii="Times New Roman" w:hAnsi="Times New Roman" w:cs="Times New Roman"/>
          <w:b/>
          <w:bCs/>
          <w:szCs w:val="24"/>
          <w:lang w:val="en-US"/>
        </w:rPr>
      </w:pPr>
      <w:r w:rsidRPr="00B45C1E">
        <w:rPr>
          <w:rFonts w:ascii="Times New Roman" w:hAnsi="Times New Roman" w:cs="Times New Roman"/>
          <w:b/>
          <w:bCs/>
          <w:szCs w:val="24"/>
        </w:rPr>
        <w:t>Option 1: Globalisation and International Business Strategy</w:t>
      </w:r>
    </w:p>
    <w:p w14:paraId="79253C45" w14:textId="77777777" w:rsidR="000C3F07" w:rsidRPr="000C3F07" w:rsidRDefault="000C3F07">
      <w:pPr>
        <w:rPr>
          <w:rFonts w:ascii="Times New Roman" w:hAnsi="Times New Roman" w:cs="Times New Roman"/>
          <w:szCs w:val="24"/>
          <w:lang w:val="en-US"/>
        </w:rPr>
      </w:pPr>
    </w:p>
    <w:p w14:paraId="47F2CC06" w14:textId="77777777" w:rsidR="000C3F07" w:rsidRPr="000C3F07" w:rsidRDefault="000C3F07">
      <w:pPr>
        <w:rPr>
          <w:rFonts w:ascii="Times New Roman" w:hAnsi="Times New Roman" w:cs="Times New Roman"/>
          <w:szCs w:val="24"/>
          <w:lang w:val="en-US"/>
        </w:rPr>
      </w:pPr>
    </w:p>
    <w:p w14:paraId="6CE710AF" w14:textId="77777777" w:rsidR="000C3F07" w:rsidRPr="000C3F07" w:rsidRDefault="000C3F07">
      <w:pPr>
        <w:rPr>
          <w:rFonts w:ascii="Times New Roman" w:hAnsi="Times New Roman" w:cs="Times New Roman"/>
          <w:szCs w:val="24"/>
          <w:lang w:val="en-US"/>
        </w:rPr>
      </w:pPr>
    </w:p>
    <w:p w14:paraId="4F6473C5" w14:textId="77777777" w:rsidR="000C3F07" w:rsidRPr="000C3F07" w:rsidRDefault="000C3F07">
      <w:pPr>
        <w:rPr>
          <w:rFonts w:ascii="Times New Roman" w:hAnsi="Times New Roman" w:cs="Times New Roman"/>
          <w:szCs w:val="24"/>
          <w:lang w:val="en-US"/>
        </w:rPr>
      </w:pPr>
    </w:p>
    <w:p w14:paraId="1285113F" w14:textId="77777777" w:rsidR="000C3F07" w:rsidRPr="000C3F07" w:rsidRDefault="000C3F07">
      <w:pPr>
        <w:rPr>
          <w:rFonts w:ascii="Times New Roman" w:hAnsi="Times New Roman" w:cs="Times New Roman"/>
          <w:szCs w:val="24"/>
          <w:lang w:val="en-US"/>
        </w:rPr>
      </w:pPr>
    </w:p>
    <w:p w14:paraId="3200F468" w14:textId="77777777" w:rsidR="000C3F07" w:rsidRPr="000C3F07" w:rsidRDefault="000C3F07">
      <w:pPr>
        <w:rPr>
          <w:rFonts w:ascii="Times New Roman" w:hAnsi="Times New Roman" w:cs="Times New Roman"/>
          <w:szCs w:val="24"/>
          <w:lang w:val="en-US"/>
        </w:rPr>
      </w:pPr>
    </w:p>
    <w:p w14:paraId="2F6F1117" w14:textId="77777777" w:rsidR="000C3F07" w:rsidRPr="000C3F07" w:rsidRDefault="000C3F07">
      <w:pPr>
        <w:rPr>
          <w:rFonts w:ascii="Times New Roman" w:hAnsi="Times New Roman" w:cs="Times New Roman"/>
          <w:szCs w:val="24"/>
          <w:lang w:val="en-US"/>
        </w:rPr>
      </w:pPr>
    </w:p>
    <w:p w14:paraId="47348E68" w14:textId="77777777" w:rsidR="000C3F07" w:rsidRPr="000C3F07" w:rsidRDefault="000C3F07">
      <w:pPr>
        <w:rPr>
          <w:rFonts w:ascii="Times New Roman" w:hAnsi="Times New Roman" w:cs="Times New Roman"/>
          <w:szCs w:val="24"/>
          <w:lang w:val="en-US"/>
        </w:rPr>
      </w:pPr>
    </w:p>
    <w:p w14:paraId="53B07A92" w14:textId="77777777" w:rsidR="000C3F07" w:rsidRPr="000C3F07" w:rsidRDefault="000C3F07">
      <w:pPr>
        <w:rPr>
          <w:rFonts w:ascii="Times New Roman" w:hAnsi="Times New Roman" w:cs="Times New Roman"/>
          <w:szCs w:val="24"/>
          <w:lang w:val="en-US"/>
        </w:rPr>
      </w:pPr>
    </w:p>
    <w:p w14:paraId="267C8938" w14:textId="77777777" w:rsidR="000C3F07" w:rsidRPr="000C3F07" w:rsidRDefault="000C3F07">
      <w:pPr>
        <w:rPr>
          <w:rFonts w:ascii="Times New Roman" w:hAnsi="Times New Roman" w:cs="Times New Roman"/>
          <w:szCs w:val="24"/>
          <w:lang w:val="en-US"/>
        </w:rPr>
      </w:pPr>
    </w:p>
    <w:p w14:paraId="76739032" w14:textId="77777777" w:rsidR="000C3F07" w:rsidRPr="000C3F07" w:rsidRDefault="000C3F07">
      <w:pPr>
        <w:rPr>
          <w:rFonts w:ascii="Times New Roman" w:hAnsi="Times New Roman" w:cs="Times New Roman"/>
          <w:szCs w:val="24"/>
          <w:lang w:val="en-US"/>
        </w:rPr>
      </w:pPr>
    </w:p>
    <w:p w14:paraId="3C1F16FC" w14:textId="77777777" w:rsidR="000C3F07" w:rsidRPr="000C3F07" w:rsidRDefault="000C3F07">
      <w:pPr>
        <w:rPr>
          <w:rFonts w:ascii="Times New Roman" w:hAnsi="Times New Roman" w:cs="Times New Roman"/>
          <w:szCs w:val="24"/>
          <w:lang w:val="en-US"/>
        </w:rPr>
      </w:pPr>
    </w:p>
    <w:p w14:paraId="118155FE" w14:textId="77777777" w:rsidR="000C3F07" w:rsidRPr="000C3F07" w:rsidRDefault="000C3F07">
      <w:pPr>
        <w:rPr>
          <w:rFonts w:ascii="Times New Roman" w:hAnsi="Times New Roman" w:cs="Times New Roman"/>
          <w:szCs w:val="24"/>
          <w:lang w:val="en-US"/>
        </w:rPr>
      </w:pPr>
    </w:p>
    <w:p w14:paraId="2D712D8D" w14:textId="77777777" w:rsidR="000C3F07" w:rsidRPr="000C3F07" w:rsidRDefault="000C3F07">
      <w:pPr>
        <w:rPr>
          <w:rFonts w:ascii="Times New Roman" w:hAnsi="Times New Roman" w:cs="Times New Roman"/>
          <w:szCs w:val="24"/>
          <w:lang w:val="en-US"/>
        </w:rPr>
      </w:pPr>
    </w:p>
    <w:p w14:paraId="4BFED230" w14:textId="77777777" w:rsidR="000C3F07" w:rsidRPr="000C3F07" w:rsidRDefault="000C3F07">
      <w:pPr>
        <w:rPr>
          <w:rFonts w:ascii="Times New Roman" w:hAnsi="Times New Roman" w:cs="Times New Roman"/>
          <w:szCs w:val="24"/>
          <w:lang w:val="en-US"/>
        </w:rPr>
      </w:pPr>
    </w:p>
    <w:p w14:paraId="6793DA24" w14:textId="77777777" w:rsidR="000C3F07" w:rsidRPr="000C3F07" w:rsidRDefault="000C3F07">
      <w:pPr>
        <w:rPr>
          <w:rFonts w:ascii="Times New Roman" w:hAnsi="Times New Roman" w:cs="Times New Roman"/>
          <w:szCs w:val="24"/>
          <w:lang w:val="en-US"/>
        </w:rPr>
      </w:pPr>
    </w:p>
    <w:p w14:paraId="49B5FA64" w14:textId="77777777" w:rsidR="000C3F07" w:rsidRPr="000C3F07" w:rsidRDefault="000C3F07">
      <w:pPr>
        <w:rPr>
          <w:rFonts w:ascii="Times New Roman" w:hAnsi="Times New Roman" w:cs="Times New Roman"/>
          <w:szCs w:val="24"/>
          <w:lang w:val="en-US"/>
        </w:rPr>
      </w:pPr>
    </w:p>
    <w:p w14:paraId="5872483F" w14:textId="77777777" w:rsidR="000C3F07" w:rsidRPr="000C3F07" w:rsidRDefault="000C3F07">
      <w:pPr>
        <w:rPr>
          <w:rFonts w:ascii="Times New Roman" w:hAnsi="Times New Roman" w:cs="Times New Roman"/>
          <w:szCs w:val="24"/>
          <w:lang w:val="en-US"/>
        </w:rPr>
      </w:pPr>
    </w:p>
    <w:p w14:paraId="496B0364" w14:textId="77777777" w:rsidR="000C3F07" w:rsidRPr="000C3F07" w:rsidRDefault="000C3F07">
      <w:pPr>
        <w:rPr>
          <w:rFonts w:ascii="Times New Roman" w:hAnsi="Times New Roman" w:cs="Times New Roman"/>
          <w:szCs w:val="24"/>
          <w:lang w:val="en-US"/>
        </w:rPr>
      </w:pPr>
    </w:p>
    <w:p w14:paraId="77C90C75" w14:textId="77777777" w:rsidR="000C3F07" w:rsidRPr="000C3F07" w:rsidRDefault="000C3F07">
      <w:pPr>
        <w:rPr>
          <w:rFonts w:ascii="Times New Roman" w:hAnsi="Times New Roman" w:cs="Times New Roman"/>
          <w:szCs w:val="24"/>
          <w:lang w:val="en-US"/>
        </w:rPr>
      </w:pPr>
    </w:p>
    <w:p w14:paraId="68CA4C18" w14:textId="77777777" w:rsidR="000C3F07" w:rsidRPr="000C3F07" w:rsidRDefault="000C3F07">
      <w:pPr>
        <w:rPr>
          <w:rFonts w:ascii="Times New Roman" w:hAnsi="Times New Roman" w:cs="Times New Roman"/>
          <w:szCs w:val="24"/>
          <w:lang w:val="en-US"/>
        </w:rPr>
      </w:pPr>
    </w:p>
    <w:p w14:paraId="369A4E61" w14:textId="77777777" w:rsidR="000C3F07" w:rsidRPr="000C3F07" w:rsidRDefault="000C3F07">
      <w:pPr>
        <w:rPr>
          <w:rFonts w:ascii="Times New Roman" w:hAnsi="Times New Roman" w:cs="Times New Roman"/>
          <w:szCs w:val="24"/>
          <w:lang w:val="en-US"/>
        </w:rPr>
      </w:pPr>
    </w:p>
    <w:p w14:paraId="002C5662" w14:textId="77777777" w:rsidR="000C3F07" w:rsidRPr="000C3F07" w:rsidRDefault="000C3F07">
      <w:pPr>
        <w:rPr>
          <w:rFonts w:ascii="Times New Roman" w:hAnsi="Times New Roman" w:cs="Times New Roman"/>
          <w:szCs w:val="24"/>
          <w:lang w:val="en-US"/>
        </w:rPr>
      </w:pPr>
    </w:p>
    <w:p w14:paraId="4A48866B" w14:textId="77777777" w:rsidR="000C3F07" w:rsidRPr="000C3F07" w:rsidRDefault="000C3F07">
      <w:pPr>
        <w:rPr>
          <w:rFonts w:ascii="Times New Roman" w:hAnsi="Times New Roman" w:cs="Times New Roman"/>
          <w:szCs w:val="24"/>
          <w:lang w:val="en-US"/>
        </w:rPr>
      </w:pPr>
    </w:p>
    <w:p w14:paraId="5781CDDC" w14:textId="3FFA9264"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Abstract </w:t>
      </w:r>
    </w:p>
    <w:p w14:paraId="29C355DA"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Globalisation has transformed the competitive environment by increasing cross-border flows of goods, services, capital, technology, information and knowledge. For contemporary organisations, international expansion can provide access to larger customer markets, lower-cost resources, specialised capabilities and opportunities for innovation; however, it simultaneously creates exposure to political, cultural, regulatory and economic uncertainty. This report critically analyses how globalisation influences business operations, competitiveness and international expansion strategy. </w:t>
      </w:r>
      <w:proofErr w:type="gramStart"/>
      <w:r w:rsidRPr="000C3F07">
        <w:rPr>
          <w:rFonts w:ascii="Times New Roman" w:hAnsi="Times New Roman" w:cs="Times New Roman"/>
          <w:szCs w:val="24"/>
        </w:rPr>
        <w:t>Particular attention</w:t>
      </w:r>
      <w:proofErr w:type="gramEnd"/>
      <w:r w:rsidRPr="000C3F07">
        <w:rPr>
          <w:rFonts w:ascii="Times New Roman" w:hAnsi="Times New Roman" w:cs="Times New Roman"/>
          <w:szCs w:val="24"/>
        </w:rPr>
        <w:t xml:space="preserve"> is given to major drivers of globalisation, including technological development, trade liberalisation, economic integration and changing consumer behaviour. The report evaluates alternative international market-entry strategies, including exporting, licensing, franchising, strategic alliances, joint ventures and foreign direct investment (FDI), demonstrating the trade-off between resource commitment, risk and managerial control. Research indicates that entry-mode decisions are influenced not only by firm capabilities but also by cultural and institutional differences between home and host markets. </w:t>
      </w:r>
      <w:hyperlink r:id="rId6" w:history="1">
        <w:r w:rsidRPr="000C3F07">
          <w:rPr>
            <w:rStyle w:val="Hyperlink"/>
            <w:rFonts w:ascii="Times New Roman" w:hAnsi="Times New Roman" w:cs="Times New Roman"/>
            <w:szCs w:val="24"/>
          </w:rPr>
          <w:t>ScienceDirect</w:t>
        </w:r>
      </w:hyperlink>
      <w:r w:rsidRPr="000C3F07">
        <w:rPr>
          <w:rFonts w:ascii="Times New Roman" w:hAnsi="Times New Roman" w:cs="Times New Roman"/>
          <w:szCs w:val="24"/>
        </w:rPr>
        <w:t xml:space="preserve"> Digitalisation is also changing international business by facilitating cross-border information exchange, coordination and new digitally enabled business models. </w:t>
      </w:r>
      <w:hyperlink r:id="rId7" w:history="1">
        <w:r w:rsidRPr="000C3F07">
          <w:rPr>
            <w:rStyle w:val="Hyperlink"/>
            <w:rFonts w:ascii="Times New Roman" w:hAnsi="Times New Roman" w:cs="Times New Roman"/>
            <w:szCs w:val="24"/>
          </w:rPr>
          <w:t>DOI</w:t>
        </w:r>
      </w:hyperlink>
      <w:r w:rsidRPr="000C3F07">
        <w:rPr>
          <w:rFonts w:ascii="Times New Roman" w:hAnsi="Times New Roman" w:cs="Times New Roman"/>
          <w:szCs w:val="24"/>
        </w:rPr>
        <w:t xml:space="preserve"> The report concludes that successful internationalisation requires organisations to balance global integration with local responsiveness. Sustainable international competitive advantage therefore depends upon appropriate market selection, context-sensitive entry strategies, technological capability, cultural adaptation, institutional awareness and continuous management of geopolitical and economic uncertainty.</w:t>
      </w:r>
    </w:p>
    <w:p w14:paraId="45C1595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Keywords:</w:t>
      </w:r>
      <w:r w:rsidRPr="000C3F07">
        <w:rPr>
          <w:rFonts w:ascii="Times New Roman" w:hAnsi="Times New Roman" w:cs="Times New Roman"/>
          <w:szCs w:val="24"/>
        </w:rPr>
        <w:t xml:space="preserve"> Globalisation, international business, internationalisation, market entry, FDI, multinational enterprises, competitive advantage.</w:t>
      </w:r>
    </w:p>
    <w:p w14:paraId="258E6ECD" w14:textId="0ACEE74A" w:rsidR="000C3F07" w:rsidRDefault="000C3F07" w:rsidP="000C3F07">
      <w:pPr>
        <w:rPr>
          <w:rFonts w:ascii="Times New Roman" w:hAnsi="Times New Roman" w:cs="Times New Roman"/>
          <w:szCs w:val="24"/>
        </w:rPr>
      </w:pPr>
    </w:p>
    <w:p w14:paraId="60EB62B5" w14:textId="77777777" w:rsidR="000C3F07" w:rsidRDefault="000C3F07" w:rsidP="000C3F07">
      <w:pPr>
        <w:rPr>
          <w:rFonts w:ascii="Times New Roman" w:hAnsi="Times New Roman" w:cs="Times New Roman"/>
          <w:szCs w:val="24"/>
        </w:rPr>
      </w:pPr>
    </w:p>
    <w:p w14:paraId="6A4F6BC5" w14:textId="77777777" w:rsidR="000C3F07" w:rsidRDefault="000C3F07" w:rsidP="000C3F07">
      <w:pPr>
        <w:rPr>
          <w:rFonts w:ascii="Times New Roman" w:hAnsi="Times New Roman" w:cs="Times New Roman"/>
          <w:szCs w:val="24"/>
        </w:rPr>
      </w:pPr>
    </w:p>
    <w:p w14:paraId="36F71F49" w14:textId="77777777" w:rsidR="000C3F07" w:rsidRDefault="000C3F07" w:rsidP="000C3F07">
      <w:pPr>
        <w:rPr>
          <w:rFonts w:ascii="Times New Roman" w:hAnsi="Times New Roman" w:cs="Times New Roman"/>
          <w:szCs w:val="24"/>
        </w:rPr>
      </w:pPr>
    </w:p>
    <w:p w14:paraId="33918C05" w14:textId="77777777" w:rsidR="000C3F07" w:rsidRDefault="000C3F07" w:rsidP="000C3F07">
      <w:pPr>
        <w:rPr>
          <w:rFonts w:ascii="Times New Roman" w:hAnsi="Times New Roman" w:cs="Times New Roman"/>
          <w:szCs w:val="24"/>
        </w:rPr>
      </w:pPr>
    </w:p>
    <w:p w14:paraId="58A368E2" w14:textId="77777777" w:rsidR="000C3F07" w:rsidRDefault="000C3F07" w:rsidP="000C3F07">
      <w:pPr>
        <w:rPr>
          <w:rFonts w:ascii="Times New Roman" w:hAnsi="Times New Roman" w:cs="Times New Roman"/>
          <w:szCs w:val="24"/>
        </w:rPr>
      </w:pPr>
    </w:p>
    <w:p w14:paraId="41F4695B" w14:textId="77777777" w:rsidR="000C3F07" w:rsidRDefault="000C3F07" w:rsidP="000C3F07">
      <w:pPr>
        <w:rPr>
          <w:rFonts w:ascii="Times New Roman" w:hAnsi="Times New Roman" w:cs="Times New Roman"/>
          <w:szCs w:val="24"/>
        </w:rPr>
      </w:pPr>
    </w:p>
    <w:p w14:paraId="73E10361" w14:textId="77777777" w:rsidR="000C3F07" w:rsidRDefault="000C3F07" w:rsidP="000C3F07">
      <w:pPr>
        <w:rPr>
          <w:rFonts w:ascii="Times New Roman" w:hAnsi="Times New Roman" w:cs="Times New Roman"/>
          <w:szCs w:val="24"/>
        </w:rPr>
      </w:pPr>
    </w:p>
    <w:p w14:paraId="602EF9A0" w14:textId="77777777" w:rsidR="000C3F07" w:rsidRDefault="000C3F07" w:rsidP="000C3F07">
      <w:pPr>
        <w:rPr>
          <w:rFonts w:ascii="Times New Roman" w:hAnsi="Times New Roman" w:cs="Times New Roman"/>
          <w:szCs w:val="24"/>
        </w:rPr>
      </w:pPr>
    </w:p>
    <w:p w14:paraId="6D2CE8C4" w14:textId="77777777" w:rsidR="000C3F07" w:rsidRDefault="000C3F07" w:rsidP="000C3F07">
      <w:pPr>
        <w:rPr>
          <w:rFonts w:ascii="Times New Roman" w:hAnsi="Times New Roman" w:cs="Times New Roman"/>
          <w:szCs w:val="24"/>
        </w:rPr>
      </w:pPr>
    </w:p>
    <w:p w14:paraId="36EF22F4" w14:textId="77777777" w:rsidR="000C3F07" w:rsidRPr="000C3F07" w:rsidRDefault="000C3F07" w:rsidP="000C3F07">
      <w:pPr>
        <w:rPr>
          <w:rFonts w:ascii="Times New Roman" w:hAnsi="Times New Roman" w:cs="Times New Roman"/>
          <w:szCs w:val="24"/>
        </w:rPr>
      </w:pPr>
    </w:p>
    <w:p w14:paraId="643D676B" w14:textId="3E8BC565"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1.0 Introduction </w:t>
      </w:r>
    </w:p>
    <w:p w14:paraId="22B54F83"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Globalisation represents the growing interconnectedness of national economies through international trade, foreign investment, technology, information, financial flows and cross-border business relationships. It has substantially changed how organisations compete because businesses are increasingly able to source resources internationally, serve customers across multiple countries and coordinate geographically dispersed operations. At the same time, companies face competition from organisations originating far beyond their domestic markets.</w:t>
      </w:r>
    </w:p>
    <w:p w14:paraId="20B80DB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Technological development represents an especially important contemporary driver. Digital technologies facilitate real-time information flows and cross-border collaboration, while digitally based firms can internationalise parts of their business without establishing extensive traditional physical infrastructure. Recent international-business research therefore argues that digital transformation is reshaping multinational-enterprise activity, internationalisation and competitive advantage. </w:t>
      </w:r>
      <w:hyperlink r:id="rId8" w:history="1">
        <w:r w:rsidRPr="000C3F07">
          <w:rPr>
            <w:rStyle w:val="Hyperlink"/>
            <w:rFonts w:ascii="Times New Roman" w:hAnsi="Times New Roman" w:cs="Times New Roman"/>
            <w:szCs w:val="24"/>
          </w:rPr>
          <w:t>DOI</w:t>
        </w:r>
      </w:hyperlink>
      <w:r w:rsidRPr="000C3F07">
        <w:rPr>
          <w:rFonts w:ascii="Times New Roman" w:hAnsi="Times New Roman" w:cs="Times New Roman"/>
          <w:szCs w:val="24"/>
        </w:rPr>
        <w:t xml:space="preserve"> Empirical research across 183 countries has also found a positive relationship between globalisation and digital-technology adoption and spillovers. </w:t>
      </w:r>
      <w:hyperlink r:id="rId9" w:history="1">
        <w:r w:rsidRPr="000C3F07">
          <w:rPr>
            <w:rStyle w:val="Hyperlink"/>
            <w:rFonts w:ascii="Times New Roman" w:hAnsi="Times New Roman" w:cs="Times New Roman"/>
            <w:szCs w:val="24"/>
          </w:rPr>
          <w:t>DOI</w:t>
        </w:r>
      </w:hyperlink>
    </w:p>
    <w:p w14:paraId="4FF1DC26" w14:textId="277AEABB"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Nevertheless, global expansion creates substantial strategic challenges. Organisations entering foreign markets must determine which countries to target, how much capital to commit, how much control to retain and how extensively products and business practices should be adapted. Exporting provides relatively low commitment, whereas wholly owned foreign investment offers greater control but exposes the organisation to higher financial and institutional risks. Research indicates that cultural distance, governance quality, political risk and institutional differences can materially affect these entry decisions. </w:t>
      </w:r>
    </w:p>
    <w:p w14:paraId="0C97750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This report therefore critically evaluates how globalisation influences business operations, competitiveness and international expansion. It examines globalisation drivers, internationalisation theories, market-entry strategies, global competitive approaches and the principal cultural, political, regulatory and economic challenges confronting multinational organisations.</w:t>
      </w:r>
    </w:p>
    <w:p w14:paraId="29712B24" w14:textId="0F1CA89C" w:rsidR="000C3F07" w:rsidRDefault="000C3F07" w:rsidP="000C3F07">
      <w:pPr>
        <w:rPr>
          <w:rFonts w:ascii="Times New Roman" w:hAnsi="Times New Roman" w:cs="Times New Roman"/>
          <w:szCs w:val="24"/>
        </w:rPr>
      </w:pPr>
    </w:p>
    <w:p w14:paraId="05B99E94" w14:textId="77777777" w:rsidR="000C3F07" w:rsidRDefault="000C3F07" w:rsidP="000C3F07">
      <w:pPr>
        <w:rPr>
          <w:rFonts w:ascii="Times New Roman" w:hAnsi="Times New Roman" w:cs="Times New Roman"/>
          <w:szCs w:val="24"/>
        </w:rPr>
      </w:pPr>
    </w:p>
    <w:p w14:paraId="0D48F5AF" w14:textId="77777777" w:rsidR="000C3F07" w:rsidRDefault="000C3F07" w:rsidP="000C3F07">
      <w:pPr>
        <w:rPr>
          <w:rFonts w:ascii="Times New Roman" w:hAnsi="Times New Roman" w:cs="Times New Roman"/>
          <w:szCs w:val="24"/>
        </w:rPr>
      </w:pPr>
    </w:p>
    <w:p w14:paraId="55A6F91A" w14:textId="77777777" w:rsidR="000C3F07" w:rsidRDefault="000C3F07" w:rsidP="000C3F07">
      <w:pPr>
        <w:rPr>
          <w:rFonts w:ascii="Times New Roman" w:hAnsi="Times New Roman" w:cs="Times New Roman"/>
          <w:szCs w:val="24"/>
        </w:rPr>
      </w:pPr>
    </w:p>
    <w:p w14:paraId="38F72BE2" w14:textId="77777777" w:rsidR="000C3F07" w:rsidRDefault="000C3F07" w:rsidP="000C3F07">
      <w:pPr>
        <w:rPr>
          <w:rFonts w:ascii="Times New Roman" w:hAnsi="Times New Roman" w:cs="Times New Roman"/>
          <w:szCs w:val="24"/>
        </w:rPr>
      </w:pPr>
    </w:p>
    <w:p w14:paraId="327F971C" w14:textId="77777777" w:rsidR="000C3F07" w:rsidRDefault="000C3F07" w:rsidP="000C3F07">
      <w:pPr>
        <w:rPr>
          <w:rFonts w:ascii="Times New Roman" w:hAnsi="Times New Roman" w:cs="Times New Roman"/>
          <w:szCs w:val="24"/>
        </w:rPr>
      </w:pPr>
    </w:p>
    <w:p w14:paraId="76735501" w14:textId="77777777" w:rsidR="000C3F07" w:rsidRDefault="000C3F07" w:rsidP="000C3F07">
      <w:pPr>
        <w:rPr>
          <w:rFonts w:ascii="Times New Roman" w:hAnsi="Times New Roman" w:cs="Times New Roman"/>
          <w:szCs w:val="24"/>
        </w:rPr>
      </w:pPr>
    </w:p>
    <w:p w14:paraId="736EDC56" w14:textId="77777777" w:rsidR="000C3F07" w:rsidRPr="000C3F07" w:rsidRDefault="000C3F07" w:rsidP="000C3F07">
      <w:pPr>
        <w:rPr>
          <w:rFonts w:ascii="Times New Roman" w:hAnsi="Times New Roman" w:cs="Times New Roman"/>
          <w:szCs w:val="24"/>
        </w:rPr>
      </w:pPr>
    </w:p>
    <w:p w14:paraId="7590D440" w14:textId="597D24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2.0 Literature Review </w:t>
      </w:r>
    </w:p>
    <w:p w14:paraId="502B82BA"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2.1 Globalisation and the Modern Business Environment</w:t>
      </w:r>
    </w:p>
    <w:p w14:paraId="3042ED9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Globalisation can be understood as an intensification of economic and organisational connections across national boundaries. From a business perspective, its significance lies in the increasing international mobility of products, services, capital, information, technologies and organisational knowledge. Firms that once depended largely on domestic suppliers and consumers can now coordinate global supply chains and access geographically dispersed markets.</w:t>
      </w:r>
    </w:p>
    <w:p w14:paraId="12A09EE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Globalisation consequently affects both </w:t>
      </w:r>
      <w:r w:rsidRPr="000C3F07">
        <w:rPr>
          <w:rFonts w:ascii="Times New Roman" w:hAnsi="Times New Roman" w:cs="Times New Roman"/>
          <w:b/>
          <w:bCs/>
          <w:szCs w:val="24"/>
        </w:rPr>
        <w:t>opportunity and competition</w:t>
      </w:r>
      <w:r w:rsidRPr="000C3F07">
        <w:rPr>
          <w:rFonts w:ascii="Times New Roman" w:hAnsi="Times New Roman" w:cs="Times New Roman"/>
          <w:szCs w:val="24"/>
        </w:rPr>
        <w:t>. International markets provide opportunities to expand revenue, achieve economies of scale and access specialised resources. However, domestic firms simultaneously face stronger competition from foreign businesses.</w:t>
      </w:r>
    </w:p>
    <w:p w14:paraId="36FCEBD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For multinational enterprises (MNEs), the strategic problem is therefore not simply whether to internationalise but how to configure activities internationally while preserving competitive advantage.</w:t>
      </w:r>
    </w:p>
    <w:p w14:paraId="1FF094D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A useful representation is:</w:t>
      </w:r>
    </w:p>
    <w:p w14:paraId="6B8AA7A3"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Globalisation → Greater Market Access → Greater Competitive Pressure → International Strategic Response</w:t>
      </w:r>
    </w:p>
    <w:p w14:paraId="414E0682" w14:textId="65612B9E"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process is not uniform or irreversible. Contemporary international business is also characterised by geopolitical tensions, regulatory fragmentation and pressures towards regionalisation or selective deglobalisation. Recent research on digital international business notes that digital opportunities coexist with national-security concerns, complex regulation and geopolitical tension. </w:t>
      </w:r>
    </w:p>
    <w:p w14:paraId="695C9173" w14:textId="7F07B2BE" w:rsidR="000C3F07" w:rsidRPr="000C3F07" w:rsidRDefault="000C3F07" w:rsidP="000C3F07">
      <w:pPr>
        <w:rPr>
          <w:rFonts w:ascii="Times New Roman" w:hAnsi="Times New Roman" w:cs="Times New Roman"/>
          <w:szCs w:val="24"/>
        </w:rPr>
      </w:pPr>
    </w:p>
    <w:p w14:paraId="1F44DC05"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2.2 Major Drivers of Globalisation</w:t>
      </w:r>
    </w:p>
    <w:p w14:paraId="2FB96D3B"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Technology</w:t>
      </w:r>
    </w:p>
    <w:p w14:paraId="77A039DC"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Technological development has substantially reduced many costs associated with international coordination. Cloud platforms, digital communication, e-commerce, artificial intelligence and data analytics allow organisations to coordinate employees, suppliers and customers across geographical boundaries.</w:t>
      </w:r>
    </w:p>
    <w:p w14:paraId="58D8AD6C" w14:textId="5BD32B55" w:rsidR="000C3F07" w:rsidRDefault="000C3F07" w:rsidP="000C3F07">
      <w:pPr>
        <w:rPr>
          <w:rFonts w:ascii="Times New Roman" w:hAnsi="Times New Roman" w:cs="Times New Roman"/>
          <w:szCs w:val="24"/>
        </w:rPr>
      </w:pPr>
      <w:r w:rsidRPr="000C3F07">
        <w:rPr>
          <w:rFonts w:ascii="Times New Roman" w:hAnsi="Times New Roman" w:cs="Times New Roman"/>
          <w:szCs w:val="24"/>
        </w:rPr>
        <w:t>Schmeisser et al. (2026) argue that digital technologies facilitate real-time information flows and collaboration across distance and enable greater organisational flexibility, global learning and innovation. Digitalisation therefore changes not merely operational efficiency but also the underlying internationalisation possibilities available to firms.</w:t>
      </w:r>
    </w:p>
    <w:p w14:paraId="550FBC55" w14:textId="77777777" w:rsidR="000C3F07" w:rsidRPr="000C3F07" w:rsidRDefault="000C3F07" w:rsidP="000C3F07">
      <w:pPr>
        <w:rPr>
          <w:rFonts w:ascii="Times New Roman" w:hAnsi="Times New Roman" w:cs="Times New Roman"/>
          <w:szCs w:val="24"/>
        </w:rPr>
      </w:pPr>
    </w:p>
    <w:p w14:paraId="0B81F5DC"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Trade Liberalisation and Economic Integration</w:t>
      </w:r>
    </w:p>
    <w:p w14:paraId="13C1A26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Reductions in tariffs, investment restrictions and other cross-border barriers have historically encouraged international trade and investment. Regional integration arrangements can further reduce barriers between participating economies, enabling companies to organise production and distribution across multiple national markets.</w:t>
      </w:r>
    </w:p>
    <w:p w14:paraId="068147E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Nevertheless, international businesses cannot assume continued liberalisation. Tariffs, sanctions, investment restrictions and regulatory divergence can increase international transaction costs. Global strategy therefore requires continuous assessment of policy environments.</w:t>
      </w:r>
    </w:p>
    <w:p w14:paraId="28B13381"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Changing Consumer Behaviour</w:t>
      </w:r>
    </w:p>
    <w:p w14:paraId="31119EA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Greater international travel, digital media and e-commerce have exposed consumers to products and brands from multiple countries. This can create demand for internationally recognised offerings.</w:t>
      </w:r>
    </w:p>
    <w:p w14:paraId="0BFF33E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However, globalisation has not eliminated local preferences. Consumer expectations concerning price, product design, language, payment systems and service can remain significantly different across countries. International firms consequently face continuing tension between </w:t>
      </w:r>
      <w:r w:rsidRPr="000C3F07">
        <w:rPr>
          <w:rFonts w:ascii="Times New Roman" w:hAnsi="Times New Roman" w:cs="Times New Roman"/>
          <w:b/>
          <w:bCs/>
          <w:szCs w:val="24"/>
        </w:rPr>
        <w:t>standardisation and adaptation</w:t>
      </w:r>
      <w:r w:rsidRPr="000C3F07">
        <w:rPr>
          <w:rFonts w:ascii="Times New Roman" w:hAnsi="Times New Roman" w:cs="Times New Roman"/>
          <w:szCs w:val="24"/>
        </w:rPr>
        <w:t>.</w:t>
      </w:r>
    </w:p>
    <w:p w14:paraId="5876B4E0" w14:textId="57B8F094" w:rsidR="000C3F07" w:rsidRPr="000C3F07" w:rsidRDefault="000C3F07" w:rsidP="000C3F07">
      <w:pPr>
        <w:rPr>
          <w:rFonts w:ascii="Times New Roman" w:hAnsi="Times New Roman" w:cs="Times New Roman"/>
          <w:szCs w:val="24"/>
        </w:rPr>
      </w:pPr>
    </w:p>
    <w:p w14:paraId="5D05E9AA"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2.3 Internationalisation Theory</w:t>
      </w:r>
    </w:p>
    <w:p w14:paraId="46E1F50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Several theoretical perspectives explain why and how firms expand internationally.</w:t>
      </w:r>
    </w:p>
    <w:p w14:paraId="6580DD7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w:t>
      </w:r>
      <w:r w:rsidRPr="000C3F07">
        <w:rPr>
          <w:rFonts w:ascii="Times New Roman" w:hAnsi="Times New Roman" w:cs="Times New Roman"/>
          <w:b/>
          <w:bCs/>
          <w:szCs w:val="24"/>
        </w:rPr>
        <w:t>Uppsala internationalisation model</w:t>
      </w:r>
      <w:r w:rsidRPr="000C3F07">
        <w:rPr>
          <w:rFonts w:ascii="Times New Roman" w:hAnsi="Times New Roman" w:cs="Times New Roman"/>
          <w:szCs w:val="24"/>
        </w:rPr>
        <w:t xml:space="preserve"> proposes that firms can internationalise incrementally as experiential knowledge increases and uncertainty decreases. Firms may initially enter relatively familiar markets using low-commitment modes before progressively increasing their international commitments.</w:t>
      </w:r>
    </w:p>
    <w:p w14:paraId="1BBCD74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However, digital firms challenge strictly incremental interpretations because some businesses can reach international customers rapidly through digital platforms.</w:t>
      </w:r>
    </w:p>
    <w:p w14:paraId="369A94D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w:t>
      </w:r>
      <w:r w:rsidRPr="000C3F07">
        <w:rPr>
          <w:rFonts w:ascii="Times New Roman" w:hAnsi="Times New Roman" w:cs="Times New Roman"/>
          <w:b/>
          <w:bCs/>
          <w:szCs w:val="24"/>
        </w:rPr>
        <w:t>OLI or Eclectic Paradigm</w:t>
      </w:r>
      <w:r w:rsidRPr="000C3F07">
        <w:rPr>
          <w:rFonts w:ascii="Times New Roman" w:hAnsi="Times New Roman" w:cs="Times New Roman"/>
          <w:szCs w:val="24"/>
        </w:rPr>
        <w:t xml:space="preserve"> provides another influential explanation. It proposes that foreign direct investment can be understood through three advantages:</w:t>
      </w:r>
    </w:p>
    <w:tbl>
      <w:tblPr>
        <w:tblStyle w:val="TableGrid"/>
        <w:tblW w:w="0" w:type="auto"/>
        <w:tblLook w:val="04A0" w:firstRow="1" w:lastRow="0" w:firstColumn="1" w:lastColumn="0" w:noHBand="0" w:noVBand="1"/>
      </w:tblPr>
      <w:tblGrid>
        <w:gridCol w:w="2070"/>
        <w:gridCol w:w="5488"/>
      </w:tblGrid>
      <w:tr w:rsidR="000C3F07" w:rsidRPr="000C3F07" w14:paraId="317997C6" w14:textId="77777777" w:rsidTr="000C3F07">
        <w:tc>
          <w:tcPr>
            <w:tcW w:w="0" w:type="auto"/>
            <w:hideMark/>
          </w:tcPr>
          <w:p w14:paraId="634D70E5"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Dimension</w:t>
            </w:r>
          </w:p>
        </w:tc>
        <w:tc>
          <w:tcPr>
            <w:tcW w:w="0" w:type="auto"/>
            <w:hideMark/>
          </w:tcPr>
          <w:p w14:paraId="2CF0EB24"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Meaning</w:t>
            </w:r>
          </w:p>
        </w:tc>
      </w:tr>
      <w:tr w:rsidR="000C3F07" w:rsidRPr="000C3F07" w14:paraId="6F2C3890" w14:textId="77777777" w:rsidTr="000C3F07">
        <w:tc>
          <w:tcPr>
            <w:tcW w:w="0" w:type="auto"/>
            <w:hideMark/>
          </w:tcPr>
          <w:p w14:paraId="20C05CA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b/>
                <w:bCs/>
                <w:szCs w:val="24"/>
              </w:rPr>
              <w:t>O – Ownership</w:t>
            </w:r>
          </w:p>
        </w:tc>
        <w:tc>
          <w:tcPr>
            <w:tcW w:w="0" w:type="auto"/>
            <w:hideMark/>
          </w:tcPr>
          <w:p w14:paraId="0EAF1E5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Firm-specific assets, brands, technology or capabilities</w:t>
            </w:r>
          </w:p>
        </w:tc>
      </w:tr>
      <w:tr w:rsidR="000C3F07" w:rsidRPr="000C3F07" w14:paraId="3376B767" w14:textId="77777777" w:rsidTr="000C3F07">
        <w:tc>
          <w:tcPr>
            <w:tcW w:w="0" w:type="auto"/>
            <w:hideMark/>
          </w:tcPr>
          <w:p w14:paraId="0E82CC4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b/>
                <w:bCs/>
                <w:szCs w:val="24"/>
              </w:rPr>
              <w:t>L – Location</w:t>
            </w:r>
          </w:p>
        </w:tc>
        <w:tc>
          <w:tcPr>
            <w:tcW w:w="0" w:type="auto"/>
            <w:hideMark/>
          </w:tcPr>
          <w:p w14:paraId="4AE44D4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Advantages offered by a foreign country</w:t>
            </w:r>
          </w:p>
        </w:tc>
      </w:tr>
      <w:tr w:rsidR="000C3F07" w:rsidRPr="000C3F07" w14:paraId="22D650F6" w14:textId="77777777" w:rsidTr="000C3F07">
        <w:tc>
          <w:tcPr>
            <w:tcW w:w="0" w:type="auto"/>
            <w:hideMark/>
          </w:tcPr>
          <w:p w14:paraId="6C66ACE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b/>
                <w:bCs/>
                <w:szCs w:val="24"/>
              </w:rPr>
              <w:lastRenderedPageBreak/>
              <w:t>I – Internalisation</w:t>
            </w:r>
          </w:p>
        </w:tc>
        <w:tc>
          <w:tcPr>
            <w:tcW w:w="0" w:type="auto"/>
            <w:hideMark/>
          </w:tcPr>
          <w:p w14:paraId="3A03120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Benefits of controlling activities internally</w:t>
            </w:r>
          </w:p>
        </w:tc>
      </w:tr>
    </w:tbl>
    <w:p w14:paraId="12ECA15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framework helps explain why an organisation may choose FDI rather than simply exporting or licensing its capabilities.</w:t>
      </w:r>
    </w:p>
    <w:p w14:paraId="1AF76F3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Transaction-cost reasoning similarly suggests that organisations select governance arrangements partly by comparing the costs and risks associated with markets, partnerships and internal ownership.</w:t>
      </w:r>
    </w:p>
    <w:p w14:paraId="217333B4" w14:textId="75E44A7A" w:rsidR="000C3F07" w:rsidRPr="000C3F07" w:rsidRDefault="000C3F07" w:rsidP="000C3F07">
      <w:pPr>
        <w:rPr>
          <w:rFonts w:ascii="Times New Roman" w:hAnsi="Times New Roman" w:cs="Times New Roman"/>
          <w:szCs w:val="24"/>
        </w:rPr>
      </w:pPr>
    </w:p>
    <w:p w14:paraId="5B93513D"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2.4 International Market Selection</w:t>
      </w:r>
    </w:p>
    <w:p w14:paraId="3DA06AA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Internationalisation requires firms to decide </w:t>
      </w:r>
      <w:r w:rsidRPr="000C3F07">
        <w:rPr>
          <w:rFonts w:ascii="Times New Roman" w:hAnsi="Times New Roman" w:cs="Times New Roman"/>
          <w:b/>
          <w:bCs/>
          <w:szCs w:val="24"/>
        </w:rPr>
        <w:t>where</w:t>
      </w:r>
      <w:r w:rsidRPr="000C3F07">
        <w:rPr>
          <w:rFonts w:ascii="Times New Roman" w:hAnsi="Times New Roman" w:cs="Times New Roman"/>
          <w:szCs w:val="24"/>
        </w:rPr>
        <w:t xml:space="preserve"> to compete before determining </w:t>
      </w:r>
      <w:r w:rsidRPr="000C3F07">
        <w:rPr>
          <w:rFonts w:ascii="Times New Roman" w:hAnsi="Times New Roman" w:cs="Times New Roman"/>
          <w:b/>
          <w:bCs/>
          <w:szCs w:val="24"/>
        </w:rPr>
        <w:t>how</w:t>
      </w:r>
      <w:r w:rsidRPr="000C3F07">
        <w:rPr>
          <w:rFonts w:ascii="Times New Roman" w:hAnsi="Times New Roman" w:cs="Times New Roman"/>
          <w:szCs w:val="24"/>
        </w:rPr>
        <w:t xml:space="preserve"> to enter.</w:t>
      </w:r>
    </w:p>
    <w:p w14:paraId="4E27515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Market attractiveness can be evaluated through factors including:</w:t>
      </w:r>
    </w:p>
    <w:p w14:paraId="55677E6B"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market size and growth;</w:t>
      </w:r>
    </w:p>
    <w:p w14:paraId="7E69C195"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customer purchasing power;</w:t>
      </w:r>
    </w:p>
    <w:p w14:paraId="3A3474DB"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competitive intensity;</w:t>
      </w:r>
    </w:p>
    <w:p w14:paraId="0973B5A0"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infrastructure;</w:t>
      </w:r>
    </w:p>
    <w:p w14:paraId="370B7A37"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political stability;</w:t>
      </w:r>
    </w:p>
    <w:p w14:paraId="4E5C6792"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regulatory environment;</w:t>
      </w:r>
    </w:p>
    <w:p w14:paraId="49FE32D7"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cultural compatibility; and</w:t>
      </w:r>
    </w:p>
    <w:p w14:paraId="37F1440A" w14:textId="77777777" w:rsidR="000C3F07" w:rsidRPr="000C3F07" w:rsidRDefault="000C3F07" w:rsidP="000C3F07">
      <w:pPr>
        <w:numPr>
          <w:ilvl w:val="0"/>
          <w:numId w:val="1"/>
        </w:numPr>
        <w:rPr>
          <w:rFonts w:ascii="Times New Roman" w:hAnsi="Times New Roman" w:cs="Times New Roman"/>
          <w:szCs w:val="24"/>
        </w:rPr>
      </w:pPr>
      <w:r w:rsidRPr="000C3F07">
        <w:rPr>
          <w:rFonts w:ascii="Times New Roman" w:hAnsi="Times New Roman" w:cs="Times New Roman"/>
          <w:szCs w:val="24"/>
        </w:rPr>
        <w:t>availability of resources and capabilities.</w:t>
      </w:r>
    </w:p>
    <w:p w14:paraId="3DCBF69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Distance is particularly important. Differences between countries can increase information, coordination and adaptation costs. Cultural distance may influence communication and customer behaviour, while administrative or institutional distance affects regulation and governance.</w:t>
      </w:r>
    </w:p>
    <w:p w14:paraId="54C0F413" w14:textId="68E64141"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Research nevertheless shows that the relationship between institutional distance and entry mode is complex rather than uniform. A 2023 meta-analysis found that previous empirical conclusions are </w:t>
      </w:r>
      <w:proofErr w:type="gramStart"/>
      <w:r w:rsidRPr="000C3F07">
        <w:rPr>
          <w:rFonts w:ascii="Times New Roman" w:hAnsi="Times New Roman" w:cs="Times New Roman"/>
          <w:szCs w:val="24"/>
        </w:rPr>
        <w:t>inconsistent</w:t>
      </w:r>
      <w:proofErr w:type="gramEnd"/>
      <w:r w:rsidRPr="000C3F07">
        <w:rPr>
          <w:rFonts w:ascii="Times New Roman" w:hAnsi="Times New Roman" w:cs="Times New Roman"/>
          <w:szCs w:val="24"/>
        </w:rPr>
        <w:t xml:space="preserve"> and that industry, country characteristics, measurement choices and theoretical perspectives can moderate relationships between institutional distance and equity-based entry decisions. </w:t>
      </w:r>
    </w:p>
    <w:p w14:paraId="09604D3B" w14:textId="520A1C23" w:rsidR="000C3F07" w:rsidRDefault="000C3F07" w:rsidP="000C3F07">
      <w:pPr>
        <w:rPr>
          <w:rFonts w:ascii="Times New Roman" w:hAnsi="Times New Roman" w:cs="Times New Roman"/>
          <w:szCs w:val="24"/>
        </w:rPr>
      </w:pPr>
    </w:p>
    <w:p w14:paraId="2B15032E" w14:textId="77777777" w:rsidR="000C3F07" w:rsidRDefault="000C3F07" w:rsidP="000C3F07">
      <w:pPr>
        <w:rPr>
          <w:rFonts w:ascii="Times New Roman" w:hAnsi="Times New Roman" w:cs="Times New Roman"/>
          <w:szCs w:val="24"/>
        </w:rPr>
      </w:pPr>
    </w:p>
    <w:p w14:paraId="6F026464" w14:textId="77777777" w:rsidR="000C3F07" w:rsidRDefault="000C3F07" w:rsidP="000C3F07">
      <w:pPr>
        <w:rPr>
          <w:rFonts w:ascii="Times New Roman" w:hAnsi="Times New Roman" w:cs="Times New Roman"/>
          <w:szCs w:val="24"/>
        </w:rPr>
      </w:pPr>
    </w:p>
    <w:p w14:paraId="20381378" w14:textId="77777777" w:rsidR="000C3F07" w:rsidRDefault="000C3F07" w:rsidP="000C3F07">
      <w:pPr>
        <w:rPr>
          <w:rFonts w:ascii="Times New Roman" w:hAnsi="Times New Roman" w:cs="Times New Roman"/>
          <w:szCs w:val="24"/>
        </w:rPr>
      </w:pPr>
    </w:p>
    <w:p w14:paraId="64A70667" w14:textId="77777777" w:rsidR="000C3F07" w:rsidRPr="000C3F07" w:rsidRDefault="000C3F07" w:rsidP="000C3F07">
      <w:pPr>
        <w:rPr>
          <w:rFonts w:ascii="Times New Roman" w:hAnsi="Times New Roman" w:cs="Times New Roman"/>
          <w:szCs w:val="24"/>
        </w:rPr>
      </w:pPr>
    </w:p>
    <w:p w14:paraId="4E7F791E"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2.5 Exporting</w:t>
      </w:r>
    </w:p>
    <w:p w14:paraId="0B5665F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Exporting allows organisations to sell products into foreign markets while retaining much of their production in the home country. It normally requires less investment than establishing foreign subsidiaries and therefore provides a comparatively lower-risk method of internationalisation.</w:t>
      </w:r>
    </w:p>
    <w:p w14:paraId="0C91939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Advantages include relatively low capital commitment and the ability to test foreign-market demand. However, exporters may face transportation costs, tariffs, currency exposure and limited direct knowledge of customers.</w:t>
      </w:r>
    </w:p>
    <w:p w14:paraId="47D6B9F4"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Exporting is therefore particularly appropriate when products can be transported </w:t>
      </w:r>
      <w:proofErr w:type="gramStart"/>
      <w:r w:rsidRPr="000C3F07">
        <w:rPr>
          <w:rFonts w:ascii="Times New Roman" w:hAnsi="Times New Roman" w:cs="Times New Roman"/>
          <w:szCs w:val="24"/>
        </w:rPr>
        <w:t>economically</w:t>
      </w:r>
      <w:proofErr w:type="gramEnd"/>
      <w:r w:rsidRPr="000C3F07">
        <w:rPr>
          <w:rFonts w:ascii="Times New Roman" w:hAnsi="Times New Roman" w:cs="Times New Roman"/>
          <w:szCs w:val="24"/>
        </w:rPr>
        <w:t xml:space="preserve"> and the organisation wants international market exposure without extensive local investment.</w:t>
      </w:r>
    </w:p>
    <w:p w14:paraId="13A899CA" w14:textId="76AD997F" w:rsidR="000C3F07" w:rsidRPr="000C3F07" w:rsidRDefault="000C3F07" w:rsidP="000C3F07">
      <w:pPr>
        <w:rPr>
          <w:rFonts w:ascii="Times New Roman" w:hAnsi="Times New Roman" w:cs="Times New Roman"/>
          <w:szCs w:val="24"/>
        </w:rPr>
      </w:pPr>
    </w:p>
    <w:p w14:paraId="46208D2F"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2.6 Licensing and Franchising</w:t>
      </w:r>
    </w:p>
    <w:p w14:paraId="69D523C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Licensing</w:t>
      </w:r>
      <w:r w:rsidRPr="000C3F07">
        <w:rPr>
          <w:rFonts w:ascii="Times New Roman" w:hAnsi="Times New Roman" w:cs="Times New Roman"/>
          <w:szCs w:val="24"/>
        </w:rPr>
        <w:t xml:space="preserve"> allows a foreign organisation to use intellectual property, technology or other proprietary assets in return for fees or royalties. It enables international expansion without substantial direct investment.</w:t>
      </w:r>
    </w:p>
    <w:p w14:paraId="30C9A19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principal disadvantage is reduced control. Knowledge transferred to a licensee can potentially contribute to the development of future competitors.</w:t>
      </w:r>
    </w:p>
    <w:p w14:paraId="42490F13"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Franchising</w:t>
      </w:r>
      <w:r w:rsidRPr="000C3F07">
        <w:rPr>
          <w:rFonts w:ascii="Times New Roman" w:hAnsi="Times New Roman" w:cs="Times New Roman"/>
          <w:szCs w:val="24"/>
        </w:rPr>
        <w:t xml:space="preserve"> is especially relevant to service and retail businesses because franchisees operate according to an established brand and business model. It facilitates rapid expansion using local capital and knowledge.</w:t>
      </w:r>
    </w:p>
    <w:p w14:paraId="07D410F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However, inconsistent franchisee performance can damage brand reputation. Strong contractual systems, training and quality monitoring are therefore necessary.</w:t>
      </w:r>
    </w:p>
    <w:p w14:paraId="6D9C7F84" w14:textId="7CE6958B" w:rsidR="000C3F07" w:rsidRPr="000C3F07" w:rsidRDefault="000C3F07" w:rsidP="000C3F07">
      <w:pPr>
        <w:rPr>
          <w:rFonts w:ascii="Times New Roman" w:hAnsi="Times New Roman" w:cs="Times New Roman"/>
          <w:szCs w:val="24"/>
        </w:rPr>
      </w:pPr>
    </w:p>
    <w:p w14:paraId="27D4E157"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2.7 Strategic Alliances and Joint Ventures</w:t>
      </w:r>
    </w:p>
    <w:p w14:paraId="2CD5A025"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Strategic alliances enable organisations to combine complementary capabilities without necessarily creating complete ownership integration.</w:t>
      </w:r>
    </w:p>
    <w:p w14:paraId="1A6D879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A </w:t>
      </w:r>
      <w:r w:rsidRPr="000C3F07">
        <w:rPr>
          <w:rFonts w:ascii="Times New Roman" w:hAnsi="Times New Roman" w:cs="Times New Roman"/>
          <w:b/>
          <w:bCs/>
          <w:szCs w:val="24"/>
        </w:rPr>
        <w:t>joint venture (JV)</w:t>
      </w:r>
      <w:r w:rsidRPr="000C3F07">
        <w:rPr>
          <w:rFonts w:ascii="Times New Roman" w:hAnsi="Times New Roman" w:cs="Times New Roman"/>
          <w:szCs w:val="24"/>
        </w:rPr>
        <w:t xml:space="preserve"> creates a jointly owned business involving two or more partners. JVs can provide local market knowledge, distribution networks and relationships while sharing financial exposure.</w:t>
      </w:r>
    </w:p>
    <w:p w14:paraId="76F808D1" w14:textId="3503F1CE"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trade-off is reduced unilateral control and potential partner conflict. Governance quality is therefore important. Chang et al. (2012), analysing foreign entries by Taiwanese MNEs, found </w:t>
      </w:r>
      <w:r w:rsidRPr="000C3F07">
        <w:rPr>
          <w:rFonts w:ascii="Times New Roman" w:hAnsi="Times New Roman" w:cs="Times New Roman"/>
          <w:szCs w:val="24"/>
        </w:rPr>
        <w:lastRenderedPageBreak/>
        <w:t xml:space="preserve">that host-country governance quality interacts with cultural distance when organisations choose between JVs and wholly owned subsidiaries. </w:t>
      </w:r>
    </w:p>
    <w:p w14:paraId="24772D05"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Consequently, local partnerships should not automatically be considered the safest solution for culturally distant markets. The reliability of local institutions and partners also matters.</w:t>
      </w:r>
    </w:p>
    <w:p w14:paraId="0B06CC4C" w14:textId="73602C7F" w:rsidR="000C3F07" w:rsidRPr="000C3F07" w:rsidRDefault="000C3F07" w:rsidP="000C3F07">
      <w:pPr>
        <w:rPr>
          <w:rFonts w:ascii="Times New Roman" w:hAnsi="Times New Roman" w:cs="Times New Roman"/>
          <w:szCs w:val="24"/>
        </w:rPr>
      </w:pPr>
    </w:p>
    <w:p w14:paraId="1ED82AEC"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2.8 Foreign Direct Investment</w:t>
      </w:r>
    </w:p>
    <w:p w14:paraId="65F352C2"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Foreign direct investment involves a substantially greater commitment to a foreign market. Firms can establish new operations through </w:t>
      </w:r>
      <w:r w:rsidRPr="000C3F07">
        <w:rPr>
          <w:rFonts w:ascii="Times New Roman" w:hAnsi="Times New Roman" w:cs="Times New Roman"/>
          <w:b/>
          <w:bCs/>
          <w:szCs w:val="24"/>
        </w:rPr>
        <w:t>greenfield investment</w:t>
      </w:r>
      <w:r w:rsidRPr="000C3F07">
        <w:rPr>
          <w:rFonts w:ascii="Times New Roman" w:hAnsi="Times New Roman" w:cs="Times New Roman"/>
          <w:szCs w:val="24"/>
        </w:rPr>
        <w:t xml:space="preserve"> or acquire existing businesses.</w:t>
      </w:r>
    </w:p>
    <w:p w14:paraId="42BAD11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FDI offers greater managerial control and can provide closer access to customers, suppliers and local knowledge. However, it requires significant financial resources and exposes organisations more directly to political, regulatory and economic conditions.</w:t>
      </w:r>
    </w:p>
    <w:p w14:paraId="13F344E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relationship can broadly be expressed as:</w:t>
      </w:r>
    </w:p>
    <w:tbl>
      <w:tblPr>
        <w:tblStyle w:val="TableGrid"/>
        <w:tblW w:w="0" w:type="auto"/>
        <w:tblLook w:val="04A0" w:firstRow="1" w:lastRow="0" w:firstColumn="1" w:lastColumn="0" w:noHBand="0" w:noVBand="1"/>
      </w:tblPr>
      <w:tblGrid>
        <w:gridCol w:w="2136"/>
        <w:gridCol w:w="2578"/>
        <w:gridCol w:w="1590"/>
        <w:gridCol w:w="1630"/>
      </w:tblGrid>
      <w:tr w:rsidR="000C3F07" w:rsidRPr="000C3F07" w14:paraId="3A7C0731" w14:textId="77777777" w:rsidTr="000C3F07">
        <w:tc>
          <w:tcPr>
            <w:tcW w:w="0" w:type="auto"/>
            <w:hideMark/>
          </w:tcPr>
          <w:p w14:paraId="76A82A6F"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Entry Mode</w:t>
            </w:r>
          </w:p>
        </w:tc>
        <w:tc>
          <w:tcPr>
            <w:tcW w:w="0" w:type="auto"/>
            <w:hideMark/>
          </w:tcPr>
          <w:p w14:paraId="2C70EB92"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Resource Commitment</w:t>
            </w:r>
          </w:p>
        </w:tc>
        <w:tc>
          <w:tcPr>
            <w:tcW w:w="0" w:type="auto"/>
            <w:hideMark/>
          </w:tcPr>
          <w:p w14:paraId="030A14A3"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Control</w:t>
            </w:r>
          </w:p>
        </w:tc>
        <w:tc>
          <w:tcPr>
            <w:tcW w:w="0" w:type="auto"/>
            <w:hideMark/>
          </w:tcPr>
          <w:p w14:paraId="34C66777"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Exposure</w:t>
            </w:r>
          </w:p>
        </w:tc>
      </w:tr>
      <w:tr w:rsidR="000C3F07" w:rsidRPr="000C3F07" w14:paraId="1DD9B988" w14:textId="77777777" w:rsidTr="000C3F07">
        <w:tc>
          <w:tcPr>
            <w:tcW w:w="0" w:type="auto"/>
            <w:hideMark/>
          </w:tcPr>
          <w:p w14:paraId="432CADC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Exporting</w:t>
            </w:r>
          </w:p>
        </w:tc>
        <w:tc>
          <w:tcPr>
            <w:tcW w:w="0" w:type="auto"/>
            <w:hideMark/>
          </w:tcPr>
          <w:p w14:paraId="24148AD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431FD74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c>
          <w:tcPr>
            <w:tcW w:w="0" w:type="auto"/>
            <w:hideMark/>
          </w:tcPr>
          <w:p w14:paraId="379302A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Relatively low</w:t>
            </w:r>
          </w:p>
        </w:tc>
      </w:tr>
      <w:tr w:rsidR="000C3F07" w:rsidRPr="000C3F07" w14:paraId="6903AA9F" w14:textId="77777777" w:rsidTr="000C3F07">
        <w:tc>
          <w:tcPr>
            <w:tcW w:w="0" w:type="auto"/>
            <w:hideMark/>
          </w:tcPr>
          <w:p w14:paraId="44AF495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Licensing</w:t>
            </w:r>
          </w:p>
        </w:tc>
        <w:tc>
          <w:tcPr>
            <w:tcW w:w="0" w:type="auto"/>
            <w:hideMark/>
          </w:tcPr>
          <w:p w14:paraId="139E15A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32B2841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05820B9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r>
      <w:tr w:rsidR="000C3F07" w:rsidRPr="000C3F07" w14:paraId="38C700B3" w14:textId="77777777" w:rsidTr="000C3F07">
        <w:tc>
          <w:tcPr>
            <w:tcW w:w="0" w:type="auto"/>
            <w:hideMark/>
          </w:tcPr>
          <w:p w14:paraId="4CB57EE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Franchising</w:t>
            </w:r>
          </w:p>
        </w:tc>
        <w:tc>
          <w:tcPr>
            <w:tcW w:w="0" w:type="auto"/>
            <w:hideMark/>
          </w:tcPr>
          <w:p w14:paraId="69D19E3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c>
          <w:tcPr>
            <w:tcW w:w="0" w:type="auto"/>
            <w:hideMark/>
          </w:tcPr>
          <w:p w14:paraId="29B0407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69A6A2F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r>
      <w:tr w:rsidR="000C3F07" w:rsidRPr="000C3F07" w14:paraId="393E33DB" w14:textId="77777777" w:rsidTr="000C3F07">
        <w:tc>
          <w:tcPr>
            <w:tcW w:w="0" w:type="auto"/>
            <w:hideMark/>
          </w:tcPr>
          <w:p w14:paraId="4572AF7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Strategic Alliance</w:t>
            </w:r>
          </w:p>
        </w:tc>
        <w:tc>
          <w:tcPr>
            <w:tcW w:w="0" w:type="auto"/>
            <w:hideMark/>
          </w:tcPr>
          <w:p w14:paraId="5BC32DC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69C0A75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Shared</w:t>
            </w:r>
          </w:p>
        </w:tc>
        <w:tc>
          <w:tcPr>
            <w:tcW w:w="0" w:type="auto"/>
            <w:hideMark/>
          </w:tcPr>
          <w:p w14:paraId="1EE1030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r>
      <w:tr w:rsidR="000C3F07" w:rsidRPr="000C3F07" w14:paraId="16D781B7" w14:textId="77777777" w:rsidTr="000C3F07">
        <w:tc>
          <w:tcPr>
            <w:tcW w:w="0" w:type="auto"/>
            <w:hideMark/>
          </w:tcPr>
          <w:p w14:paraId="22582C4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Joint Venture</w:t>
            </w:r>
          </w:p>
        </w:tc>
        <w:tc>
          <w:tcPr>
            <w:tcW w:w="0" w:type="auto"/>
            <w:hideMark/>
          </w:tcPr>
          <w:p w14:paraId="2BA68F5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c>
          <w:tcPr>
            <w:tcW w:w="0" w:type="auto"/>
            <w:hideMark/>
          </w:tcPr>
          <w:p w14:paraId="2FD581E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Shared</w:t>
            </w:r>
          </w:p>
        </w:tc>
        <w:tc>
          <w:tcPr>
            <w:tcW w:w="0" w:type="auto"/>
            <w:hideMark/>
          </w:tcPr>
          <w:p w14:paraId="2CE636F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r>
      <w:tr w:rsidR="000C3F07" w:rsidRPr="000C3F07" w14:paraId="01960180" w14:textId="77777777" w:rsidTr="000C3F07">
        <w:tc>
          <w:tcPr>
            <w:tcW w:w="0" w:type="auto"/>
            <w:hideMark/>
          </w:tcPr>
          <w:p w14:paraId="6498171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Wholly Owned FDI</w:t>
            </w:r>
          </w:p>
        </w:tc>
        <w:tc>
          <w:tcPr>
            <w:tcW w:w="0" w:type="auto"/>
            <w:hideMark/>
          </w:tcPr>
          <w:p w14:paraId="39BB478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60B4661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03BCEB2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r>
    </w:tbl>
    <w:p w14:paraId="72C4462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This illustrates why there is no universally superior entry strategy.</w:t>
      </w:r>
    </w:p>
    <w:p w14:paraId="6EC4C213" w14:textId="70218AB5" w:rsidR="000C3F07" w:rsidRPr="000C3F07" w:rsidRDefault="000C3F07" w:rsidP="000C3F07">
      <w:pPr>
        <w:rPr>
          <w:rFonts w:ascii="Times New Roman" w:hAnsi="Times New Roman" w:cs="Times New Roman"/>
          <w:szCs w:val="24"/>
        </w:rPr>
      </w:pPr>
    </w:p>
    <w:p w14:paraId="0D565235"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2.9 Cultural, Political and Regulatory Challenges</w:t>
      </w:r>
    </w:p>
    <w:p w14:paraId="439C861B" w14:textId="51D32CFA"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Cultural differences can influence communication, negotiation, leadership, customer preferences and partnership relationships. Barkema, Bell and Pennings (1996) examined the relationship between cultural barriers, entry structures and organisational learning, highlighting the relevance of learning when operating across culturally distant environments. </w:t>
      </w:r>
    </w:p>
    <w:p w14:paraId="66D1A541" w14:textId="2D7149F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However, culture should not be analysed independently of institutions. Political instability, regulatory unpredictability, weak governance and legal differences can significantly alter entry risks. Research examining external uncertainty demonstrates that political risk, cultural distance and language diversity can interact in international entry decisions. </w:t>
      </w:r>
    </w:p>
    <w:p w14:paraId="13BD9A97" w14:textId="6E2F45B8"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lastRenderedPageBreak/>
        <w:t xml:space="preserve">Administrative distance also matters because differences in regulations, governance quality and political structures can increase the costs and difficulties associated with operating internationally. </w:t>
      </w:r>
    </w:p>
    <w:p w14:paraId="6BE03C83" w14:textId="26929E81" w:rsidR="000C3F07" w:rsidRPr="000C3F07" w:rsidRDefault="000C3F07" w:rsidP="000C3F07">
      <w:pPr>
        <w:rPr>
          <w:rFonts w:ascii="Times New Roman" w:hAnsi="Times New Roman" w:cs="Times New Roman"/>
          <w:szCs w:val="24"/>
        </w:rPr>
      </w:pPr>
    </w:p>
    <w:p w14:paraId="147E6D7F"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2.10 Global Integration versus Local Responsiveness</w:t>
      </w:r>
    </w:p>
    <w:p w14:paraId="513B5702"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One of the central strategic tensions confronting multinational enterprises is whether to standardise globally or adapt locally.</w:t>
      </w:r>
    </w:p>
    <w:p w14:paraId="6C85D89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Global integration</w:t>
      </w:r>
      <w:r w:rsidRPr="000C3F07">
        <w:rPr>
          <w:rFonts w:ascii="Times New Roman" w:hAnsi="Times New Roman" w:cs="Times New Roman"/>
          <w:szCs w:val="24"/>
        </w:rPr>
        <w:t xml:space="preserve"> can create economies of scale, consistent branding and operational efficiencies. </w:t>
      </w:r>
      <w:r w:rsidRPr="000C3F07">
        <w:rPr>
          <w:rFonts w:ascii="Times New Roman" w:hAnsi="Times New Roman" w:cs="Times New Roman"/>
          <w:b/>
          <w:bCs/>
          <w:szCs w:val="24"/>
        </w:rPr>
        <w:t>Local responsiveness</w:t>
      </w:r>
      <w:r w:rsidRPr="000C3F07">
        <w:rPr>
          <w:rFonts w:ascii="Times New Roman" w:hAnsi="Times New Roman" w:cs="Times New Roman"/>
          <w:szCs w:val="24"/>
        </w:rPr>
        <w:t xml:space="preserve"> enables firms to address different regulations, cultures and customer preferences.</w:t>
      </w:r>
    </w:p>
    <w:p w14:paraId="65D221A5"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Neither extreme is universally appropriate. A globally standardised product can achieve efficiencies but perform poorly where consumer requirements differ substantially. Excessive adaptation, however, can duplicate costs and weaken economies of scale.</w:t>
      </w:r>
    </w:p>
    <w:p w14:paraId="4961913B" w14:textId="61D77BAD"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Digitalisation may help organisations manage these competing pressures by improving cross-border coordination and information sharing. Recent empirical research specifically examines digitalisation as a mechanism through which multinational enterprises address pressures for global integration and local responsiveness. </w:t>
      </w:r>
    </w:p>
    <w:p w14:paraId="3F0D598D" w14:textId="22B07A42" w:rsidR="000C3F07" w:rsidRPr="000C3F07" w:rsidRDefault="000C3F07" w:rsidP="000C3F07">
      <w:pPr>
        <w:rPr>
          <w:rFonts w:ascii="Times New Roman" w:hAnsi="Times New Roman" w:cs="Times New Roman"/>
          <w:szCs w:val="24"/>
        </w:rPr>
      </w:pPr>
    </w:p>
    <w:p w14:paraId="7E315D3F"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2.11 Digital Globalisation and International Competitiveness</w:t>
      </w:r>
    </w:p>
    <w:p w14:paraId="46D330B9"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Digitalisation is reshaping the traditional international business model. Digital platforms can allow firms to reach international consumers without establishing extensive physical infrastructure in every market. Cloud computing enables international coordination, while data analytics can provide rapid customer and market intelligence.</w:t>
      </w:r>
    </w:p>
    <w:p w14:paraId="2F010658" w14:textId="68D0246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Research published in 2026 conceptualises digital transformation as affecting the activities, boundaries and organising logic of international businesses, while also creating new regulatory and geopolitical risks. Research on multinational enterprises similarly suggests that digitalisation reshapes internationalisation processes, location choices and sources of competitive advantage. </w:t>
      </w:r>
    </w:p>
    <w:p w14:paraId="555D2F57" w14:textId="674F0AB8"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Nevertheless, digitalisation does not eliminate international distance. Recent evidence suggests that differences between countries' informational environments can themselves influence multinational subsidiaries' digital transformation. </w:t>
      </w:r>
    </w:p>
    <w:p w14:paraId="72EE007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Overall, the literature demonstrates that globalisation creates opportunities but also increases strategic complexity. International competitive advantage depends on the ability to match firm capabilities with appropriate countries, entry modes and levels of local adaptation.</w:t>
      </w:r>
    </w:p>
    <w:p w14:paraId="2F9573C2" w14:textId="141184E6" w:rsidR="000C3F07" w:rsidRDefault="000C3F07" w:rsidP="000C3F07">
      <w:pPr>
        <w:rPr>
          <w:rFonts w:ascii="Times New Roman" w:hAnsi="Times New Roman" w:cs="Times New Roman"/>
          <w:szCs w:val="24"/>
        </w:rPr>
      </w:pPr>
    </w:p>
    <w:p w14:paraId="250E75CE" w14:textId="77777777" w:rsidR="000C3F07" w:rsidRDefault="000C3F07" w:rsidP="000C3F07">
      <w:pPr>
        <w:rPr>
          <w:rFonts w:ascii="Times New Roman" w:hAnsi="Times New Roman" w:cs="Times New Roman"/>
          <w:szCs w:val="24"/>
        </w:rPr>
      </w:pPr>
    </w:p>
    <w:p w14:paraId="065B7BCD" w14:textId="77777777" w:rsidR="000C3F07" w:rsidRPr="000C3F07" w:rsidRDefault="000C3F07" w:rsidP="000C3F07">
      <w:pPr>
        <w:rPr>
          <w:rFonts w:ascii="Times New Roman" w:hAnsi="Times New Roman" w:cs="Times New Roman"/>
          <w:szCs w:val="24"/>
        </w:rPr>
      </w:pPr>
    </w:p>
    <w:p w14:paraId="1386A3BC" w14:textId="7EA915B3"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3.0 Strategic Analysis / Methodology </w:t>
      </w:r>
    </w:p>
    <w:p w14:paraId="2F441700"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3.1 Research Design</w:t>
      </w:r>
    </w:p>
    <w:p w14:paraId="62331B3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This report adopts a </w:t>
      </w:r>
      <w:r w:rsidRPr="000C3F07">
        <w:rPr>
          <w:rFonts w:ascii="Times New Roman" w:hAnsi="Times New Roman" w:cs="Times New Roman"/>
          <w:b/>
          <w:bCs/>
          <w:szCs w:val="24"/>
        </w:rPr>
        <w:t>qualitative secondary-research design</w:t>
      </w:r>
      <w:r w:rsidRPr="000C3F07">
        <w:rPr>
          <w:rFonts w:ascii="Times New Roman" w:hAnsi="Times New Roman" w:cs="Times New Roman"/>
          <w:szCs w:val="24"/>
        </w:rPr>
        <w:t xml:space="preserve"> to analyse the influence of globalisation on international business strategy. This approach is appropriate because the objective is to integrate established theories, empirical research and documented corporate practices rather than generate new primary data.</w:t>
      </w:r>
    </w:p>
    <w:p w14:paraId="5DA7DA0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analysis is comparative and explanatory. Rather than </w:t>
      </w:r>
      <w:proofErr w:type="gramStart"/>
      <w:r w:rsidRPr="000C3F07">
        <w:rPr>
          <w:rFonts w:ascii="Times New Roman" w:hAnsi="Times New Roman" w:cs="Times New Roman"/>
          <w:szCs w:val="24"/>
        </w:rPr>
        <w:t>assuming that</w:t>
      </w:r>
      <w:proofErr w:type="gramEnd"/>
      <w:r w:rsidRPr="000C3F07">
        <w:rPr>
          <w:rFonts w:ascii="Times New Roman" w:hAnsi="Times New Roman" w:cs="Times New Roman"/>
          <w:szCs w:val="24"/>
        </w:rPr>
        <w:t xml:space="preserve"> internationalisation automatically improves organisational performance, the study examines the conditions under which different international strategies may generate benefits or create additional risk.</w:t>
      </w:r>
    </w:p>
    <w:p w14:paraId="0B634E14"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3.2 Literature Search Strategy</w:t>
      </w:r>
    </w:p>
    <w:p w14:paraId="7BB71673"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Academic evidence was identified primarily through </w:t>
      </w:r>
      <w:r w:rsidRPr="000C3F07">
        <w:rPr>
          <w:rFonts w:ascii="Times New Roman" w:hAnsi="Times New Roman" w:cs="Times New Roman"/>
          <w:b/>
          <w:bCs/>
          <w:szCs w:val="24"/>
        </w:rPr>
        <w:t>Google Scholar and major academic publishers and databases</w:t>
      </w:r>
      <w:r w:rsidRPr="000C3F07">
        <w:rPr>
          <w:rFonts w:ascii="Times New Roman" w:hAnsi="Times New Roman" w:cs="Times New Roman"/>
          <w:szCs w:val="24"/>
        </w:rPr>
        <w:t>, including ScienceDirect, Wiley, Emerald, Springer and Taylor &amp; Francis.</w:t>
      </w:r>
    </w:p>
    <w:p w14:paraId="39E53B0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Search terms included combinations of:</w:t>
      </w:r>
    </w:p>
    <w:p w14:paraId="2A16621F"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globalisation and international business;</w:t>
      </w:r>
    </w:p>
    <w:p w14:paraId="37BF0C4A"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multinational enterprise strategy;</w:t>
      </w:r>
    </w:p>
    <w:p w14:paraId="3747423C"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internationalisation;</w:t>
      </w:r>
    </w:p>
    <w:p w14:paraId="43C4B8FC"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international market entry;</w:t>
      </w:r>
    </w:p>
    <w:p w14:paraId="6CF9766F"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exporting and FDI;</w:t>
      </w:r>
    </w:p>
    <w:p w14:paraId="394166D4"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joint ventures;</w:t>
      </w:r>
    </w:p>
    <w:p w14:paraId="1D129913"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cultural distance;</w:t>
      </w:r>
    </w:p>
    <w:p w14:paraId="6D87415F"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institutional distance;</w:t>
      </w:r>
    </w:p>
    <w:p w14:paraId="78E3C0AF"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global integration and local responsiveness;</w:t>
      </w:r>
    </w:p>
    <w:p w14:paraId="5463FE6C"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political risk; and</w:t>
      </w:r>
    </w:p>
    <w:p w14:paraId="1B245106" w14:textId="77777777" w:rsidR="000C3F07" w:rsidRPr="000C3F07" w:rsidRDefault="000C3F07" w:rsidP="000C3F07">
      <w:pPr>
        <w:numPr>
          <w:ilvl w:val="0"/>
          <w:numId w:val="2"/>
        </w:numPr>
        <w:rPr>
          <w:rFonts w:ascii="Times New Roman" w:hAnsi="Times New Roman" w:cs="Times New Roman"/>
          <w:szCs w:val="24"/>
        </w:rPr>
      </w:pPr>
      <w:r w:rsidRPr="000C3F07">
        <w:rPr>
          <w:rFonts w:ascii="Times New Roman" w:hAnsi="Times New Roman" w:cs="Times New Roman"/>
          <w:szCs w:val="24"/>
        </w:rPr>
        <w:t>digital internationalisation.</w:t>
      </w:r>
    </w:p>
    <w:p w14:paraId="5B451A36" w14:textId="77777777" w:rsidR="000C3F07" w:rsidRDefault="000C3F07" w:rsidP="000C3F07">
      <w:pPr>
        <w:rPr>
          <w:rFonts w:ascii="Times New Roman" w:hAnsi="Times New Roman" w:cs="Times New Roman"/>
          <w:szCs w:val="24"/>
        </w:rPr>
      </w:pPr>
      <w:r w:rsidRPr="000C3F07">
        <w:rPr>
          <w:rFonts w:ascii="Times New Roman" w:hAnsi="Times New Roman" w:cs="Times New Roman"/>
          <w:szCs w:val="24"/>
        </w:rPr>
        <w:t>Peer-reviewed journal articles were prioritised. Foundational literature was retained where necessary to explain established theories, while contemporary research was included to capture digitalisation and changing international environments.</w:t>
      </w:r>
    </w:p>
    <w:p w14:paraId="548C2852" w14:textId="77777777" w:rsidR="000C3F07" w:rsidRDefault="000C3F07" w:rsidP="000C3F07">
      <w:pPr>
        <w:rPr>
          <w:rFonts w:ascii="Times New Roman" w:hAnsi="Times New Roman" w:cs="Times New Roman"/>
          <w:szCs w:val="24"/>
        </w:rPr>
      </w:pPr>
    </w:p>
    <w:p w14:paraId="62203041" w14:textId="77777777" w:rsidR="000C3F07" w:rsidRPr="000C3F07" w:rsidRDefault="000C3F07" w:rsidP="000C3F07">
      <w:pPr>
        <w:rPr>
          <w:rFonts w:ascii="Times New Roman" w:hAnsi="Times New Roman" w:cs="Times New Roman"/>
          <w:szCs w:val="24"/>
        </w:rPr>
      </w:pPr>
    </w:p>
    <w:p w14:paraId="050B6AF4"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3.3 Analytical Framework</w:t>
      </w:r>
    </w:p>
    <w:p w14:paraId="2212C43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report uses a sequential internationalisation framework:</w:t>
      </w:r>
    </w:p>
    <w:p w14:paraId="44FF61C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Global Environment → Country Selection → Entry-Mode Choice → International Configuration → Local Adaptation → Performance Review</w:t>
      </w:r>
    </w:p>
    <w:p w14:paraId="1457E92A"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At the global-environment stage, technological, economic, regulatory and competitive conditions are assessed. Country selection then considers market attractiveness alongside cultural, political and institutional risk.</w:t>
      </w:r>
    </w:p>
    <w:p w14:paraId="0B98B51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Entry-mode analysis evaluates exporting, licensing, franchising, alliances, JVs and FDI according to four principal criteria: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2"/>
        <w:gridCol w:w="4174"/>
      </w:tblGrid>
      <w:tr w:rsidR="000C3F07" w:rsidRPr="000C3F07" w14:paraId="112FFD64" w14:textId="77777777">
        <w:trPr>
          <w:tblHeader/>
          <w:tblCellSpacing w:w="15" w:type="dxa"/>
        </w:trPr>
        <w:tc>
          <w:tcPr>
            <w:tcW w:w="0" w:type="auto"/>
            <w:vAlign w:val="center"/>
            <w:hideMark/>
          </w:tcPr>
          <w:p w14:paraId="7C6916F6"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Criterion</w:t>
            </w:r>
          </w:p>
        </w:tc>
        <w:tc>
          <w:tcPr>
            <w:tcW w:w="0" w:type="auto"/>
            <w:vAlign w:val="center"/>
            <w:hideMark/>
          </w:tcPr>
          <w:p w14:paraId="66A2DE1D"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Analytical Question</w:t>
            </w:r>
          </w:p>
        </w:tc>
      </w:tr>
      <w:tr w:rsidR="000C3F07" w:rsidRPr="000C3F07" w14:paraId="418A39B8" w14:textId="77777777">
        <w:trPr>
          <w:tblCellSpacing w:w="15" w:type="dxa"/>
        </w:trPr>
        <w:tc>
          <w:tcPr>
            <w:tcW w:w="0" w:type="auto"/>
            <w:vAlign w:val="center"/>
            <w:hideMark/>
          </w:tcPr>
          <w:p w14:paraId="7918ACA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Investment</w:t>
            </w:r>
          </w:p>
        </w:tc>
        <w:tc>
          <w:tcPr>
            <w:tcW w:w="0" w:type="auto"/>
            <w:vAlign w:val="center"/>
            <w:hideMark/>
          </w:tcPr>
          <w:p w14:paraId="42A4A63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How much capital is required?</w:t>
            </w:r>
          </w:p>
        </w:tc>
      </w:tr>
      <w:tr w:rsidR="000C3F07" w:rsidRPr="000C3F07" w14:paraId="28844634" w14:textId="77777777">
        <w:trPr>
          <w:tblCellSpacing w:w="15" w:type="dxa"/>
        </w:trPr>
        <w:tc>
          <w:tcPr>
            <w:tcW w:w="0" w:type="auto"/>
            <w:vAlign w:val="center"/>
            <w:hideMark/>
          </w:tcPr>
          <w:p w14:paraId="6ED50D3A"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Control</w:t>
            </w:r>
          </w:p>
        </w:tc>
        <w:tc>
          <w:tcPr>
            <w:tcW w:w="0" w:type="auto"/>
            <w:vAlign w:val="center"/>
            <w:hideMark/>
          </w:tcPr>
          <w:p w14:paraId="7E694B8C"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How much operational control is retained?</w:t>
            </w:r>
          </w:p>
        </w:tc>
      </w:tr>
      <w:tr w:rsidR="000C3F07" w:rsidRPr="000C3F07" w14:paraId="0DE008A8" w14:textId="77777777">
        <w:trPr>
          <w:tblCellSpacing w:w="15" w:type="dxa"/>
        </w:trPr>
        <w:tc>
          <w:tcPr>
            <w:tcW w:w="0" w:type="auto"/>
            <w:vAlign w:val="center"/>
            <w:hideMark/>
          </w:tcPr>
          <w:p w14:paraId="7585F49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Risk</w:t>
            </w:r>
          </w:p>
        </w:tc>
        <w:tc>
          <w:tcPr>
            <w:tcW w:w="0" w:type="auto"/>
            <w:vAlign w:val="center"/>
            <w:hideMark/>
          </w:tcPr>
          <w:p w14:paraId="2F05D599"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What exposure does the firm accept?</w:t>
            </w:r>
          </w:p>
        </w:tc>
      </w:tr>
      <w:tr w:rsidR="000C3F07" w:rsidRPr="000C3F07" w14:paraId="25C18FBD" w14:textId="77777777">
        <w:trPr>
          <w:tblCellSpacing w:w="15" w:type="dxa"/>
        </w:trPr>
        <w:tc>
          <w:tcPr>
            <w:tcW w:w="0" w:type="auto"/>
            <w:vAlign w:val="center"/>
            <w:hideMark/>
          </w:tcPr>
          <w:p w14:paraId="66B8BFB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Flexibility</w:t>
            </w:r>
          </w:p>
        </w:tc>
        <w:tc>
          <w:tcPr>
            <w:tcW w:w="0" w:type="auto"/>
            <w:vAlign w:val="center"/>
            <w:hideMark/>
          </w:tcPr>
          <w:p w14:paraId="58A0A40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How easily can commitment be changed?</w:t>
            </w:r>
          </w:p>
        </w:tc>
      </w:tr>
    </w:tbl>
    <w:p w14:paraId="0DB40E6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framework subsequently examines how organisations balance international integration with local responsiveness.</w:t>
      </w:r>
    </w:p>
    <w:p w14:paraId="4F99E0A8"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3.4 Theoretical Frameworks</w:t>
      </w:r>
    </w:p>
    <w:p w14:paraId="5D4C794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Several theories are used because no single perspective completely explains international expansion.</w:t>
      </w:r>
    </w:p>
    <w:p w14:paraId="59D66AD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w:t>
      </w:r>
      <w:r w:rsidRPr="000C3F07">
        <w:rPr>
          <w:rFonts w:ascii="Times New Roman" w:hAnsi="Times New Roman" w:cs="Times New Roman"/>
          <w:b/>
          <w:bCs/>
          <w:szCs w:val="24"/>
        </w:rPr>
        <w:t>Uppsala model</w:t>
      </w:r>
      <w:r w:rsidRPr="000C3F07">
        <w:rPr>
          <w:rFonts w:ascii="Times New Roman" w:hAnsi="Times New Roman" w:cs="Times New Roman"/>
          <w:szCs w:val="24"/>
        </w:rPr>
        <w:t xml:space="preserve"> supports analysis of experiential learning and incremental internationalisation. The </w:t>
      </w:r>
      <w:r w:rsidRPr="000C3F07">
        <w:rPr>
          <w:rFonts w:ascii="Times New Roman" w:hAnsi="Times New Roman" w:cs="Times New Roman"/>
          <w:b/>
          <w:bCs/>
          <w:szCs w:val="24"/>
        </w:rPr>
        <w:t>OLI framework</w:t>
      </w:r>
      <w:r w:rsidRPr="000C3F07">
        <w:rPr>
          <w:rFonts w:ascii="Times New Roman" w:hAnsi="Times New Roman" w:cs="Times New Roman"/>
          <w:szCs w:val="24"/>
        </w:rPr>
        <w:t xml:space="preserve"> explains how ownership, location and internalisation advantages can support FDI. </w:t>
      </w:r>
      <w:r w:rsidRPr="000C3F07">
        <w:rPr>
          <w:rFonts w:ascii="Times New Roman" w:hAnsi="Times New Roman" w:cs="Times New Roman"/>
          <w:b/>
          <w:bCs/>
          <w:szCs w:val="24"/>
        </w:rPr>
        <w:t>Transaction Cost Economics</w:t>
      </w:r>
      <w:r w:rsidRPr="000C3F07">
        <w:rPr>
          <w:rFonts w:ascii="Times New Roman" w:hAnsi="Times New Roman" w:cs="Times New Roman"/>
          <w:szCs w:val="24"/>
        </w:rPr>
        <w:t xml:space="preserve"> contributes to evaluating whether activities should be conducted through markets, partnerships or internal ownership.</w:t>
      </w:r>
    </w:p>
    <w:p w14:paraId="11CEB612" w14:textId="07E81086" w:rsid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An </w:t>
      </w:r>
      <w:r w:rsidRPr="000C3F07">
        <w:rPr>
          <w:rFonts w:ascii="Times New Roman" w:hAnsi="Times New Roman" w:cs="Times New Roman"/>
          <w:b/>
          <w:bCs/>
          <w:szCs w:val="24"/>
        </w:rPr>
        <w:t>institution-based perspective</w:t>
      </w:r>
      <w:r w:rsidRPr="000C3F07">
        <w:rPr>
          <w:rFonts w:ascii="Times New Roman" w:hAnsi="Times New Roman" w:cs="Times New Roman"/>
          <w:szCs w:val="24"/>
        </w:rPr>
        <w:t xml:space="preserve"> is used to evaluate regulatory, political and governance differences. Cultural and institutional distance are treated as contextual influences rather than automatic determinants of a specific entry mode, reflecting the mixed findings reported in contemporary meta-analysis. </w:t>
      </w:r>
    </w:p>
    <w:p w14:paraId="4B5717B9" w14:textId="77777777" w:rsidR="000C3F07" w:rsidRDefault="000C3F07" w:rsidP="000C3F07">
      <w:pPr>
        <w:rPr>
          <w:rFonts w:ascii="Times New Roman" w:hAnsi="Times New Roman" w:cs="Times New Roman"/>
          <w:szCs w:val="24"/>
        </w:rPr>
      </w:pPr>
    </w:p>
    <w:p w14:paraId="1A4D9BCB" w14:textId="77777777" w:rsidR="000C3F07" w:rsidRDefault="000C3F07" w:rsidP="000C3F07">
      <w:pPr>
        <w:rPr>
          <w:rFonts w:ascii="Times New Roman" w:hAnsi="Times New Roman" w:cs="Times New Roman"/>
          <w:szCs w:val="24"/>
        </w:rPr>
      </w:pPr>
    </w:p>
    <w:p w14:paraId="7A3575AA" w14:textId="77777777" w:rsidR="000C3F07" w:rsidRPr="000C3F07" w:rsidRDefault="000C3F07" w:rsidP="000C3F07">
      <w:pPr>
        <w:rPr>
          <w:rFonts w:ascii="Times New Roman" w:hAnsi="Times New Roman" w:cs="Times New Roman"/>
          <w:szCs w:val="24"/>
        </w:rPr>
      </w:pPr>
    </w:p>
    <w:p w14:paraId="422B87D6"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3.5 Business Case Application</w:t>
      </w:r>
    </w:p>
    <w:p w14:paraId="1B06F88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Real-world multinational examples are used to illustrate how organisations combine international entry modes and localisation strategies. Examples can include firms operating through combinations of exports, licensing, partnerships, acquisitions, subsidiaries and digital channels.</w:t>
      </w:r>
    </w:p>
    <w:p w14:paraId="7579406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cases are used illustratively rather than treated as proof that a particular strategy is universally successful. Organisational practices are interpreted through the theoretical frameworks identified above.</w:t>
      </w:r>
    </w:p>
    <w:p w14:paraId="47A9EA05"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3.6 Analytical Limitations</w:t>
      </w:r>
    </w:p>
    <w:p w14:paraId="5C8399DB" w14:textId="654A77CD"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Secondary research has limitations because international business studies cover different industries, countries and periods. Findings from manufacturing firms may not apply directly to digital platforms or service companies. Entry-mode studies also produce inconsistent findings regarding cultural and institutional distance. </w:t>
      </w:r>
    </w:p>
    <w:p w14:paraId="3FB250C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Furthermore, geopolitical and technological environments change rapidly. The analysis therefore avoids </w:t>
      </w:r>
      <w:proofErr w:type="gramStart"/>
      <w:r w:rsidRPr="000C3F07">
        <w:rPr>
          <w:rFonts w:ascii="Times New Roman" w:hAnsi="Times New Roman" w:cs="Times New Roman"/>
          <w:szCs w:val="24"/>
        </w:rPr>
        <w:t>assuming that</w:t>
      </w:r>
      <w:proofErr w:type="gramEnd"/>
      <w:r w:rsidRPr="000C3F07">
        <w:rPr>
          <w:rFonts w:ascii="Times New Roman" w:hAnsi="Times New Roman" w:cs="Times New Roman"/>
          <w:szCs w:val="24"/>
        </w:rPr>
        <w:t xml:space="preserve"> historical internationalisation strategies remain equally appropriate under current conditions.</w:t>
      </w:r>
    </w:p>
    <w:p w14:paraId="36D2DE6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Despite these limitations, combining established internationalisation theory, recent peer-reviewed research and business applications </w:t>
      </w:r>
      <w:proofErr w:type="gramStart"/>
      <w:r w:rsidRPr="000C3F07">
        <w:rPr>
          <w:rFonts w:ascii="Times New Roman" w:hAnsi="Times New Roman" w:cs="Times New Roman"/>
          <w:szCs w:val="24"/>
        </w:rPr>
        <w:t>provides</w:t>
      </w:r>
      <w:proofErr w:type="gramEnd"/>
      <w:r w:rsidRPr="000C3F07">
        <w:rPr>
          <w:rFonts w:ascii="Times New Roman" w:hAnsi="Times New Roman" w:cs="Times New Roman"/>
          <w:szCs w:val="24"/>
        </w:rPr>
        <w:t xml:space="preserve"> an appropriate basis for analysing globalisation and international business strategy.</w:t>
      </w:r>
    </w:p>
    <w:p w14:paraId="52AB0104" w14:textId="6FF0005A" w:rsidR="000C3F07" w:rsidRPr="000C3F07" w:rsidRDefault="000C3F07" w:rsidP="000C3F07">
      <w:pPr>
        <w:rPr>
          <w:rFonts w:ascii="Times New Roman" w:hAnsi="Times New Roman" w:cs="Times New Roman"/>
          <w:szCs w:val="24"/>
        </w:rPr>
      </w:pPr>
    </w:p>
    <w:p w14:paraId="0552CA01" w14:textId="74E2DE18"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4.0 Findings and Analysis </w:t>
      </w:r>
    </w:p>
    <w:p w14:paraId="541C29C8"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4.1 Globalisation Expands Opportunity but Also Competition</w:t>
      </w:r>
    </w:p>
    <w:p w14:paraId="577BB7F2"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first major finding is that globalisation simultaneously increases market opportunities and competitive intensity. Internationalisation provides access to new customers, resources, knowledge and potential economies of scale. However, organisations also face competitors capable of entering their domestic markets.</w:t>
      </w:r>
    </w:p>
    <w:p w14:paraId="404C940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Therefore, globalisation should not be interpreted simply as geographical expansion. It changes the competitive reference point from domestic rivals to potentially global competitors.</w:t>
      </w:r>
    </w:p>
    <w:p w14:paraId="54D7DDE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Organisations need capabilities that can be transferred internationally while remaining sufficiently adaptable to different market environments.</w:t>
      </w:r>
    </w:p>
    <w:p w14:paraId="7869EA4B"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4.2 Technology Has Reduced Some Internationalisation Barriers</w:t>
      </w:r>
    </w:p>
    <w:p w14:paraId="124E4299" w14:textId="3E6F2AC4"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lastRenderedPageBreak/>
        <w:t xml:space="preserve">Digital technology emerged as one of the strongest contemporary influences on international business. Research shows that digital technologies enable cross-border information exchange, collaboration and organisational flexibility. </w:t>
      </w:r>
    </w:p>
    <w:p w14:paraId="5F5DAB1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Digital platforms also enable certain organisations to enter foreign markets with less physical investment than traditional multinational models required.</w:t>
      </w:r>
    </w:p>
    <w:p w14:paraId="27798472" w14:textId="49C87858"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However, the analysis reveals an important qualification: </w:t>
      </w:r>
      <w:r w:rsidRPr="000C3F07">
        <w:rPr>
          <w:rFonts w:ascii="Times New Roman" w:hAnsi="Times New Roman" w:cs="Times New Roman"/>
          <w:b/>
          <w:bCs/>
          <w:szCs w:val="24"/>
        </w:rPr>
        <w:t>digital does not mean borderless</w:t>
      </w:r>
      <w:r w:rsidRPr="000C3F07">
        <w:rPr>
          <w:rFonts w:ascii="Times New Roman" w:hAnsi="Times New Roman" w:cs="Times New Roman"/>
          <w:szCs w:val="24"/>
        </w:rPr>
        <w:t xml:space="preserve">. Data regulation, cybersecurity requirements, digital infrastructure and national informational environments differ substantially. Recent research identifies cross-country information distance as relevant to multinational digital transformation. </w:t>
      </w:r>
    </w:p>
    <w:p w14:paraId="7BDAE34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Therefore:</w:t>
      </w:r>
    </w:p>
    <w:p w14:paraId="174D064A"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Digital Capability + International Reach ≠ Elimination of Country Differences</w:t>
      </w:r>
    </w:p>
    <w:p w14:paraId="00F6F81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Technology reduces some distances while making other regulatory and informational differences strategically important.</w:t>
      </w:r>
    </w:p>
    <w:p w14:paraId="1D97339D"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4.3 Market-Entry Mode Involves a Control–Risk–Commitment Trade-Off</w:t>
      </w:r>
    </w:p>
    <w:p w14:paraId="4CA3D18C"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A major finding concerns the absence of one universally optimal entry strategy.</w:t>
      </w:r>
    </w:p>
    <w:p w14:paraId="43AAC01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Exporting and licensing generally involve lower capital commitments but provide less control. JVs share investment and can provide local knowledge but create partner-dependence. Wholly owned subsidiaries provide extensive control but expose the organisation to greater capital and country-specific risks.</w:t>
      </w:r>
    </w:p>
    <w:p w14:paraId="0897F472"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This relationship can be summarised as follows:</w:t>
      </w:r>
    </w:p>
    <w:tbl>
      <w:tblPr>
        <w:tblStyle w:val="TableGrid"/>
        <w:tblW w:w="0" w:type="auto"/>
        <w:tblLook w:val="04A0" w:firstRow="1" w:lastRow="0" w:firstColumn="1" w:lastColumn="0" w:noHBand="0" w:noVBand="1"/>
      </w:tblPr>
      <w:tblGrid>
        <w:gridCol w:w="2136"/>
        <w:gridCol w:w="1630"/>
        <w:gridCol w:w="1030"/>
        <w:gridCol w:w="2723"/>
        <w:gridCol w:w="1713"/>
      </w:tblGrid>
      <w:tr w:rsidR="000C3F07" w:rsidRPr="000C3F07" w14:paraId="51DCE83D" w14:textId="77777777" w:rsidTr="000C3F07">
        <w:tc>
          <w:tcPr>
            <w:tcW w:w="0" w:type="auto"/>
            <w:hideMark/>
          </w:tcPr>
          <w:p w14:paraId="488974D5"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Entry Strategy</w:t>
            </w:r>
          </w:p>
        </w:tc>
        <w:tc>
          <w:tcPr>
            <w:tcW w:w="0" w:type="auto"/>
            <w:hideMark/>
          </w:tcPr>
          <w:p w14:paraId="5C53EACA"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Investment</w:t>
            </w:r>
          </w:p>
        </w:tc>
        <w:tc>
          <w:tcPr>
            <w:tcW w:w="0" w:type="auto"/>
            <w:hideMark/>
          </w:tcPr>
          <w:p w14:paraId="1A63384D"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Control</w:t>
            </w:r>
          </w:p>
        </w:tc>
        <w:tc>
          <w:tcPr>
            <w:tcW w:w="0" w:type="auto"/>
            <w:hideMark/>
          </w:tcPr>
          <w:p w14:paraId="6B73B18B"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Local Knowledge Access</w:t>
            </w:r>
          </w:p>
        </w:tc>
        <w:tc>
          <w:tcPr>
            <w:tcW w:w="0" w:type="auto"/>
            <w:hideMark/>
          </w:tcPr>
          <w:p w14:paraId="506F1DF4"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Risk Exposure</w:t>
            </w:r>
          </w:p>
        </w:tc>
      </w:tr>
      <w:tr w:rsidR="000C3F07" w:rsidRPr="000C3F07" w14:paraId="14F92817" w14:textId="77777777" w:rsidTr="000C3F07">
        <w:tc>
          <w:tcPr>
            <w:tcW w:w="0" w:type="auto"/>
            <w:hideMark/>
          </w:tcPr>
          <w:p w14:paraId="22C65AC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Exporting</w:t>
            </w:r>
          </w:p>
        </w:tc>
        <w:tc>
          <w:tcPr>
            <w:tcW w:w="0" w:type="auto"/>
            <w:hideMark/>
          </w:tcPr>
          <w:p w14:paraId="2E947BD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1160169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2E4F61C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36667DE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r>
      <w:tr w:rsidR="000C3F07" w:rsidRPr="000C3F07" w14:paraId="00B32E3D" w14:textId="77777777" w:rsidTr="000C3F07">
        <w:tc>
          <w:tcPr>
            <w:tcW w:w="0" w:type="auto"/>
            <w:hideMark/>
          </w:tcPr>
          <w:p w14:paraId="3583C90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Licensing</w:t>
            </w:r>
          </w:p>
        </w:tc>
        <w:tc>
          <w:tcPr>
            <w:tcW w:w="0" w:type="auto"/>
            <w:hideMark/>
          </w:tcPr>
          <w:p w14:paraId="1BC4071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4A51706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3152C25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4EF74F8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r>
      <w:tr w:rsidR="000C3F07" w:rsidRPr="000C3F07" w14:paraId="30080FBC" w14:textId="77777777" w:rsidTr="000C3F07">
        <w:tc>
          <w:tcPr>
            <w:tcW w:w="0" w:type="auto"/>
            <w:hideMark/>
          </w:tcPr>
          <w:p w14:paraId="75018A1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Franchising</w:t>
            </w:r>
          </w:p>
        </w:tc>
        <w:tc>
          <w:tcPr>
            <w:tcW w:w="0" w:type="auto"/>
            <w:hideMark/>
          </w:tcPr>
          <w:p w14:paraId="571C5DF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c>
          <w:tcPr>
            <w:tcW w:w="0" w:type="auto"/>
            <w:hideMark/>
          </w:tcPr>
          <w:p w14:paraId="764DB39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1DF02A3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2190187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r>
      <w:tr w:rsidR="000C3F07" w:rsidRPr="000C3F07" w14:paraId="041A54B1" w14:textId="77777777" w:rsidTr="000C3F07">
        <w:tc>
          <w:tcPr>
            <w:tcW w:w="0" w:type="auto"/>
            <w:hideMark/>
          </w:tcPr>
          <w:p w14:paraId="40506C1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Alliance</w:t>
            </w:r>
          </w:p>
        </w:tc>
        <w:tc>
          <w:tcPr>
            <w:tcW w:w="0" w:type="auto"/>
            <w:hideMark/>
          </w:tcPr>
          <w:p w14:paraId="684FDBE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5AB3876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Shared</w:t>
            </w:r>
          </w:p>
        </w:tc>
        <w:tc>
          <w:tcPr>
            <w:tcW w:w="0" w:type="auto"/>
            <w:hideMark/>
          </w:tcPr>
          <w:p w14:paraId="345D6E0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7F51E71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r>
      <w:tr w:rsidR="000C3F07" w:rsidRPr="000C3F07" w14:paraId="697D7775" w14:textId="77777777" w:rsidTr="000C3F07">
        <w:tc>
          <w:tcPr>
            <w:tcW w:w="0" w:type="auto"/>
            <w:hideMark/>
          </w:tcPr>
          <w:p w14:paraId="012FB1C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Joint Venture</w:t>
            </w:r>
          </w:p>
        </w:tc>
        <w:tc>
          <w:tcPr>
            <w:tcW w:w="0" w:type="auto"/>
            <w:hideMark/>
          </w:tcPr>
          <w:p w14:paraId="1DC461A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c>
          <w:tcPr>
            <w:tcW w:w="0" w:type="auto"/>
            <w:hideMark/>
          </w:tcPr>
          <w:p w14:paraId="11E34A9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Shared</w:t>
            </w:r>
          </w:p>
        </w:tc>
        <w:tc>
          <w:tcPr>
            <w:tcW w:w="0" w:type="auto"/>
            <w:hideMark/>
          </w:tcPr>
          <w:p w14:paraId="57B2538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6F3BF04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r>
      <w:tr w:rsidR="000C3F07" w:rsidRPr="000C3F07" w14:paraId="47BBED65" w14:textId="77777777" w:rsidTr="000C3F07">
        <w:tc>
          <w:tcPr>
            <w:tcW w:w="0" w:type="auto"/>
            <w:hideMark/>
          </w:tcPr>
          <w:p w14:paraId="0D5CAF0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Wholly Owned FDI</w:t>
            </w:r>
          </w:p>
        </w:tc>
        <w:tc>
          <w:tcPr>
            <w:tcW w:w="0" w:type="auto"/>
            <w:hideMark/>
          </w:tcPr>
          <w:p w14:paraId="37B36C1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7947AD2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4DCAFE2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Depends on firm</w:t>
            </w:r>
          </w:p>
        </w:tc>
        <w:tc>
          <w:tcPr>
            <w:tcW w:w="0" w:type="auto"/>
            <w:hideMark/>
          </w:tcPr>
          <w:p w14:paraId="7F85B69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r>
    </w:tbl>
    <w:p w14:paraId="0F8F0A72" w14:textId="37E13002" w:rsid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Research reinforces the contextual nature of these decisions. External environmental factors including country risk, legal restrictions and market characteristics are associated with entry-mode choices. </w:t>
      </w:r>
    </w:p>
    <w:p w14:paraId="51A9B769" w14:textId="77777777" w:rsidR="000C3F07" w:rsidRDefault="000C3F07" w:rsidP="000C3F07">
      <w:pPr>
        <w:rPr>
          <w:rFonts w:ascii="Times New Roman" w:hAnsi="Times New Roman" w:cs="Times New Roman"/>
          <w:szCs w:val="24"/>
        </w:rPr>
      </w:pPr>
    </w:p>
    <w:p w14:paraId="251FCFF4" w14:textId="77777777" w:rsidR="000C3F07" w:rsidRDefault="000C3F07" w:rsidP="000C3F07">
      <w:pPr>
        <w:rPr>
          <w:rFonts w:ascii="Times New Roman" w:hAnsi="Times New Roman" w:cs="Times New Roman"/>
          <w:szCs w:val="24"/>
        </w:rPr>
      </w:pPr>
    </w:p>
    <w:p w14:paraId="5DA75D45" w14:textId="77777777" w:rsidR="000C3F07" w:rsidRPr="000C3F07" w:rsidRDefault="000C3F07" w:rsidP="000C3F07">
      <w:pPr>
        <w:rPr>
          <w:rFonts w:ascii="Times New Roman" w:hAnsi="Times New Roman" w:cs="Times New Roman"/>
          <w:szCs w:val="24"/>
        </w:rPr>
      </w:pPr>
    </w:p>
    <w:p w14:paraId="7D906737"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4.4 Institutional Context Matters as Much as Cultural Distance</w:t>
      </w:r>
    </w:p>
    <w:p w14:paraId="27D4A4D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analysis indicates that managers should avoid reducing foreign-market complexity to cultural differences alone.</w:t>
      </w:r>
    </w:p>
    <w:p w14:paraId="23C48953" w14:textId="78B1FB6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Governance quality can change how cultural distance affects entry decisions. Chang et al. found that when governance quality is stronger, collaboration with local partners may become more viable despite cultural distance, whereas poor governance can increase partnership-related risks. </w:t>
      </w:r>
    </w:p>
    <w:p w14:paraId="45D4F7FD" w14:textId="5F06885D"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Similarly, recent meta-analytic evidence concludes that relationships between institutional distance and equity entry modes are affected by contextual and measurement factors. </w:t>
      </w:r>
    </w:p>
    <w:p w14:paraId="163A7FA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Therefore, market assessment should combine:</w:t>
      </w:r>
    </w:p>
    <w:p w14:paraId="5D3FDBD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Culture + Institutions + Governance + Regulation + Political Risk + Market Economics</w:t>
      </w:r>
    </w:p>
    <w:p w14:paraId="75E2C84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rather than using one country-distance indicator.</w:t>
      </w:r>
    </w:p>
    <w:p w14:paraId="182B77C9"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4.5 International Strategy Requires Global Integration and Local Responsiveness</w:t>
      </w:r>
    </w:p>
    <w:p w14:paraId="569F21E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findings demonstrate a continuing strategic tension between global standardisation and localisation.</w:t>
      </w:r>
    </w:p>
    <w:p w14:paraId="31E36FA2"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Standardisation can generate:</w:t>
      </w:r>
    </w:p>
    <w:p w14:paraId="7D3E6AD8" w14:textId="77777777" w:rsidR="000C3F07" w:rsidRPr="000C3F07" w:rsidRDefault="000C3F07" w:rsidP="000C3F07">
      <w:pPr>
        <w:numPr>
          <w:ilvl w:val="0"/>
          <w:numId w:val="3"/>
        </w:numPr>
        <w:rPr>
          <w:rFonts w:ascii="Times New Roman" w:hAnsi="Times New Roman" w:cs="Times New Roman"/>
          <w:szCs w:val="24"/>
        </w:rPr>
      </w:pPr>
      <w:r w:rsidRPr="000C3F07">
        <w:rPr>
          <w:rFonts w:ascii="Times New Roman" w:hAnsi="Times New Roman" w:cs="Times New Roman"/>
          <w:szCs w:val="24"/>
        </w:rPr>
        <w:t>economies of scale;</w:t>
      </w:r>
    </w:p>
    <w:p w14:paraId="5E95EE3B" w14:textId="77777777" w:rsidR="000C3F07" w:rsidRPr="000C3F07" w:rsidRDefault="000C3F07" w:rsidP="000C3F07">
      <w:pPr>
        <w:numPr>
          <w:ilvl w:val="0"/>
          <w:numId w:val="3"/>
        </w:numPr>
        <w:rPr>
          <w:rFonts w:ascii="Times New Roman" w:hAnsi="Times New Roman" w:cs="Times New Roman"/>
          <w:szCs w:val="24"/>
        </w:rPr>
      </w:pPr>
      <w:r w:rsidRPr="000C3F07">
        <w:rPr>
          <w:rFonts w:ascii="Times New Roman" w:hAnsi="Times New Roman" w:cs="Times New Roman"/>
          <w:szCs w:val="24"/>
        </w:rPr>
        <w:t>consistent global branding;</w:t>
      </w:r>
    </w:p>
    <w:p w14:paraId="38E140C0" w14:textId="77777777" w:rsidR="000C3F07" w:rsidRPr="000C3F07" w:rsidRDefault="000C3F07" w:rsidP="000C3F07">
      <w:pPr>
        <w:numPr>
          <w:ilvl w:val="0"/>
          <w:numId w:val="3"/>
        </w:numPr>
        <w:rPr>
          <w:rFonts w:ascii="Times New Roman" w:hAnsi="Times New Roman" w:cs="Times New Roman"/>
          <w:szCs w:val="24"/>
        </w:rPr>
      </w:pPr>
      <w:r w:rsidRPr="000C3F07">
        <w:rPr>
          <w:rFonts w:ascii="Times New Roman" w:hAnsi="Times New Roman" w:cs="Times New Roman"/>
          <w:szCs w:val="24"/>
        </w:rPr>
        <w:t>simpler supply chains; and</w:t>
      </w:r>
    </w:p>
    <w:p w14:paraId="347DCE22" w14:textId="77777777" w:rsidR="000C3F07" w:rsidRPr="000C3F07" w:rsidRDefault="000C3F07" w:rsidP="000C3F07">
      <w:pPr>
        <w:numPr>
          <w:ilvl w:val="0"/>
          <w:numId w:val="3"/>
        </w:numPr>
        <w:rPr>
          <w:rFonts w:ascii="Times New Roman" w:hAnsi="Times New Roman" w:cs="Times New Roman"/>
          <w:szCs w:val="24"/>
        </w:rPr>
      </w:pPr>
      <w:r w:rsidRPr="000C3F07">
        <w:rPr>
          <w:rFonts w:ascii="Times New Roman" w:hAnsi="Times New Roman" w:cs="Times New Roman"/>
          <w:szCs w:val="24"/>
        </w:rPr>
        <w:t>lower duplication.</w:t>
      </w:r>
    </w:p>
    <w:p w14:paraId="5959B3A9"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Local adaptation can improve:</w:t>
      </w:r>
    </w:p>
    <w:p w14:paraId="614E34E8" w14:textId="77777777" w:rsidR="000C3F07" w:rsidRPr="000C3F07" w:rsidRDefault="000C3F07" w:rsidP="000C3F07">
      <w:pPr>
        <w:numPr>
          <w:ilvl w:val="0"/>
          <w:numId w:val="4"/>
        </w:numPr>
        <w:rPr>
          <w:rFonts w:ascii="Times New Roman" w:hAnsi="Times New Roman" w:cs="Times New Roman"/>
          <w:szCs w:val="24"/>
        </w:rPr>
      </w:pPr>
      <w:r w:rsidRPr="000C3F07">
        <w:rPr>
          <w:rFonts w:ascii="Times New Roman" w:hAnsi="Times New Roman" w:cs="Times New Roman"/>
          <w:szCs w:val="24"/>
        </w:rPr>
        <w:t>cultural relevance;</w:t>
      </w:r>
    </w:p>
    <w:p w14:paraId="1050924F" w14:textId="77777777" w:rsidR="000C3F07" w:rsidRPr="000C3F07" w:rsidRDefault="000C3F07" w:rsidP="000C3F07">
      <w:pPr>
        <w:numPr>
          <w:ilvl w:val="0"/>
          <w:numId w:val="4"/>
        </w:numPr>
        <w:rPr>
          <w:rFonts w:ascii="Times New Roman" w:hAnsi="Times New Roman" w:cs="Times New Roman"/>
          <w:szCs w:val="24"/>
        </w:rPr>
      </w:pPr>
      <w:r w:rsidRPr="000C3F07">
        <w:rPr>
          <w:rFonts w:ascii="Times New Roman" w:hAnsi="Times New Roman" w:cs="Times New Roman"/>
          <w:szCs w:val="24"/>
        </w:rPr>
        <w:t>regulatory compliance;</w:t>
      </w:r>
    </w:p>
    <w:p w14:paraId="7E0994FF" w14:textId="77777777" w:rsidR="000C3F07" w:rsidRPr="000C3F07" w:rsidRDefault="000C3F07" w:rsidP="000C3F07">
      <w:pPr>
        <w:numPr>
          <w:ilvl w:val="0"/>
          <w:numId w:val="4"/>
        </w:numPr>
        <w:rPr>
          <w:rFonts w:ascii="Times New Roman" w:hAnsi="Times New Roman" w:cs="Times New Roman"/>
          <w:szCs w:val="24"/>
        </w:rPr>
      </w:pPr>
      <w:r w:rsidRPr="000C3F07">
        <w:rPr>
          <w:rFonts w:ascii="Times New Roman" w:hAnsi="Times New Roman" w:cs="Times New Roman"/>
          <w:szCs w:val="24"/>
        </w:rPr>
        <w:t>customer acceptance; and</w:t>
      </w:r>
    </w:p>
    <w:p w14:paraId="50A5F299" w14:textId="77777777" w:rsidR="000C3F07" w:rsidRPr="000C3F07" w:rsidRDefault="000C3F07" w:rsidP="000C3F07">
      <w:pPr>
        <w:numPr>
          <w:ilvl w:val="0"/>
          <w:numId w:val="4"/>
        </w:numPr>
        <w:rPr>
          <w:rFonts w:ascii="Times New Roman" w:hAnsi="Times New Roman" w:cs="Times New Roman"/>
          <w:szCs w:val="24"/>
        </w:rPr>
      </w:pPr>
      <w:r w:rsidRPr="000C3F07">
        <w:rPr>
          <w:rFonts w:ascii="Times New Roman" w:hAnsi="Times New Roman" w:cs="Times New Roman"/>
          <w:szCs w:val="24"/>
        </w:rPr>
        <w:t>responsiveness to market conditions.</w:t>
      </w:r>
    </w:p>
    <w:p w14:paraId="0958AA15"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appropriate balance depends on the product and country. Industrial components may permit substantial global standardisation, whereas food, media and customer-facing services may require greater adaptation.</w:t>
      </w:r>
    </w:p>
    <w:p w14:paraId="29819A95" w14:textId="18AA51FF" w:rsidR="000C3F07" w:rsidRDefault="000C3F07" w:rsidP="000C3F07">
      <w:pPr>
        <w:rPr>
          <w:rFonts w:ascii="Times New Roman" w:hAnsi="Times New Roman" w:cs="Times New Roman"/>
          <w:szCs w:val="24"/>
        </w:rPr>
      </w:pPr>
      <w:r w:rsidRPr="000C3F07">
        <w:rPr>
          <w:rFonts w:ascii="Times New Roman" w:hAnsi="Times New Roman" w:cs="Times New Roman"/>
          <w:szCs w:val="24"/>
        </w:rPr>
        <w:lastRenderedPageBreak/>
        <w:t xml:space="preserve">Digitalisation can assist multinational firms in managing this tension by improving information sharing and coordination across subsidiaries. </w:t>
      </w:r>
    </w:p>
    <w:p w14:paraId="174B5445" w14:textId="77777777" w:rsidR="000C3F07" w:rsidRPr="000C3F07" w:rsidRDefault="000C3F07" w:rsidP="000C3F07">
      <w:pPr>
        <w:rPr>
          <w:rFonts w:ascii="Times New Roman" w:hAnsi="Times New Roman" w:cs="Times New Roman"/>
          <w:szCs w:val="24"/>
        </w:rPr>
      </w:pPr>
    </w:p>
    <w:p w14:paraId="6C140D62"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4.6 International Partnerships Provide Benefits but Create Governance Risk</w:t>
      </w:r>
    </w:p>
    <w:p w14:paraId="58525ED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Strategic alliances and JVs provide access to local distribution, knowledge, relationships and capabilities. They can therefore accelerate international entry and reduce initial investment.</w:t>
      </w:r>
    </w:p>
    <w:p w14:paraId="6B0D29D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However, partnership-based internationalisation introduces concerns regarding strategic conflict, intellectual-property protection, control and opportunistic behaviour.</w:t>
      </w:r>
    </w:p>
    <w:p w14:paraId="730BA8E5"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This finding means that partnership selection should involve more than finding a company with attractive local market access. Organisations should assess:</w:t>
      </w:r>
    </w:p>
    <w:p w14:paraId="215B609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b/>
          <w:bCs/>
          <w:szCs w:val="24"/>
        </w:rPr>
        <w:t>Strategic Fit + Capability Complementarity + Governance Compatibility + Trust + Knowledge Protection</w:t>
      </w:r>
    </w:p>
    <w:p w14:paraId="49953D0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Strong contractual and governance arrangements remain important even where relationships are collaborative.</w:t>
      </w:r>
    </w:p>
    <w:p w14:paraId="7D52E38C"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4.7 Political and Regulatory Risk Can Reshape International Strategy</w:t>
      </w:r>
    </w:p>
    <w:p w14:paraId="6FF05FE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International strategies operate within national political and institutional systems. Regulation can affect foreign ownership, labour practices, taxation, data storage, environmental standards and product requirements.</w:t>
      </w:r>
    </w:p>
    <w:p w14:paraId="739D00DA" w14:textId="3FEC8B52"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External uncertainty research demonstrates that political risk and cultural factors can jointly affect foreign-entry decisions. </w:t>
      </w:r>
    </w:p>
    <w:p w14:paraId="6936B1D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This implies that international expansion should incorporate scenario planning rather than assume stable operating conditions.</w:t>
      </w:r>
    </w:p>
    <w:p w14:paraId="72516EA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For example:</w:t>
      </w:r>
    </w:p>
    <w:tbl>
      <w:tblPr>
        <w:tblStyle w:val="TableGrid"/>
        <w:tblW w:w="0" w:type="auto"/>
        <w:tblLook w:val="04A0" w:firstRow="1" w:lastRow="0" w:firstColumn="1" w:lastColumn="0" w:noHBand="0" w:noVBand="1"/>
      </w:tblPr>
      <w:tblGrid>
        <w:gridCol w:w="2396"/>
        <w:gridCol w:w="2909"/>
      </w:tblGrid>
      <w:tr w:rsidR="000C3F07" w:rsidRPr="000C3F07" w14:paraId="7200F0E8" w14:textId="77777777" w:rsidTr="000C3F07">
        <w:tc>
          <w:tcPr>
            <w:tcW w:w="0" w:type="auto"/>
            <w:hideMark/>
          </w:tcPr>
          <w:p w14:paraId="390FE06E"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Scenario</w:t>
            </w:r>
          </w:p>
        </w:tc>
        <w:tc>
          <w:tcPr>
            <w:tcW w:w="0" w:type="auto"/>
            <w:hideMark/>
          </w:tcPr>
          <w:p w14:paraId="31219FEC"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Strategic Response</w:t>
            </w:r>
          </w:p>
        </w:tc>
      </w:tr>
      <w:tr w:rsidR="000C3F07" w:rsidRPr="000C3F07" w14:paraId="15AC6E30" w14:textId="77777777" w:rsidTr="000C3F07">
        <w:tc>
          <w:tcPr>
            <w:tcW w:w="0" w:type="auto"/>
            <w:hideMark/>
          </w:tcPr>
          <w:p w14:paraId="2926DBC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Stable regulation</w:t>
            </w:r>
          </w:p>
        </w:tc>
        <w:tc>
          <w:tcPr>
            <w:tcW w:w="0" w:type="auto"/>
            <w:hideMark/>
          </w:tcPr>
          <w:p w14:paraId="52C9757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Continue investment</w:t>
            </w:r>
          </w:p>
        </w:tc>
      </w:tr>
      <w:tr w:rsidR="000C3F07" w:rsidRPr="000C3F07" w14:paraId="6D0DF40B" w14:textId="77777777" w:rsidTr="000C3F07">
        <w:tc>
          <w:tcPr>
            <w:tcW w:w="0" w:type="auto"/>
            <w:hideMark/>
          </w:tcPr>
          <w:p w14:paraId="130BE90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Higher tariffs</w:t>
            </w:r>
          </w:p>
        </w:tc>
        <w:tc>
          <w:tcPr>
            <w:tcW w:w="0" w:type="auto"/>
            <w:hideMark/>
          </w:tcPr>
          <w:p w14:paraId="4AF67C5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Consider local production</w:t>
            </w:r>
          </w:p>
        </w:tc>
      </w:tr>
      <w:tr w:rsidR="000C3F07" w:rsidRPr="000C3F07" w14:paraId="143E9A0D" w14:textId="77777777" w:rsidTr="000C3F07">
        <w:tc>
          <w:tcPr>
            <w:tcW w:w="0" w:type="auto"/>
            <w:hideMark/>
          </w:tcPr>
          <w:p w14:paraId="4B58384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Ownership restrictions</w:t>
            </w:r>
          </w:p>
        </w:tc>
        <w:tc>
          <w:tcPr>
            <w:tcW w:w="0" w:type="auto"/>
            <w:hideMark/>
          </w:tcPr>
          <w:p w14:paraId="1274571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Partnership/JV</w:t>
            </w:r>
          </w:p>
        </w:tc>
      </w:tr>
      <w:tr w:rsidR="000C3F07" w:rsidRPr="000C3F07" w14:paraId="3EC7A395" w14:textId="77777777" w:rsidTr="000C3F07">
        <w:tc>
          <w:tcPr>
            <w:tcW w:w="0" w:type="auto"/>
            <w:hideMark/>
          </w:tcPr>
          <w:p w14:paraId="40A8A62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Currency instability</w:t>
            </w:r>
          </w:p>
        </w:tc>
        <w:tc>
          <w:tcPr>
            <w:tcW w:w="0" w:type="auto"/>
            <w:hideMark/>
          </w:tcPr>
          <w:p w14:paraId="20FA562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Financial hedging</w:t>
            </w:r>
          </w:p>
        </w:tc>
      </w:tr>
      <w:tr w:rsidR="000C3F07" w:rsidRPr="000C3F07" w14:paraId="092CECD2" w14:textId="77777777" w:rsidTr="000C3F07">
        <w:tc>
          <w:tcPr>
            <w:tcW w:w="0" w:type="auto"/>
            <w:hideMark/>
          </w:tcPr>
          <w:p w14:paraId="0BDB525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Supply disruption</w:t>
            </w:r>
          </w:p>
        </w:tc>
        <w:tc>
          <w:tcPr>
            <w:tcW w:w="0" w:type="auto"/>
            <w:hideMark/>
          </w:tcPr>
          <w:p w14:paraId="77F18FF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Diversify sourcing</w:t>
            </w:r>
          </w:p>
        </w:tc>
      </w:tr>
      <w:tr w:rsidR="000C3F07" w:rsidRPr="000C3F07" w14:paraId="22B77AE6" w14:textId="77777777" w:rsidTr="000C3F07">
        <w:tc>
          <w:tcPr>
            <w:tcW w:w="0" w:type="auto"/>
            <w:hideMark/>
          </w:tcPr>
          <w:p w14:paraId="1B85F1F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Data localisation</w:t>
            </w:r>
          </w:p>
        </w:tc>
        <w:tc>
          <w:tcPr>
            <w:tcW w:w="0" w:type="auto"/>
            <w:hideMark/>
          </w:tcPr>
          <w:p w14:paraId="7CA00A4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Develop local infrastructure</w:t>
            </w:r>
          </w:p>
        </w:tc>
      </w:tr>
    </w:tbl>
    <w:p w14:paraId="269FF0CD" w14:textId="77777777" w:rsidR="000C3F07" w:rsidRDefault="000C3F07" w:rsidP="000C3F07">
      <w:pPr>
        <w:rPr>
          <w:rFonts w:ascii="Times New Roman" w:hAnsi="Times New Roman" w:cs="Times New Roman"/>
          <w:b/>
          <w:bCs/>
          <w:szCs w:val="24"/>
        </w:rPr>
      </w:pPr>
    </w:p>
    <w:p w14:paraId="6742C0EB" w14:textId="77777777" w:rsidR="000C3F07" w:rsidRDefault="000C3F07" w:rsidP="000C3F07">
      <w:pPr>
        <w:rPr>
          <w:rFonts w:ascii="Times New Roman" w:hAnsi="Times New Roman" w:cs="Times New Roman"/>
          <w:b/>
          <w:bCs/>
          <w:szCs w:val="24"/>
        </w:rPr>
      </w:pPr>
    </w:p>
    <w:p w14:paraId="39A9F13F" w14:textId="77777777" w:rsidR="000C3F07" w:rsidRDefault="000C3F07" w:rsidP="000C3F07">
      <w:pPr>
        <w:rPr>
          <w:rFonts w:ascii="Times New Roman" w:hAnsi="Times New Roman" w:cs="Times New Roman"/>
          <w:b/>
          <w:bCs/>
          <w:szCs w:val="24"/>
        </w:rPr>
      </w:pPr>
    </w:p>
    <w:p w14:paraId="73F27E14" w14:textId="06EFD423"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4.8 Successful Internationalisation Requires Organisational Learning</w:t>
      </w:r>
    </w:p>
    <w:p w14:paraId="38DBABC5"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Foreign expansion generates knowledge concerning customers, institutions, suppliers and competitors. The ability to capture this experience and apply it to subsequent markets can become a competitive capability.</w:t>
      </w:r>
    </w:p>
    <w:p w14:paraId="5E596A9F" w14:textId="4C70B990"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This supports the learning logic associated with incremental internationalisation. Cultural-barrier research also emphasises the importance of learning from foreign-market experience. </w:t>
      </w:r>
    </w:p>
    <w:p w14:paraId="275C4F99"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However, organisations should avoid </w:t>
      </w:r>
      <w:proofErr w:type="gramStart"/>
      <w:r w:rsidRPr="000C3F07">
        <w:rPr>
          <w:rFonts w:ascii="Times New Roman" w:hAnsi="Times New Roman" w:cs="Times New Roman"/>
          <w:szCs w:val="24"/>
        </w:rPr>
        <w:t>assuming that</w:t>
      </w:r>
      <w:proofErr w:type="gramEnd"/>
      <w:r w:rsidRPr="000C3F07">
        <w:rPr>
          <w:rFonts w:ascii="Times New Roman" w:hAnsi="Times New Roman" w:cs="Times New Roman"/>
          <w:szCs w:val="24"/>
        </w:rPr>
        <w:t xml:space="preserve"> knowledge from one foreign country transfers perfectly to another. Local conditions remain important.</w:t>
      </w:r>
    </w:p>
    <w:p w14:paraId="1B66616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Overall, the findings demonstrate that successful global strategy depends upon </w:t>
      </w:r>
      <w:r w:rsidRPr="000C3F07">
        <w:rPr>
          <w:rFonts w:ascii="Times New Roman" w:hAnsi="Times New Roman" w:cs="Times New Roman"/>
          <w:b/>
          <w:bCs/>
          <w:szCs w:val="24"/>
        </w:rPr>
        <w:t>selective internationalisation rather than expansion for its own sake</w:t>
      </w:r>
      <w:r w:rsidRPr="000C3F07">
        <w:rPr>
          <w:rFonts w:ascii="Times New Roman" w:hAnsi="Times New Roman" w:cs="Times New Roman"/>
          <w:szCs w:val="24"/>
        </w:rPr>
        <w:t>. Organisations need to align market attractiveness, capabilities, entry mode, institutional conditions and localisation requirements.</w:t>
      </w:r>
    </w:p>
    <w:p w14:paraId="41B33E1A" w14:textId="4798D002" w:rsidR="000C3F07" w:rsidRPr="000C3F07" w:rsidRDefault="000C3F07" w:rsidP="000C3F07">
      <w:pPr>
        <w:rPr>
          <w:rFonts w:ascii="Times New Roman" w:hAnsi="Times New Roman" w:cs="Times New Roman"/>
          <w:szCs w:val="24"/>
        </w:rPr>
      </w:pPr>
    </w:p>
    <w:p w14:paraId="14624031" w14:textId="1B8BA52D"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5.0 Discussion </w:t>
      </w:r>
    </w:p>
    <w:p w14:paraId="18455BFD" w14:textId="574C7D59"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findings demonstrate that globalisation creates a paradox for international businesses. It reduces certain barriers between countries while simultaneously exposing firms to increasingly complex institutional, regulatory and competitive environments. Digital technologies illustrate this particularly clearly. They enable faster international communication and coordination, but they also create new cybersecurity, data-governance and geopolitical challenges. Contemporary research consequently characterises digital international business as simultaneously creating new opportunities and new regulatory and security concerns. </w:t>
      </w:r>
    </w:p>
    <w:p w14:paraId="37E6B7A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findings also challenge the assumption that international expansion automatically generates competitive advantage. Entering more countries can increase revenues and economies of scale, but international operations also generate coordination costs and exposure to unfamiliar institutions. The strategic question is therefore not simply </w:t>
      </w:r>
      <w:r w:rsidRPr="000C3F07">
        <w:rPr>
          <w:rFonts w:ascii="Times New Roman" w:hAnsi="Times New Roman" w:cs="Times New Roman"/>
          <w:i/>
          <w:iCs/>
          <w:szCs w:val="24"/>
        </w:rPr>
        <w:t>whether to internationalise</w:t>
      </w:r>
      <w:r w:rsidRPr="000C3F07">
        <w:rPr>
          <w:rFonts w:ascii="Times New Roman" w:hAnsi="Times New Roman" w:cs="Times New Roman"/>
          <w:szCs w:val="24"/>
        </w:rPr>
        <w:t>, but whether the organisation possesses transferable capabilities and can generate sufficient value to justify the additional complexity.</w:t>
      </w:r>
    </w:p>
    <w:p w14:paraId="291F503D" w14:textId="2C719C8B"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Market-entry strategy illustrates this principle. Exporting, licensing, franchising, alliances, JVs and FDI represent different combinations of commitment and control. Greater ownership can provide stronger control over technology, quality and customer experience but requires higher investment and exposes the company more directly to host-country uncertainty. Cooperative </w:t>
      </w:r>
      <w:r w:rsidRPr="000C3F07">
        <w:rPr>
          <w:rFonts w:ascii="Times New Roman" w:hAnsi="Times New Roman" w:cs="Times New Roman"/>
          <w:szCs w:val="24"/>
        </w:rPr>
        <w:lastRenderedPageBreak/>
        <w:t xml:space="preserve">approaches provide local knowledge but create governance and partner risks. Empirical literature confirms that entry decisions are affected by combinations of institutional, cultural and environmental conditions rather than one universally applicable determinant. </w:t>
      </w:r>
    </w:p>
    <w:p w14:paraId="31560934"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A further important issue concerns cultural distance. International management has traditionally devoted substantial attention to differences in national culture. Culture remains relevant to customer behaviour, negotiation and management practices, but the analysis demonstrates that cultural distance alone provides an incomplete explanation. Formal institutions, governance quality, regulations and political risk can alter the consequences of cultural difference. Firms should therefore avoid using broad cultural stereotypes as substitutes for detailed market analysis.</w:t>
      </w:r>
    </w:p>
    <w:p w14:paraId="4CABEFF3"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global integration–local responsiveness tension further demonstrates why international strategy requires balance. Complete standardisation can generate substantial cost efficiencies but may reduce local relevance. Conversely, extensive adaptation can satisfy local requirements while eliminating economies of scale. Multinationals therefore need to identify which activities create value through global standardisation and which require localisation.</w:t>
      </w:r>
    </w:p>
    <w:p w14:paraId="7B2111D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Digitalisation potentially strengthens this balancing capability because information can move rapidly across international networks. Yet digital capabilities themselves differ across locations. This reinforces the importance of viewing technology as an enabler rather than a universal solution.</w:t>
      </w:r>
    </w:p>
    <w:p w14:paraId="3EB774A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The findings ultimately suggest that sustainable international advantage emerges from </w:t>
      </w:r>
      <w:r w:rsidRPr="000C3F07">
        <w:rPr>
          <w:rFonts w:ascii="Times New Roman" w:hAnsi="Times New Roman" w:cs="Times New Roman"/>
          <w:b/>
          <w:bCs/>
          <w:szCs w:val="24"/>
        </w:rPr>
        <w:t>strategic fit</w:t>
      </w:r>
      <w:r w:rsidRPr="000C3F07">
        <w:rPr>
          <w:rFonts w:ascii="Times New Roman" w:hAnsi="Times New Roman" w:cs="Times New Roman"/>
          <w:szCs w:val="24"/>
        </w:rPr>
        <w:t>. Market attractiveness must fit organisational capabilities; entry mode must fit desired control and acceptable risk; standardisation must fit customer and regulatory conditions; and international expansion must fit the organisation's capacity to coordinate geographically dispersed operations.</w:t>
      </w:r>
    </w:p>
    <w:p w14:paraId="1F01E516"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Consequently, globalisation should not lead organisations towards indiscriminate geographic expansion. Strong international strategy involves selective market participation, continuous institutional analysis, organisational learning and the capacity to reconfigure international activities as competitive and geopolitical conditions change.</w:t>
      </w:r>
    </w:p>
    <w:p w14:paraId="26BE30FF" w14:textId="1D8F58D7" w:rsidR="000C3F07" w:rsidRDefault="000C3F07" w:rsidP="000C3F07">
      <w:pPr>
        <w:rPr>
          <w:rFonts w:ascii="Times New Roman" w:hAnsi="Times New Roman" w:cs="Times New Roman"/>
          <w:szCs w:val="24"/>
        </w:rPr>
      </w:pPr>
    </w:p>
    <w:p w14:paraId="415E2014" w14:textId="77777777" w:rsidR="00B45C1E" w:rsidRDefault="00B45C1E" w:rsidP="000C3F07">
      <w:pPr>
        <w:rPr>
          <w:rFonts w:ascii="Times New Roman" w:hAnsi="Times New Roman" w:cs="Times New Roman"/>
          <w:szCs w:val="24"/>
        </w:rPr>
      </w:pPr>
    </w:p>
    <w:p w14:paraId="7881CA25" w14:textId="77777777" w:rsidR="00B45C1E" w:rsidRDefault="00B45C1E" w:rsidP="000C3F07">
      <w:pPr>
        <w:rPr>
          <w:rFonts w:ascii="Times New Roman" w:hAnsi="Times New Roman" w:cs="Times New Roman"/>
          <w:szCs w:val="24"/>
        </w:rPr>
      </w:pPr>
    </w:p>
    <w:p w14:paraId="55855C2C" w14:textId="77777777" w:rsidR="00B45C1E" w:rsidRDefault="00B45C1E" w:rsidP="000C3F07">
      <w:pPr>
        <w:rPr>
          <w:rFonts w:ascii="Times New Roman" w:hAnsi="Times New Roman" w:cs="Times New Roman"/>
          <w:szCs w:val="24"/>
        </w:rPr>
      </w:pPr>
    </w:p>
    <w:p w14:paraId="1175E6E8" w14:textId="77777777" w:rsidR="00B45C1E" w:rsidRDefault="00B45C1E" w:rsidP="000C3F07">
      <w:pPr>
        <w:rPr>
          <w:rFonts w:ascii="Times New Roman" w:hAnsi="Times New Roman" w:cs="Times New Roman"/>
          <w:szCs w:val="24"/>
        </w:rPr>
      </w:pPr>
    </w:p>
    <w:p w14:paraId="62FE634D" w14:textId="77777777" w:rsidR="00B45C1E" w:rsidRDefault="00B45C1E" w:rsidP="000C3F07">
      <w:pPr>
        <w:rPr>
          <w:rFonts w:ascii="Times New Roman" w:hAnsi="Times New Roman" w:cs="Times New Roman"/>
          <w:szCs w:val="24"/>
        </w:rPr>
      </w:pPr>
    </w:p>
    <w:p w14:paraId="787E245E" w14:textId="77777777" w:rsidR="00B45C1E" w:rsidRDefault="00B45C1E" w:rsidP="000C3F07">
      <w:pPr>
        <w:rPr>
          <w:rFonts w:ascii="Times New Roman" w:hAnsi="Times New Roman" w:cs="Times New Roman"/>
          <w:szCs w:val="24"/>
        </w:rPr>
      </w:pPr>
    </w:p>
    <w:p w14:paraId="109FD2C6" w14:textId="77777777" w:rsidR="00B45C1E" w:rsidRDefault="00B45C1E" w:rsidP="000C3F07">
      <w:pPr>
        <w:rPr>
          <w:rFonts w:ascii="Times New Roman" w:hAnsi="Times New Roman" w:cs="Times New Roman"/>
          <w:szCs w:val="24"/>
        </w:rPr>
      </w:pPr>
    </w:p>
    <w:p w14:paraId="7DB92598" w14:textId="77777777" w:rsidR="00B45C1E" w:rsidRPr="000C3F07" w:rsidRDefault="00B45C1E" w:rsidP="000C3F07">
      <w:pPr>
        <w:rPr>
          <w:rFonts w:ascii="Times New Roman" w:hAnsi="Times New Roman" w:cs="Times New Roman"/>
          <w:szCs w:val="24"/>
        </w:rPr>
      </w:pPr>
    </w:p>
    <w:p w14:paraId="696A5C5C" w14:textId="1F4FE981"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 xml:space="preserve">6.0 Recommendations </w:t>
      </w:r>
    </w:p>
    <w:p w14:paraId="30661854"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6.1 Apply Structured International Market Screening</w:t>
      </w:r>
    </w:p>
    <w:p w14:paraId="57C01F5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Organisations should evaluate potential countries using market size, growth, customer demand, competitive intensity, infrastructure, political stability, institutional quality and cultural factors. Market attractiveness should be assessed alongside the organisation's capability to compete successfully rather than using market size alone.</w:t>
      </w:r>
    </w:p>
    <w:p w14:paraId="00800C41"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6.2 Select Entry Modes According to Risk and Control Requirements</w:t>
      </w:r>
    </w:p>
    <w:p w14:paraId="4B62C871"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Entry modes should reflect organisational resources, strategic objectives and country conditions. Firms testing uncertain markets can initially consider lower-commitment strategies such as exporting or partnerships. Higher-control FDI should be considered where market potential and strategic importance justify the additional commitment.</w:t>
      </w:r>
    </w:p>
    <w:p w14:paraId="27B0850C"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6.3 Balance Global Standardisation with Local Adaptation</w:t>
      </w:r>
    </w:p>
    <w:p w14:paraId="39ECF52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Organisations should identify which activities benefit from global integration and which require localisation. Core technologies and brand principles may be globally coordinated, while marketing communications, product attributes, pricing and distribution can be adapted where customer or regulatory differences justify changes.</w:t>
      </w:r>
    </w:p>
    <w:p w14:paraId="528694B1"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6.4 Develop Stronger Digital International Capabilities</w:t>
      </w:r>
    </w:p>
    <w:p w14:paraId="10031FD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Businesses should invest in digital platforms, international customer analytics, cybersecurity and cross-border collaboration systems. However, digital expansion should be accompanied by market-specific assessment of data-protection requirements and technological infrastructure.</w:t>
      </w:r>
    </w:p>
    <w:p w14:paraId="62EA721F"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6.5 Strengthen Political and Institutional Risk Monitoring</w:t>
      </w:r>
    </w:p>
    <w:p w14:paraId="5728ED5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International organisations should continuously monitor regulatory change, political risk, trade restrictions, currency conditions and geopolitical developments. Scenario planning should examine how changes could affect sourcing, market access and investment.</w:t>
      </w:r>
    </w:p>
    <w:p w14:paraId="582734BF"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6.6 Improve International Partnership Governance</w:t>
      </w:r>
    </w:p>
    <w:p w14:paraId="731F580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Before entering JVs or alliances, organisations should conduct due diligence on potential partners and establish clear arrangements covering responsibilities, decision rights, performance standards, intellectual property and dispute resolution.</w:t>
      </w:r>
    </w:p>
    <w:p w14:paraId="1481F4AB"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6.7 Build International Learning Capabilities</w:t>
      </w:r>
    </w:p>
    <w:p w14:paraId="58940708"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lastRenderedPageBreak/>
        <w:t>Experience generated in one market should be systematically captured and shared across the organisation. However, lessons should be adapted rather than copied mechanically because institutional and cultural conditions vary across countries.</w:t>
      </w:r>
    </w:p>
    <w:p w14:paraId="41DE9F9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Overall, international expansion should be pursued when </w:t>
      </w:r>
      <w:r w:rsidRPr="000C3F07">
        <w:rPr>
          <w:rFonts w:ascii="Times New Roman" w:hAnsi="Times New Roman" w:cs="Times New Roman"/>
          <w:b/>
          <w:bCs/>
          <w:szCs w:val="24"/>
        </w:rPr>
        <w:t>market opportunity, organisational capability, appropriate entry mode and manageable country risk</w:t>
      </w:r>
      <w:r w:rsidRPr="000C3F07">
        <w:rPr>
          <w:rFonts w:ascii="Times New Roman" w:hAnsi="Times New Roman" w:cs="Times New Roman"/>
          <w:szCs w:val="24"/>
        </w:rPr>
        <w:t xml:space="preserve"> are aligned.</w:t>
      </w:r>
    </w:p>
    <w:p w14:paraId="149E1E7B" w14:textId="42E443BC" w:rsidR="000C3F07" w:rsidRPr="000C3F07" w:rsidRDefault="000C3F07" w:rsidP="000C3F07">
      <w:pPr>
        <w:rPr>
          <w:rFonts w:ascii="Times New Roman" w:hAnsi="Times New Roman" w:cs="Times New Roman"/>
          <w:szCs w:val="24"/>
        </w:rPr>
      </w:pPr>
    </w:p>
    <w:p w14:paraId="1104235D"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7.0 Conclusion</w:t>
      </w:r>
    </w:p>
    <w:p w14:paraId="66CD4F9E" w14:textId="4A07658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Globalisation has fundamentally reshaped international competition by increasing cross-border flows of goods, investment, technology and information. At the same time, it has exposed organisations to greater cultural, institutional, political and economic complexity. Digitalisation has further accelerated international connectivity while creating new regulatory and geopolitical challenges. </w:t>
      </w:r>
    </w:p>
    <w:p w14:paraId="6D746060"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The report demonstrates that successful internationalisation requires more than selecting attractive foreign markets. Organisations must choose appropriate entry modes, determine the required balance between control and flexibility, manage institutional differences and decide which activities should be standardised or adapted.</w:t>
      </w:r>
    </w:p>
    <w:p w14:paraId="24A22602"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Exporting, licensing, franchising, alliances, JVs and FDI each provide different combinations of investment, control and exposure. No single approach is universally superior because appropriate choices depend on organisational capabilities and host-market conditions.</w:t>
      </w:r>
    </w:p>
    <w:p w14:paraId="7B98DA30" w14:textId="77777777" w:rsid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Ultimately, sustainable international competitive advantage arises from </w:t>
      </w:r>
      <w:r w:rsidRPr="000C3F07">
        <w:rPr>
          <w:rFonts w:ascii="Times New Roman" w:hAnsi="Times New Roman" w:cs="Times New Roman"/>
          <w:b/>
          <w:bCs/>
          <w:szCs w:val="24"/>
        </w:rPr>
        <w:t>strategic alignment between firm capabilities, market opportunities, entry strategy, institutional conditions and local customer requirements</w:t>
      </w:r>
      <w:r w:rsidRPr="000C3F07">
        <w:rPr>
          <w:rFonts w:ascii="Times New Roman" w:hAnsi="Times New Roman" w:cs="Times New Roman"/>
          <w:szCs w:val="24"/>
        </w:rPr>
        <w:t>. Organisations capable of combining global efficiency with local responsiveness, technological capability and continuous international learning are better positioned to create long-term value from globalisation.</w:t>
      </w:r>
    </w:p>
    <w:p w14:paraId="504AD81C" w14:textId="77777777" w:rsidR="00B45C1E" w:rsidRDefault="00B45C1E" w:rsidP="000C3F07">
      <w:pPr>
        <w:rPr>
          <w:rFonts w:ascii="Times New Roman" w:hAnsi="Times New Roman" w:cs="Times New Roman"/>
          <w:szCs w:val="24"/>
        </w:rPr>
      </w:pPr>
    </w:p>
    <w:p w14:paraId="6B0EA699" w14:textId="77777777" w:rsidR="00B45C1E" w:rsidRDefault="00B45C1E" w:rsidP="000C3F07">
      <w:pPr>
        <w:rPr>
          <w:rFonts w:ascii="Times New Roman" w:hAnsi="Times New Roman" w:cs="Times New Roman"/>
          <w:szCs w:val="24"/>
        </w:rPr>
      </w:pPr>
    </w:p>
    <w:p w14:paraId="027AA21E" w14:textId="77777777" w:rsidR="00B45C1E" w:rsidRDefault="00B45C1E" w:rsidP="000C3F07">
      <w:pPr>
        <w:rPr>
          <w:rFonts w:ascii="Times New Roman" w:hAnsi="Times New Roman" w:cs="Times New Roman"/>
          <w:szCs w:val="24"/>
        </w:rPr>
      </w:pPr>
    </w:p>
    <w:p w14:paraId="569E3C93" w14:textId="77777777" w:rsidR="00B45C1E" w:rsidRDefault="00B45C1E" w:rsidP="000C3F07">
      <w:pPr>
        <w:rPr>
          <w:rFonts w:ascii="Times New Roman" w:hAnsi="Times New Roman" w:cs="Times New Roman"/>
          <w:szCs w:val="24"/>
        </w:rPr>
      </w:pPr>
    </w:p>
    <w:p w14:paraId="4003CEEA" w14:textId="77777777" w:rsidR="00B45C1E" w:rsidRDefault="00B45C1E" w:rsidP="000C3F07">
      <w:pPr>
        <w:rPr>
          <w:rFonts w:ascii="Times New Roman" w:hAnsi="Times New Roman" w:cs="Times New Roman"/>
          <w:szCs w:val="24"/>
        </w:rPr>
      </w:pPr>
    </w:p>
    <w:p w14:paraId="5D7DC9D4" w14:textId="77777777" w:rsidR="00B45C1E" w:rsidRDefault="00B45C1E" w:rsidP="000C3F07">
      <w:pPr>
        <w:rPr>
          <w:rFonts w:ascii="Times New Roman" w:hAnsi="Times New Roman" w:cs="Times New Roman"/>
          <w:szCs w:val="24"/>
        </w:rPr>
      </w:pPr>
    </w:p>
    <w:p w14:paraId="58A53BB5" w14:textId="77777777" w:rsidR="00B45C1E" w:rsidRDefault="00B45C1E" w:rsidP="000C3F07">
      <w:pPr>
        <w:rPr>
          <w:rFonts w:ascii="Times New Roman" w:hAnsi="Times New Roman" w:cs="Times New Roman"/>
          <w:szCs w:val="24"/>
        </w:rPr>
      </w:pPr>
    </w:p>
    <w:p w14:paraId="069276BC" w14:textId="77777777" w:rsidR="00B45C1E" w:rsidRDefault="00B45C1E" w:rsidP="000C3F07">
      <w:pPr>
        <w:rPr>
          <w:rFonts w:ascii="Times New Roman" w:hAnsi="Times New Roman" w:cs="Times New Roman"/>
          <w:szCs w:val="24"/>
        </w:rPr>
      </w:pPr>
    </w:p>
    <w:p w14:paraId="5E0C28AB" w14:textId="77777777" w:rsidR="00B45C1E" w:rsidRDefault="00B45C1E" w:rsidP="000C3F07">
      <w:pPr>
        <w:rPr>
          <w:rFonts w:ascii="Times New Roman" w:hAnsi="Times New Roman" w:cs="Times New Roman"/>
          <w:szCs w:val="24"/>
        </w:rPr>
      </w:pPr>
    </w:p>
    <w:p w14:paraId="5B459D39" w14:textId="77777777" w:rsidR="00B45C1E" w:rsidRDefault="00B45C1E" w:rsidP="000C3F07">
      <w:pPr>
        <w:rPr>
          <w:rFonts w:ascii="Times New Roman" w:hAnsi="Times New Roman" w:cs="Times New Roman"/>
          <w:szCs w:val="24"/>
        </w:rPr>
      </w:pPr>
    </w:p>
    <w:p w14:paraId="50E5DECE" w14:textId="77777777" w:rsidR="00B45C1E" w:rsidRPr="000C3F07" w:rsidRDefault="00B45C1E" w:rsidP="000C3F07">
      <w:pPr>
        <w:rPr>
          <w:rFonts w:ascii="Times New Roman" w:hAnsi="Times New Roman" w:cs="Times New Roman"/>
          <w:szCs w:val="24"/>
        </w:rPr>
      </w:pPr>
    </w:p>
    <w:p w14:paraId="31F75DDF"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References</w:t>
      </w:r>
    </w:p>
    <w:p w14:paraId="79D9065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Barkema, H. G., Bell, J. H. J., &amp; Pennings, J. M. (1996). Foreign entry, cultural barriers, and learning. </w:t>
      </w:r>
      <w:r w:rsidRPr="000C3F07">
        <w:rPr>
          <w:rFonts w:ascii="Times New Roman" w:hAnsi="Times New Roman" w:cs="Times New Roman"/>
          <w:i/>
          <w:iCs/>
          <w:szCs w:val="24"/>
        </w:rPr>
        <w:t>Strategic Management Journal, 17</w:t>
      </w:r>
      <w:r w:rsidRPr="000C3F07">
        <w:rPr>
          <w:rFonts w:ascii="Times New Roman" w:hAnsi="Times New Roman" w:cs="Times New Roman"/>
          <w:szCs w:val="24"/>
        </w:rPr>
        <w:t xml:space="preserve">(2), 151–166. </w:t>
      </w:r>
      <w:hyperlink r:id="rId10" w:history="1">
        <w:r w:rsidRPr="000C3F07">
          <w:rPr>
            <w:rStyle w:val="Hyperlink"/>
            <w:rFonts w:ascii="Times New Roman" w:hAnsi="Times New Roman" w:cs="Times New Roman"/>
            <w:szCs w:val="24"/>
          </w:rPr>
          <w:t>https://doi.org/10.1002/(SICI)1097-0266(199602)17:2%3C151::AID-SMJ799%3E3.0.CO;2-Z</w:t>
        </w:r>
      </w:hyperlink>
      <w:r w:rsidRPr="000C3F07">
        <w:rPr>
          <w:rFonts w:ascii="Times New Roman" w:hAnsi="Times New Roman" w:cs="Times New Roman"/>
          <w:szCs w:val="24"/>
        </w:rPr>
        <w:t xml:space="preserve"> </w:t>
      </w:r>
      <w:hyperlink r:id="rId11" w:history="1">
        <w:r w:rsidRPr="000C3F07">
          <w:rPr>
            <w:rStyle w:val="Hyperlink"/>
            <w:rFonts w:ascii="Times New Roman" w:hAnsi="Times New Roman" w:cs="Times New Roman"/>
            <w:szCs w:val="24"/>
          </w:rPr>
          <w:t>SMS</w:t>
        </w:r>
      </w:hyperlink>
    </w:p>
    <w:p w14:paraId="15D5C2C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Chang, Y. C., Kao, M. S., Kuo, A., &amp; Chiu, C. F. (2012). How cultural distance influences entry mode choice: The contingent role of host country's governance quality. </w:t>
      </w:r>
      <w:r w:rsidRPr="000C3F07">
        <w:rPr>
          <w:rFonts w:ascii="Times New Roman" w:hAnsi="Times New Roman" w:cs="Times New Roman"/>
          <w:i/>
          <w:iCs/>
          <w:szCs w:val="24"/>
        </w:rPr>
        <w:t>Journal of Business Research, 65</w:t>
      </w:r>
      <w:r w:rsidRPr="000C3F07">
        <w:rPr>
          <w:rFonts w:ascii="Times New Roman" w:hAnsi="Times New Roman" w:cs="Times New Roman"/>
          <w:szCs w:val="24"/>
        </w:rPr>
        <w:t xml:space="preserve">(8), 1160–1170. </w:t>
      </w:r>
      <w:hyperlink r:id="rId12" w:history="1">
        <w:r w:rsidRPr="000C3F07">
          <w:rPr>
            <w:rStyle w:val="Hyperlink"/>
            <w:rFonts w:ascii="Times New Roman" w:hAnsi="Times New Roman" w:cs="Times New Roman"/>
            <w:szCs w:val="24"/>
          </w:rPr>
          <w:t>https://doi.org/10.1016/j.jbusres.2011.07.033</w:t>
        </w:r>
      </w:hyperlink>
      <w:r w:rsidRPr="000C3F07">
        <w:rPr>
          <w:rFonts w:ascii="Times New Roman" w:hAnsi="Times New Roman" w:cs="Times New Roman"/>
          <w:szCs w:val="24"/>
        </w:rPr>
        <w:t xml:space="preserve"> </w:t>
      </w:r>
      <w:hyperlink r:id="rId13" w:history="1">
        <w:r w:rsidRPr="000C3F07">
          <w:rPr>
            <w:rStyle w:val="Hyperlink"/>
            <w:rFonts w:ascii="Times New Roman" w:hAnsi="Times New Roman" w:cs="Times New Roman"/>
            <w:szCs w:val="24"/>
          </w:rPr>
          <w:t>ScienceDirect</w:t>
        </w:r>
      </w:hyperlink>
    </w:p>
    <w:p w14:paraId="449F021F"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Jiménez, A., &amp; Delgado-García, J. B. (2012). Proactive management of political risk and corporate performance: The case of Spanish multinational enterprises. </w:t>
      </w:r>
      <w:r w:rsidRPr="000C3F07">
        <w:rPr>
          <w:rFonts w:ascii="Times New Roman" w:hAnsi="Times New Roman" w:cs="Times New Roman"/>
          <w:i/>
          <w:iCs/>
          <w:szCs w:val="24"/>
        </w:rPr>
        <w:t>International Business Review, 21</w:t>
      </w:r>
      <w:r w:rsidRPr="000C3F07">
        <w:rPr>
          <w:rFonts w:ascii="Times New Roman" w:hAnsi="Times New Roman" w:cs="Times New Roman"/>
          <w:szCs w:val="24"/>
        </w:rPr>
        <w:t>(6), 1029–1040.</w:t>
      </w:r>
    </w:p>
    <w:p w14:paraId="23213C53"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Morschett, D., Schramm-Klein, H., &amp; Swoboda, B. (2010). Decades of research on market entry modes: What do we really know about external antecedents of entry mode choice? </w:t>
      </w:r>
      <w:r w:rsidRPr="000C3F07">
        <w:rPr>
          <w:rFonts w:ascii="Times New Roman" w:hAnsi="Times New Roman" w:cs="Times New Roman"/>
          <w:i/>
          <w:iCs/>
          <w:szCs w:val="24"/>
        </w:rPr>
        <w:t>Journal of International Management, 16</w:t>
      </w:r>
      <w:r w:rsidRPr="000C3F07">
        <w:rPr>
          <w:rFonts w:ascii="Times New Roman" w:hAnsi="Times New Roman" w:cs="Times New Roman"/>
          <w:szCs w:val="24"/>
        </w:rPr>
        <w:t xml:space="preserve">(1), 60–77. </w:t>
      </w:r>
      <w:hyperlink r:id="rId14" w:history="1">
        <w:r w:rsidRPr="000C3F07">
          <w:rPr>
            <w:rStyle w:val="Hyperlink"/>
            <w:rFonts w:ascii="Times New Roman" w:hAnsi="Times New Roman" w:cs="Times New Roman"/>
            <w:szCs w:val="24"/>
          </w:rPr>
          <w:t>https://doi.org/10.1016/j.intman.2009.09.002</w:t>
        </w:r>
      </w:hyperlink>
      <w:r w:rsidRPr="000C3F07">
        <w:rPr>
          <w:rFonts w:ascii="Times New Roman" w:hAnsi="Times New Roman" w:cs="Times New Roman"/>
          <w:szCs w:val="24"/>
        </w:rPr>
        <w:t xml:space="preserve"> </w:t>
      </w:r>
      <w:hyperlink r:id="rId15" w:history="1">
        <w:r w:rsidRPr="000C3F07">
          <w:rPr>
            <w:rStyle w:val="Hyperlink"/>
            <w:rFonts w:ascii="Times New Roman" w:hAnsi="Times New Roman" w:cs="Times New Roman"/>
            <w:szCs w:val="24"/>
          </w:rPr>
          <w:t>DOI</w:t>
        </w:r>
      </w:hyperlink>
    </w:p>
    <w:p w14:paraId="4D14068E" w14:textId="77777777" w:rsidR="000C3F07" w:rsidRPr="000C3F07" w:rsidRDefault="000C3F07" w:rsidP="000C3F07">
      <w:pPr>
        <w:rPr>
          <w:rFonts w:ascii="Times New Roman" w:hAnsi="Times New Roman" w:cs="Times New Roman"/>
          <w:szCs w:val="24"/>
        </w:rPr>
      </w:pPr>
      <w:proofErr w:type="spellStart"/>
      <w:r w:rsidRPr="000C3F07">
        <w:rPr>
          <w:rFonts w:ascii="Times New Roman" w:hAnsi="Times New Roman" w:cs="Times New Roman"/>
          <w:szCs w:val="24"/>
        </w:rPr>
        <w:t>Quer</w:t>
      </w:r>
      <w:proofErr w:type="spellEnd"/>
      <w:r w:rsidRPr="000C3F07">
        <w:rPr>
          <w:rFonts w:ascii="Times New Roman" w:hAnsi="Times New Roman" w:cs="Times New Roman"/>
          <w:szCs w:val="24"/>
        </w:rPr>
        <w:t xml:space="preserve">, D., Claver, E., &amp; </w:t>
      </w:r>
      <w:proofErr w:type="spellStart"/>
      <w:r w:rsidRPr="000C3F07">
        <w:rPr>
          <w:rFonts w:ascii="Times New Roman" w:hAnsi="Times New Roman" w:cs="Times New Roman"/>
          <w:szCs w:val="24"/>
        </w:rPr>
        <w:t>Rienda</w:t>
      </w:r>
      <w:proofErr w:type="spellEnd"/>
      <w:r w:rsidRPr="000C3F07">
        <w:rPr>
          <w:rFonts w:ascii="Times New Roman" w:hAnsi="Times New Roman" w:cs="Times New Roman"/>
          <w:szCs w:val="24"/>
        </w:rPr>
        <w:t xml:space="preserve">, L. (2010). External uncertainty and entry mode choice: Cultural distance, political risk and language diversity. </w:t>
      </w:r>
      <w:r w:rsidRPr="000C3F07">
        <w:rPr>
          <w:rFonts w:ascii="Times New Roman" w:hAnsi="Times New Roman" w:cs="Times New Roman"/>
          <w:i/>
          <w:iCs/>
          <w:szCs w:val="24"/>
        </w:rPr>
        <w:t>International Business Review, 19</w:t>
      </w:r>
      <w:r w:rsidRPr="000C3F07">
        <w:rPr>
          <w:rFonts w:ascii="Times New Roman" w:hAnsi="Times New Roman" w:cs="Times New Roman"/>
          <w:szCs w:val="24"/>
        </w:rPr>
        <w:t xml:space="preserve">(6), 575–588. </w:t>
      </w:r>
      <w:hyperlink r:id="rId16" w:history="1">
        <w:r w:rsidRPr="000C3F07">
          <w:rPr>
            <w:rStyle w:val="Hyperlink"/>
            <w:rFonts w:ascii="Times New Roman" w:hAnsi="Times New Roman" w:cs="Times New Roman"/>
            <w:szCs w:val="24"/>
          </w:rPr>
          <w:t>https://doi.org/10.1016/j.ibusrev.2010.03.007</w:t>
        </w:r>
      </w:hyperlink>
      <w:r w:rsidRPr="000C3F07">
        <w:rPr>
          <w:rFonts w:ascii="Times New Roman" w:hAnsi="Times New Roman" w:cs="Times New Roman"/>
          <w:szCs w:val="24"/>
        </w:rPr>
        <w:t xml:space="preserve"> </w:t>
      </w:r>
      <w:hyperlink r:id="rId17" w:history="1">
        <w:r w:rsidRPr="000C3F07">
          <w:rPr>
            <w:rStyle w:val="Hyperlink"/>
            <w:rFonts w:ascii="Times New Roman" w:hAnsi="Times New Roman" w:cs="Times New Roman"/>
            <w:szCs w:val="24"/>
          </w:rPr>
          <w:t>ScienceDirect</w:t>
        </w:r>
      </w:hyperlink>
    </w:p>
    <w:p w14:paraId="144C5D97"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Rienda, L., </w:t>
      </w:r>
      <w:proofErr w:type="spellStart"/>
      <w:r w:rsidRPr="000C3F07">
        <w:rPr>
          <w:rFonts w:ascii="Times New Roman" w:hAnsi="Times New Roman" w:cs="Times New Roman"/>
          <w:szCs w:val="24"/>
        </w:rPr>
        <w:t>Quer</w:t>
      </w:r>
      <w:proofErr w:type="spellEnd"/>
      <w:r w:rsidRPr="000C3F07">
        <w:rPr>
          <w:rFonts w:ascii="Times New Roman" w:hAnsi="Times New Roman" w:cs="Times New Roman"/>
          <w:szCs w:val="24"/>
        </w:rPr>
        <w:t xml:space="preserve">, D., &amp; Andreu, R. (2021). Distance factors and establishment mode choice of emerging-market multinationals: The moderating effect of administrative distance. </w:t>
      </w:r>
      <w:r w:rsidRPr="000C3F07">
        <w:rPr>
          <w:rFonts w:ascii="Times New Roman" w:hAnsi="Times New Roman" w:cs="Times New Roman"/>
          <w:i/>
          <w:iCs/>
          <w:szCs w:val="24"/>
        </w:rPr>
        <w:t>European Management Review</w:t>
      </w:r>
      <w:r w:rsidRPr="000C3F07">
        <w:rPr>
          <w:rFonts w:ascii="Times New Roman" w:hAnsi="Times New Roman" w:cs="Times New Roman"/>
          <w:szCs w:val="24"/>
        </w:rPr>
        <w:t xml:space="preserve">. </w:t>
      </w:r>
      <w:hyperlink r:id="rId18" w:history="1">
        <w:r w:rsidRPr="000C3F07">
          <w:rPr>
            <w:rStyle w:val="Hyperlink"/>
            <w:rFonts w:ascii="Times New Roman" w:hAnsi="Times New Roman" w:cs="Times New Roman"/>
            <w:szCs w:val="24"/>
          </w:rPr>
          <w:t>https://doi.org/10.1111/emre.12486</w:t>
        </w:r>
      </w:hyperlink>
      <w:r w:rsidRPr="000C3F07">
        <w:rPr>
          <w:rFonts w:ascii="Times New Roman" w:hAnsi="Times New Roman" w:cs="Times New Roman"/>
          <w:szCs w:val="24"/>
        </w:rPr>
        <w:t xml:space="preserve"> </w:t>
      </w:r>
      <w:hyperlink r:id="rId19" w:history="1">
        <w:r w:rsidRPr="000C3F07">
          <w:rPr>
            <w:rStyle w:val="Hyperlink"/>
            <w:rFonts w:ascii="Times New Roman" w:hAnsi="Times New Roman" w:cs="Times New Roman"/>
            <w:szCs w:val="24"/>
          </w:rPr>
          <w:t>Wiley Online Library</w:t>
        </w:r>
      </w:hyperlink>
    </w:p>
    <w:p w14:paraId="50AF21D4" w14:textId="77777777" w:rsidR="000C3F07" w:rsidRPr="000C3F07" w:rsidRDefault="000C3F07" w:rsidP="000C3F07">
      <w:pPr>
        <w:rPr>
          <w:rFonts w:ascii="Times New Roman" w:hAnsi="Times New Roman" w:cs="Times New Roman"/>
          <w:szCs w:val="24"/>
        </w:rPr>
      </w:pPr>
      <w:proofErr w:type="spellStart"/>
      <w:r w:rsidRPr="000C3F07">
        <w:rPr>
          <w:rFonts w:ascii="Times New Roman" w:hAnsi="Times New Roman" w:cs="Times New Roman"/>
          <w:szCs w:val="24"/>
        </w:rPr>
        <w:t>Samiee</w:t>
      </w:r>
      <w:proofErr w:type="spellEnd"/>
      <w:r w:rsidRPr="000C3F07">
        <w:rPr>
          <w:rFonts w:ascii="Times New Roman" w:hAnsi="Times New Roman" w:cs="Times New Roman"/>
          <w:szCs w:val="24"/>
        </w:rPr>
        <w:t xml:space="preserve">, S. (2013). International market-entry mode decisions: Cultural distance's role in classifying partnerships versus sole ownership. </w:t>
      </w:r>
      <w:r w:rsidRPr="000C3F07">
        <w:rPr>
          <w:rFonts w:ascii="Times New Roman" w:hAnsi="Times New Roman" w:cs="Times New Roman"/>
          <w:i/>
          <w:iCs/>
          <w:szCs w:val="24"/>
        </w:rPr>
        <w:t>Journal of Business Research, 66</w:t>
      </w:r>
      <w:r w:rsidRPr="000C3F07">
        <w:rPr>
          <w:rFonts w:ascii="Times New Roman" w:hAnsi="Times New Roman" w:cs="Times New Roman"/>
          <w:szCs w:val="24"/>
        </w:rPr>
        <w:t xml:space="preserve">(5), 659–661. </w:t>
      </w:r>
      <w:hyperlink r:id="rId20" w:history="1">
        <w:r w:rsidRPr="000C3F07">
          <w:rPr>
            <w:rStyle w:val="Hyperlink"/>
            <w:rFonts w:ascii="Times New Roman" w:hAnsi="Times New Roman" w:cs="Times New Roman"/>
            <w:szCs w:val="24"/>
          </w:rPr>
          <w:t>https://doi.org/10.1016/j.jbusres.2012.04.019</w:t>
        </w:r>
      </w:hyperlink>
      <w:r w:rsidRPr="000C3F07">
        <w:rPr>
          <w:rFonts w:ascii="Times New Roman" w:hAnsi="Times New Roman" w:cs="Times New Roman"/>
          <w:szCs w:val="24"/>
        </w:rPr>
        <w:t xml:space="preserve"> </w:t>
      </w:r>
      <w:hyperlink r:id="rId21" w:history="1">
        <w:r w:rsidRPr="000C3F07">
          <w:rPr>
            <w:rStyle w:val="Hyperlink"/>
            <w:rFonts w:ascii="Times New Roman" w:hAnsi="Times New Roman" w:cs="Times New Roman"/>
            <w:szCs w:val="24"/>
          </w:rPr>
          <w:t>ScienceDirect</w:t>
        </w:r>
      </w:hyperlink>
    </w:p>
    <w:p w14:paraId="69B18FCA"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Schmeisser, B., </w:t>
      </w:r>
      <w:proofErr w:type="spellStart"/>
      <w:r w:rsidRPr="000C3F07">
        <w:rPr>
          <w:rFonts w:ascii="Times New Roman" w:hAnsi="Times New Roman" w:cs="Times New Roman"/>
          <w:szCs w:val="24"/>
        </w:rPr>
        <w:t>Saebi</w:t>
      </w:r>
      <w:proofErr w:type="spellEnd"/>
      <w:r w:rsidRPr="000C3F07">
        <w:rPr>
          <w:rFonts w:ascii="Times New Roman" w:hAnsi="Times New Roman" w:cs="Times New Roman"/>
          <w:szCs w:val="24"/>
        </w:rPr>
        <w:t xml:space="preserve">, T., Schotter, A. P. J., &amp; Gooderham, P. (2026). The digital transformation of international business: A conceptualization, multidisciplinary review, and research agenda. </w:t>
      </w:r>
      <w:r w:rsidRPr="000C3F07">
        <w:rPr>
          <w:rFonts w:ascii="Times New Roman" w:hAnsi="Times New Roman" w:cs="Times New Roman"/>
          <w:i/>
          <w:iCs/>
          <w:szCs w:val="24"/>
        </w:rPr>
        <w:t>Journal of World Business, 61</w:t>
      </w:r>
      <w:r w:rsidRPr="000C3F07">
        <w:rPr>
          <w:rFonts w:ascii="Times New Roman" w:hAnsi="Times New Roman" w:cs="Times New Roman"/>
          <w:szCs w:val="24"/>
        </w:rPr>
        <w:t xml:space="preserve">(1), 101695. </w:t>
      </w:r>
      <w:hyperlink r:id="rId22" w:history="1">
        <w:r w:rsidRPr="000C3F07">
          <w:rPr>
            <w:rStyle w:val="Hyperlink"/>
            <w:rFonts w:ascii="Times New Roman" w:hAnsi="Times New Roman" w:cs="Times New Roman"/>
            <w:szCs w:val="24"/>
          </w:rPr>
          <w:t>https://doi.org/10.1016/j.jwb.2025.101695</w:t>
        </w:r>
      </w:hyperlink>
      <w:r w:rsidRPr="000C3F07">
        <w:rPr>
          <w:rFonts w:ascii="Times New Roman" w:hAnsi="Times New Roman" w:cs="Times New Roman"/>
          <w:szCs w:val="24"/>
        </w:rPr>
        <w:t xml:space="preserve"> </w:t>
      </w:r>
      <w:hyperlink r:id="rId23" w:history="1">
        <w:r w:rsidRPr="000C3F07">
          <w:rPr>
            <w:rStyle w:val="Hyperlink"/>
            <w:rFonts w:ascii="Times New Roman" w:hAnsi="Times New Roman" w:cs="Times New Roman"/>
            <w:szCs w:val="24"/>
          </w:rPr>
          <w:t>DOI</w:t>
        </w:r>
      </w:hyperlink>
    </w:p>
    <w:p w14:paraId="5BE6270D"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Zhang, W., He, X., Wang, T., &amp; Wang, K. (2023). Institutional distance and the international market entry mode: A meta-analysis. </w:t>
      </w:r>
      <w:r w:rsidRPr="000C3F07">
        <w:rPr>
          <w:rFonts w:ascii="Times New Roman" w:hAnsi="Times New Roman" w:cs="Times New Roman"/>
          <w:i/>
          <w:iCs/>
          <w:szCs w:val="24"/>
        </w:rPr>
        <w:t>Journal of International Management, 29</w:t>
      </w:r>
      <w:r w:rsidRPr="000C3F07">
        <w:rPr>
          <w:rFonts w:ascii="Times New Roman" w:hAnsi="Times New Roman" w:cs="Times New Roman"/>
          <w:szCs w:val="24"/>
        </w:rPr>
        <w:t xml:space="preserve">(1), 100990. </w:t>
      </w:r>
      <w:hyperlink r:id="rId24" w:history="1">
        <w:r w:rsidRPr="000C3F07">
          <w:rPr>
            <w:rStyle w:val="Hyperlink"/>
            <w:rFonts w:ascii="Times New Roman" w:hAnsi="Times New Roman" w:cs="Times New Roman"/>
            <w:szCs w:val="24"/>
          </w:rPr>
          <w:t>https://doi.org/10.1016/j.intman.2022.100990</w:t>
        </w:r>
      </w:hyperlink>
      <w:r w:rsidRPr="000C3F07">
        <w:rPr>
          <w:rFonts w:ascii="Times New Roman" w:hAnsi="Times New Roman" w:cs="Times New Roman"/>
          <w:szCs w:val="24"/>
        </w:rPr>
        <w:t xml:space="preserve"> </w:t>
      </w:r>
      <w:hyperlink r:id="rId25" w:history="1">
        <w:r w:rsidRPr="000C3F07">
          <w:rPr>
            <w:rStyle w:val="Hyperlink"/>
            <w:rFonts w:ascii="Times New Roman" w:hAnsi="Times New Roman" w:cs="Times New Roman"/>
            <w:szCs w:val="24"/>
          </w:rPr>
          <w:t>ScienceDirect</w:t>
        </w:r>
      </w:hyperlink>
    </w:p>
    <w:p w14:paraId="2775026E"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t xml:space="preserve">Pooja, &amp; Dhir, S. (2025). </w:t>
      </w:r>
      <w:proofErr w:type="spellStart"/>
      <w:r w:rsidRPr="000C3F07">
        <w:rPr>
          <w:rFonts w:ascii="Times New Roman" w:hAnsi="Times New Roman" w:cs="Times New Roman"/>
          <w:szCs w:val="24"/>
        </w:rPr>
        <w:t>Modeling</w:t>
      </w:r>
      <w:proofErr w:type="spellEnd"/>
      <w:r w:rsidRPr="000C3F07">
        <w:rPr>
          <w:rFonts w:ascii="Times New Roman" w:hAnsi="Times New Roman" w:cs="Times New Roman"/>
          <w:szCs w:val="24"/>
        </w:rPr>
        <w:t xml:space="preserve"> critical factors of MNCs international performance in the context of digitalization: An integrated M-TISM and MICMAC approach. </w:t>
      </w:r>
      <w:r w:rsidRPr="000C3F07">
        <w:rPr>
          <w:rFonts w:ascii="Times New Roman" w:hAnsi="Times New Roman" w:cs="Times New Roman"/>
          <w:i/>
          <w:iCs/>
          <w:szCs w:val="24"/>
        </w:rPr>
        <w:t>Thunderbird International Business Review</w:t>
      </w:r>
      <w:r w:rsidRPr="000C3F07">
        <w:rPr>
          <w:rFonts w:ascii="Times New Roman" w:hAnsi="Times New Roman" w:cs="Times New Roman"/>
          <w:szCs w:val="24"/>
        </w:rPr>
        <w:t xml:space="preserve">. </w:t>
      </w:r>
      <w:hyperlink r:id="rId26" w:history="1">
        <w:r w:rsidRPr="000C3F07">
          <w:rPr>
            <w:rStyle w:val="Hyperlink"/>
            <w:rFonts w:ascii="Times New Roman" w:hAnsi="Times New Roman" w:cs="Times New Roman"/>
            <w:szCs w:val="24"/>
          </w:rPr>
          <w:t>https://doi.org/10.1002/tie.22442</w:t>
        </w:r>
      </w:hyperlink>
      <w:r w:rsidRPr="000C3F07">
        <w:rPr>
          <w:rFonts w:ascii="Times New Roman" w:hAnsi="Times New Roman" w:cs="Times New Roman"/>
          <w:szCs w:val="24"/>
        </w:rPr>
        <w:t xml:space="preserve"> </w:t>
      </w:r>
      <w:hyperlink r:id="rId27" w:history="1">
        <w:r w:rsidRPr="000C3F07">
          <w:rPr>
            <w:rStyle w:val="Hyperlink"/>
            <w:rFonts w:ascii="Times New Roman" w:hAnsi="Times New Roman" w:cs="Times New Roman"/>
            <w:szCs w:val="24"/>
          </w:rPr>
          <w:t>Wiley Online Library</w:t>
        </w:r>
      </w:hyperlink>
    </w:p>
    <w:p w14:paraId="4EEAEE3B" w14:textId="77777777" w:rsidR="000C3F07" w:rsidRPr="000C3F07" w:rsidRDefault="000C3F07" w:rsidP="000C3F07">
      <w:pPr>
        <w:rPr>
          <w:rFonts w:ascii="Times New Roman" w:hAnsi="Times New Roman" w:cs="Times New Roman"/>
          <w:szCs w:val="24"/>
        </w:rPr>
      </w:pPr>
      <w:r w:rsidRPr="000C3F07">
        <w:rPr>
          <w:rFonts w:ascii="Times New Roman" w:hAnsi="Times New Roman" w:cs="Times New Roman"/>
          <w:szCs w:val="24"/>
        </w:rPr>
        <w:lastRenderedPageBreak/>
        <w:t xml:space="preserve">Wu, S., &amp; </w:t>
      </w:r>
      <w:proofErr w:type="spellStart"/>
      <w:r w:rsidRPr="000C3F07">
        <w:rPr>
          <w:rFonts w:ascii="Times New Roman" w:hAnsi="Times New Roman" w:cs="Times New Roman"/>
          <w:szCs w:val="24"/>
        </w:rPr>
        <w:t>Zámborský</w:t>
      </w:r>
      <w:proofErr w:type="spellEnd"/>
      <w:r w:rsidRPr="000C3F07">
        <w:rPr>
          <w:rFonts w:ascii="Times New Roman" w:hAnsi="Times New Roman" w:cs="Times New Roman"/>
          <w:szCs w:val="24"/>
        </w:rPr>
        <w:t xml:space="preserve">, P. (2026). Reassessing the digital transformation of multinational enterprises: The role of cross-country information distance. </w:t>
      </w:r>
      <w:r w:rsidRPr="000C3F07">
        <w:rPr>
          <w:rFonts w:ascii="Times New Roman" w:hAnsi="Times New Roman" w:cs="Times New Roman"/>
          <w:i/>
          <w:iCs/>
          <w:szCs w:val="24"/>
        </w:rPr>
        <w:t>Australian Journal of Management</w:t>
      </w:r>
      <w:r w:rsidRPr="000C3F07">
        <w:rPr>
          <w:rFonts w:ascii="Times New Roman" w:hAnsi="Times New Roman" w:cs="Times New Roman"/>
          <w:szCs w:val="24"/>
        </w:rPr>
        <w:t xml:space="preserve">. </w:t>
      </w:r>
      <w:hyperlink r:id="rId28" w:history="1">
        <w:r w:rsidRPr="000C3F07">
          <w:rPr>
            <w:rStyle w:val="Hyperlink"/>
            <w:rFonts w:ascii="Times New Roman" w:hAnsi="Times New Roman" w:cs="Times New Roman"/>
            <w:szCs w:val="24"/>
          </w:rPr>
          <w:t>https://doi.org/10.1177/03128962261425511</w:t>
        </w:r>
      </w:hyperlink>
      <w:r w:rsidRPr="000C3F07">
        <w:rPr>
          <w:rFonts w:ascii="Times New Roman" w:hAnsi="Times New Roman" w:cs="Times New Roman"/>
          <w:szCs w:val="24"/>
        </w:rPr>
        <w:t xml:space="preserve"> </w:t>
      </w:r>
      <w:hyperlink r:id="rId29" w:history="1">
        <w:r w:rsidRPr="000C3F07">
          <w:rPr>
            <w:rStyle w:val="Hyperlink"/>
            <w:rFonts w:ascii="Times New Roman" w:hAnsi="Times New Roman" w:cs="Times New Roman"/>
            <w:szCs w:val="24"/>
          </w:rPr>
          <w:t>Sage Journals</w:t>
        </w:r>
      </w:hyperlink>
    </w:p>
    <w:p w14:paraId="25C23716" w14:textId="1DA16E1D" w:rsidR="000C3F07" w:rsidRPr="000C3F07" w:rsidRDefault="000C3F07" w:rsidP="000C3F07">
      <w:pPr>
        <w:rPr>
          <w:rFonts w:ascii="Times New Roman" w:hAnsi="Times New Roman" w:cs="Times New Roman"/>
          <w:szCs w:val="24"/>
        </w:rPr>
      </w:pPr>
    </w:p>
    <w:p w14:paraId="26C7FED1"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Appendices</w:t>
      </w:r>
    </w:p>
    <w:p w14:paraId="618757C3"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Appendix A: International Market Screening Matrix</w:t>
      </w:r>
    </w:p>
    <w:tbl>
      <w:tblPr>
        <w:tblStyle w:val="TableGrid"/>
        <w:tblW w:w="0" w:type="auto"/>
        <w:tblLook w:val="04A0" w:firstRow="1" w:lastRow="0" w:firstColumn="1" w:lastColumn="0" w:noHBand="0" w:noVBand="1"/>
      </w:tblPr>
      <w:tblGrid>
        <w:gridCol w:w="2390"/>
        <w:gridCol w:w="4509"/>
        <w:gridCol w:w="2451"/>
      </w:tblGrid>
      <w:tr w:rsidR="000C3F07" w:rsidRPr="000C3F07" w14:paraId="3D2A1EAC" w14:textId="77777777" w:rsidTr="00B45C1E">
        <w:tc>
          <w:tcPr>
            <w:tcW w:w="0" w:type="auto"/>
            <w:hideMark/>
          </w:tcPr>
          <w:p w14:paraId="203ECAC1"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Factor</w:t>
            </w:r>
          </w:p>
        </w:tc>
        <w:tc>
          <w:tcPr>
            <w:tcW w:w="0" w:type="auto"/>
            <w:hideMark/>
          </w:tcPr>
          <w:p w14:paraId="23F50BB5"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Key Question</w:t>
            </w:r>
          </w:p>
        </w:tc>
        <w:tc>
          <w:tcPr>
            <w:tcW w:w="0" w:type="auto"/>
            <w:hideMark/>
          </w:tcPr>
          <w:p w14:paraId="0ACEDE12"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Suggested Assessment</w:t>
            </w:r>
          </w:p>
        </w:tc>
      </w:tr>
      <w:tr w:rsidR="000C3F07" w:rsidRPr="000C3F07" w14:paraId="4F6F34D8" w14:textId="77777777" w:rsidTr="00B45C1E">
        <w:tc>
          <w:tcPr>
            <w:tcW w:w="0" w:type="auto"/>
            <w:hideMark/>
          </w:tcPr>
          <w:p w14:paraId="13E786E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Market Size</w:t>
            </w:r>
          </w:p>
        </w:tc>
        <w:tc>
          <w:tcPr>
            <w:tcW w:w="0" w:type="auto"/>
            <w:hideMark/>
          </w:tcPr>
          <w:p w14:paraId="342FEEC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Is sufficient demand available?</w:t>
            </w:r>
          </w:p>
        </w:tc>
        <w:tc>
          <w:tcPr>
            <w:tcW w:w="0" w:type="auto"/>
            <w:hideMark/>
          </w:tcPr>
          <w:p w14:paraId="2DE89A2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r w:rsidR="000C3F07" w:rsidRPr="000C3F07" w14:paraId="3B64F66B" w14:textId="77777777" w:rsidTr="00B45C1E">
        <w:tc>
          <w:tcPr>
            <w:tcW w:w="0" w:type="auto"/>
            <w:hideMark/>
          </w:tcPr>
          <w:p w14:paraId="784B186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Growth</w:t>
            </w:r>
          </w:p>
        </w:tc>
        <w:tc>
          <w:tcPr>
            <w:tcW w:w="0" w:type="auto"/>
            <w:hideMark/>
          </w:tcPr>
          <w:p w14:paraId="73F45B1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Is the market expanding?</w:t>
            </w:r>
          </w:p>
        </w:tc>
        <w:tc>
          <w:tcPr>
            <w:tcW w:w="0" w:type="auto"/>
            <w:hideMark/>
          </w:tcPr>
          <w:p w14:paraId="005797B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r w:rsidR="000C3F07" w:rsidRPr="000C3F07" w14:paraId="41638913" w14:textId="77777777" w:rsidTr="00B45C1E">
        <w:tc>
          <w:tcPr>
            <w:tcW w:w="0" w:type="auto"/>
            <w:hideMark/>
          </w:tcPr>
          <w:p w14:paraId="2B4E28A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Competition</w:t>
            </w:r>
          </w:p>
        </w:tc>
        <w:tc>
          <w:tcPr>
            <w:tcW w:w="0" w:type="auto"/>
            <w:hideMark/>
          </w:tcPr>
          <w:p w14:paraId="707AAFB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intense is rivalry?</w:t>
            </w:r>
          </w:p>
        </w:tc>
        <w:tc>
          <w:tcPr>
            <w:tcW w:w="0" w:type="auto"/>
            <w:hideMark/>
          </w:tcPr>
          <w:p w14:paraId="2DB2DA0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r w:rsidR="000C3F07" w:rsidRPr="000C3F07" w14:paraId="3F3BEFAD" w14:textId="77777777" w:rsidTr="00B45C1E">
        <w:tc>
          <w:tcPr>
            <w:tcW w:w="0" w:type="auto"/>
            <w:hideMark/>
          </w:tcPr>
          <w:p w14:paraId="228E76C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Political Risk</w:t>
            </w:r>
          </w:p>
        </w:tc>
        <w:tc>
          <w:tcPr>
            <w:tcW w:w="0" w:type="auto"/>
            <w:hideMark/>
          </w:tcPr>
          <w:p w14:paraId="4E6F276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Is the environment stable?</w:t>
            </w:r>
          </w:p>
        </w:tc>
        <w:tc>
          <w:tcPr>
            <w:tcW w:w="0" w:type="auto"/>
            <w:hideMark/>
          </w:tcPr>
          <w:p w14:paraId="1946767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r w:rsidR="000C3F07" w:rsidRPr="000C3F07" w14:paraId="23CAB9F0" w14:textId="77777777" w:rsidTr="00B45C1E">
        <w:tc>
          <w:tcPr>
            <w:tcW w:w="0" w:type="auto"/>
            <w:hideMark/>
          </w:tcPr>
          <w:p w14:paraId="7966930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Regulatory Complexity</w:t>
            </w:r>
          </w:p>
        </w:tc>
        <w:tc>
          <w:tcPr>
            <w:tcW w:w="0" w:type="auto"/>
            <w:hideMark/>
          </w:tcPr>
          <w:p w14:paraId="6F22F21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difficult is compliance?</w:t>
            </w:r>
          </w:p>
        </w:tc>
        <w:tc>
          <w:tcPr>
            <w:tcW w:w="0" w:type="auto"/>
            <w:hideMark/>
          </w:tcPr>
          <w:p w14:paraId="2AAF57D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r w:rsidR="000C3F07" w:rsidRPr="000C3F07" w14:paraId="375C14F7" w14:textId="77777777" w:rsidTr="00B45C1E">
        <w:tc>
          <w:tcPr>
            <w:tcW w:w="0" w:type="auto"/>
            <w:hideMark/>
          </w:tcPr>
          <w:p w14:paraId="334C014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Cultural Distance</w:t>
            </w:r>
          </w:p>
        </w:tc>
        <w:tc>
          <w:tcPr>
            <w:tcW w:w="0" w:type="auto"/>
            <w:hideMark/>
          </w:tcPr>
          <w:p w14:paraId="05DAF45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different are customer/business practices?</w:t>
            </w:r>
          </w:p>
        </w:tc>
        <w:tc>
          <w:tcPr>
            <w:tcW w:w="0" w:type="auto"/>
            <w:hideMark/>
          </w:tcPr>
          <w:p w14:paraId="3BDD644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r w:rsidR="000C3F07" w:rsidRPr="000C3F07" w14:paraId="2EAD46D3" w14:textId="77777777" w:rsidTr="00B45C1E">
        <w:tc>
          <w:tcPr>
            <w:tcW w:w="0" w:type="auto"/>
            <w:hideMark/>
          </w:tcPr>
          <w:p w14:paraId="629D0B2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Infrastructure</w:t>
            </w:r>
          </w:p>
        </w:tc>
        <w:tc>
          <w:tcPr>
            <w:tcW w:w="0" w:type="auto"/>
            <w:hideMark/>
          </w:tcPr>
          <w:p w14:paraId="3DC2366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Can operations be supported effectively?</w:t>
            </w:r>
          </w:p>
        </w:tc>
        <w:tc>
          <w:tcPr>
            <w:tcW w:w="0" w:type="auto"/>
            <w:hideMark/>
          </w:tcPr>
          <w:p w14:paraId="5EAD053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Weak/Average/Strong</w:t>
            </w:r>
          </w:p>
        </w:tc>
      </w:tr>
      <w:tr w:rsidR="000C3F07" w:rsidRPr="000C3F07" w14:paraId="6DE1045F" w14:textId="77777777" w:rsidTr="00B45C1E">
        <w:tc>
          <w:tcPr>
            <w:tcW w:w="0" w:type="auto"/>
            <w:hideMark/>
          </w:tcPr>
          <w:p w14:paraId="4882E99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Strategic Fit</w:t>
            </w:r>
          </w:p>
        </w:tc>
        <w:tc>
          <w:tcPr>
            <w:tcW w:w="0" w:type="auto"/>
            <w:hideMark/>
          </w:tcPr>
          <w:p w14:paraId="61471C2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Do company capabilities match the market?</w:t>
            </w:r>
          </w:p>
        </w:tc>
        <w:tc>
          <w:tcPr>
            <w:tcW w:w="0" w:type="auto"/>
            <w:hideMark/>
          </w:tcPr>
          <w:p w14:paraId="000F815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Low/Medium/High</w:t>
            </w:r>
          </w:p>
        </w:tc>
      </w:tr>
    </w:tbl>
    <w:p w14:paraId="6C71ABB1"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Appendix B: Entry-Mode Comparison Matrix</w:t>
      </w:r>
    </w:p>
    <w:tbl>
      <w:tblPr>
        <w:tblStyle w:val="TableGrid"/>
        <w:tblW w:w="0" w:type="auto"/>
        <w:tblLook w:val="04A0" w:firstRow="1" w:lastRow="0" w:firstColumn="1" w:lastColumn="0" w:noHBand="0" w:noVBand="1"/>
      </w:tblPr>
      <w:tblGrid>
        <w:gridCol w:w="1850"/>
        <w:gridCol w:w="1533"/>
        <w:gridCol w:w="1030"/>
        <w:gridCol w:w="1455"/>
        <w:gridCol w:w="1766"/>
        <w:gridCol w:w="1716"/>
      </w:tblGrid>
      <w:tr w:rsidR="000C3F07" w:rsidRPr="000C3F07" w14:paraId="201AE34E" w14:textId="77777777" w:rsidTr="00B45C1E">
        <w:tc>
          <w:tcPr>
            <w:tcW w:w="0" w:type="auto"/>
            <w:hideMark/>
          </w:tcPr>
          <w:p w14:paraId="5FD4A49A"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Entry Mode</w:t>
            </w:r>
          </w:p>
        </w:tc>
        <w:tc>
          <w:tcPr>
            <w:tcW w:w="0" w:type="auto"/>
            <w:hideMark/>
          </w:tcPr>
          <w:p w14:paraId="7BBB9929"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Investment</w:t>
            </w:r>
          </w:p>
        </w:tc>
        <w:tc>
          <w:tcPr>
            <w:tcW w:w="0" w:type="auto"/>
            <w:hideMark/>
          </w:tcPr>
          <w:p w14:paraId="66EFA557"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Control</w:t>
            </w:r>
          </w:p>
        </w:tc>
        <w:tc>
          <w:tcPr>
            <w:tcW w:w="0" w:type="auto"/>
            <w:hideMark/>
          </w:tcPr>
          <w:p w14:paraId="12A6E6BB"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Speed</w:t>
            </w:r>
          </w:p>
        </w:tc>
        <w:tc>
          <w:tcPr>
            <w:tcW w:w="0" w:type="auto"/>
            <w:hideMark/>
          </w:tcPr>
          <w:p w14:paraId="27EE4B88"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Local Knowledge</w:t>
            </w:r>
          </w:p>
        </w:tc>
        <w:tc>
          <w:tcPr>
            <w:tcW w:w="0" w:type="auto"/>
            <w:hideMark/>
          </w:tcPr>
          <w:p w14:paraId="7BD471B3"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Overall Exposure</w:t>
            </w:r>
          </w:p>
        </w:tc>
      </w:tr>
      <w:tr w:rsidR="000C3F07" w:rsidRPr="000C3F07" w14:paraId="60A5C94B" w14:textId="77777777" w:rsidTr="00B45C1E">
        <w:tc>
          <w:tcPr>
            <w:tcW w:w="0" w:type="auto"/>
            <w:hideMark/>
          </w:tcPr>
          <w:p w14:paraId="428EE3C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Exporting</w:t>
            </w:r>
          </w:p>
        </w:tc>
        <w:tc>
          <w:tcPr>
            <w:tcW w:w="0" w:type="auto"/>
            <w:hideMark/>
          </w:tcPr>
          <w:p w14:paraId="7EC61FB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11BB8D1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631F9A1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4E6676A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4BE30E3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r>
      <w:tr w:rsidR="000C3F07" w:rsidRPr="000C3F07" w14:paraId="33AF5D13" w14:textId="77777777" w:rsidTr="00B45C1E">
        <w:tc>
          <w:tcPr>
            <w:tcW w:w="0" w:type="auto"/>
            <w:hideMark/>
          </w:tcPr>
          <w:p w14:paraId="5328369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Licensing</w:t>
            </w:r>
          </w:p>
        </w:tc>
        <w:tc>
          <w:tcPr>
            <w:tcW w:w="0" w:type="auto"/>
            <w:hideMark/>
          </w:tcPr>
          <w:p w14:paraId="48C3DBE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1CD7457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098FDFD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6F89E74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187AA24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r>
      <w:tr w:rsidR="000C3F07" w:rsidRPr="000C3F07" w14:paraId="48AF8CD6" w14:textId="77777777" w:rsidTr="00B45C1E">
        <w:tc>
          <w:tcPr>
            <w:tcW w:w="0" w:type="auto"/>
            <w:hideMark/>
          </w:tcPr>
          <w:p w14:paraId="699263F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Franchising</w:t>
            </w:r>
          </w:p>
        </w:tc>
        <w:tc>
          <w:tcPr>
            <w:tcW w:w="0" w:type="auto"/>
            <w:hideMark/>
          </w:tcPr>
          <w:p w14:paraId="3012C2B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c>
          <w:tcPr>
            <w:tcW w:w="0" w:type="auto"/>
            <w:hideMark/>
          </w:tcPr>
          <w:p w14:paraId="5AC3DBB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26D0C60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324A16D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5F5B328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r>
      <w:tr w:rsidR="000C3F07" w:rsidRPr="000C3F07" w14:paraId="0C8F9217" w14:textId="77777777" w:rsidTr="00B45C1E">
        <w:tc>
          <w:tcPr>
            <w:tcW w:w="0" w:type="auto"/>
            <w:hideMark/>
          </w:tcPr>
          <w:p w14:paraId="11BAD55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Strategic Alliance</w:t>
            </w:r>
          </w:p>
        </w:tc>
        <w:tc>
          <w:tcPr>
            <w:tcW w:w="0" w:type="auto"/>
            <w:hideMark/>
          </w:tcPr>
          <w:p w14:paraId="4798590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3A9B5DB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Shared</w:t>
            </w:r>
          </w:p>
        </w:tc>
        <w:tc>
          <w:tcPr>
            <w:tcW w:w="0" w:type="auto"/>
            <w:hideMark/>
          </w:tcPr>
          <w:p w14:paraId="75682ED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c>
          <w:tcPr>
            <w:tcW w:w="0" w:type="auto"/>
            <w:hideMark/>
          </w:tcPr>
          <w:p w14:paraId="38D8FE3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779E3CC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r>
      <w:tr w:rsidR="000C3F07" w:rsidRPr="000C3F07" w14:paraId="368B6AC0" w14:textId="77777777" w:rsidTr="00B45C1E">
        <w:tc>
          <w:tcPr>
            <w:tcW w:w="0" w:type="auto"/>
            <w:hideMark/>
          </w:tcPr>
          <w:p w14:paraId="7AE43B8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Joint Venture</w:t>
            </w:r>
          </w:p>
        </w:tc>
        <w:tc>
          <w:tcPr>
            <w:tcW w:w="0" w:type="auto"/>
            <w:hideMark/>
          </w:tcPr>
          <w:p w14:paraId="20CC3BE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c>
          <w:tcPr>
            <w:tcW w:w="0" w:type="auto"/>
            <w:hideMark/>
          </w:tcPr>
          <w:p w14:paraId="5621E33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Shared</w:t>
            </w:r>
          </w:p>
        </w:tc>
        <w:tc>
          <w:tcPr>
            <w:tcW w:w="0" w:type="auto"/>
            <w:hideMark/>
          </w:tcPr>
          <w:p w14:paraId="6D16322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078E1FF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726C0F1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Medium–High</w:t>
            </w:r>
          </w:p>
        </w:tc>
      </w:tr>
      <w:tr w:rsidR="000C3F07" w:rsidRPr="000C3F07" w14:paraId="0DF7C044" w14:textId="77777777" w:rsidTr="00B45C1E">
        <w:tc>
          <w:tcPr>
            <w:tcW w:w="0" w:type="auto"/>
            <w:hideMark/>
          </w:tcPr>
          <w:p w14:paraId="1D8B249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lastRenderedPageBreak/>
              <w:t>Wholly Owned FDI</w:t>
            </w:r>
          </w:p>
        </w:tc>
        <w:tc>
          <w:tcPr>
            <w:tcW w:w="0" w:type="auto"/>
            <w:hideMark/>
          </w:tcPr>
          <w:p w14:paraId="7E076A5A"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7D87F30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638463B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c>
          <w:tcPr>
            <w:tcW w:w="0" w:type="auto"/>
            <w:hideMark/>
          </w:tcPr>
          <w:p w14:paraId="68F302A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Medium</w:t>
            </w:r>
          </w:p>
        </w:tc>
        <w:tc>
          <w:tcPr>
            <w:tcW w:w="0" w:type="auto"/>
            <w:hideMark/>
          </w:tcPr>
          <w:p w14:paraId="4DBAAFD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r>
    </w:tbl>
    <w:p w14:paraId="6031416F" w14:textId="77777777" w:rsidR="00B45C1E" w:rsidRDefault="00B45C1E" w:rsidP="000C3F07">
      <w:pPr>
        <w:rPr>
          <w:rFonts w:ascii="Times New Roman" w:hAnsi="Times New Roman" w:cs="Times New Roman"/>
          <w:b/>
          <w:bCs/>
          <w:szCs w:val="24"/>
        </w:rPr>
      </w:pPr>
    </w:p>
    <w:p w14:paraId="7497B449" w14:textId="1D805B0A"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Appendix C: Global Integration–Local Responsiveness Matrix</w:t>
      </w:r>
    </w:p>
    <w:tbl>
      <w:tblPr>
        <w:tblStyle w:val="TableGrid"/>
        <w:tblW w:w="0" w:type="auto"/>
        <w:tblLook w:val="04A0" w:firstRow="1" w:lastRow="0" w:firstColumn="1" w:lastColumn="0" w:noHBand="0" w:noVBand="1"/>
      </w:tblPr>
      <w:tblGrid>
        <w:gridCol w:w="2169"/>
        <w:gridCol w:w="1862"/>
        <w:gridCol w:w="2198"/>
        <w:gridCol w:w="3121"/>
      </w:tblGrid>
      <w:tr w:rsidR="000C3F07" w:rsidRPr="000C3F07" w14:paraId="2F09A692" w14:textId="77777777" w:rsidTr="00B45C1E">
        <w:tc>
          <w:tcPr>
            <w:tcW w:w="0" w:type="auto"/>
            <w:hideMark/>
          </w:tcPr>
          <w:p w14:paraId="7AEC4E93"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Strategic Position</w:t>
            </w:r>
          </w:p>
        </w:tc>
        <w:tc>
          <w:tcPr>
            <w:tcW w:w="0" w:type="auto"/>
            <w:hideMark/>
          </w:tcPr>
          <w:p w14:paraId="568F598F"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Global Integration</w:t>
            </w:r>
          </w:p>
        </w:tc>
        <w:tc>
          <w:tcPr>
            <w:tcW w:w="0" w:type="auto"/>
            <w:hideMark/>
          </w:tcPr>
          <w:p w14:paraId="546B9C0A"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Local Responsiveness</w:t>
            </w:r>
          </w:p>
        </w:tc>
        <w:tc>
          <w:tcPr>
            <w:tcW w:w="0" w:type="auto"/>
            <w:hideMark/>
          </w:tcPr>
          <w:p w14:paraId="3F4E0459"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Suitable Situation</w:t>
            </w:r>
          </w:p>
        </w:tc>
      </w:tr>
      <w:tr w:rsidR="000C3F07" w:rsidRPr="000C3F07" w14:paraId="4C899EBF" w14:textId="77777777" w:rsidTr="00B45C1E">
        <w:tc>
          <w:tcPr>
            <w:tcW w:w="0" w:type="auto"/>
            <w:hideMark/>
          </w:tcPr>
          <w:p w14:paraId="2047F98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Global Strategy</w:t>
            </w:r>
          </w:p>
        </w:tc>
        <w:tc>
          <w:tcPr>
            <w:tcW w:w="0" w:type="auto"/>
            <w:hideMark/>
          </w:tcPr>
          <w:p w14:paraId="043C2BE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136DD6F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77DBF66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Standardised global demand</w:t>
            </w:r>
          </w:p>
        </w:tc>
      </w:tr>
      <w:tr w:rsidR="000C3F07" w:rsidRPr="000C3F07" w14:paraId="303A33D2" w14:textId="77777777" w:rsidTr="00B45C1E">
        <w:tc>
          <w:tcPr>
            <w:tcW w:w="0" w:type="auto"/>
            <w:hideMark/>
          </w:tcPr>
          <w:p w14:paraId="569BD5A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International Strategy</w:t>
            </w:r>
          </w:p>
        </w:tc>
        <w:tc>
          <w:tcPr>
            <w:tcW w:w="0" w:type="auto"/>
            <w:hideMark/>
          </w:tcPr>
          <w:p w14:paraId="335F964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Low–Medium</w:t>
            </w:r>
          </w:p>
        </w:tc>
        <w:tc>
          <w:tcPr>
            <w:tcW w:w="0" w:type="auto"/>
            <w:hideMark/>
          </w:tcPr>
          <w:p w14:paraId="7515B16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5C43CDC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Transferable home-market capability</w:t>
            </w:r>
          </w:p>
        </w:tc>
      </w:tr>
      <w:tr w:rsidR="000C3F07" w:rsidRPr="000C3F07" w14:paraId="03DC8739" w14:textId="77777777" w:rsidTr="00B45C1E">
        <w:tc>
          <w:tcPr>
            <w:tcW w:w="0" w:type="auto"/>
            <w:hideMark/>
          </w:tcPr>
          <w:p w14:paraId="43E2C1A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Multidomestic Strategy</w:t>
            </w:r>
          </w:p>
        </w:tc>
        <w:tc>
          <w:tcPr>
            <w:tcW w:w="0" w:type="auto"/>
            <w:hideMark/>
          </w:tcPr>
          <w:p w14:paraId="6D2CE12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Low</w:t>
            </w:r>
          </w:p>
        </w:tc>
        <w:tc>
          <w:tcPr>
            <w:tcW w:w="0" w:type="auto"/>
            <w:hideMark/>
          </w:tcPr>
          <w:p w14:paraId="6DC5ED0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5D2231C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Strong local differences</w:t>
            </w:r>
          </w:p>
        </w:tc>
      </w:tr>
      <w:tr w:rsidR="000C3F07" w:rsidRPr="000C3F07" w14:paraId="7BA233E4" w14:textId="77777777" w:rsidTr="00B45C1E">
        <w:tc>
          <w:tcPr>
            <w:tcW w:w="0" w:type="auto"/>
            <w:hideMark/>
          </w:tcPr>
          <w:p w14:paraId="3E3C46B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Transnational Strategy</w:t>
            </w:r>
          </w:p>
        </w:tc>
        <w:tc>
          <w:tcPr>
            <w:tcW w:w="0" w:type="auto"/>
            <w:hideMark/>
          </w:tcPr>
          <w:p w14:paraId="2971860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032F0F6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High</w:t>
            </w:r>
          </w:p>
        </w:tc>
        <w:tc>
          <w:tcPr>
            <w:tcW w:w="0" w:type="auto"/>
            <w:hideMark/>
          </w:tcPr>
          <w:p w14:paraId="3F6E0AD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Simultaneous efficiency and adaptation</w:t>
            </w:r>
          </w:p>
        </w:tc>
      </w:tr>
    </w:tbl>
    <w:p w14:paraId="18ADB09C"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Appendix D: International Risk Register</w:t>
      </w:r>
    </w:p>
    <w:tbl>
      <w:tblPr>
        <w:tblStyle w:val="TableGrid"/>
        <w:tblW w:w="0" w:type="auto"/>
        <w:tblLook w:val="04A0" w:firstRow="1" w:lastRow="0" w:firstColumn="1" w:lastColumn="0" w:noHBand="0" w:noVBand="1"/>
      </w:tblPr>
      <w:tblGrid>
        <w:gridCol w:w="2342"/>
        <w:gridCol w:w="3129"/>
        <w:gridCol w:w="3879"/>
      </w:tblGrid>
      <w:tr w:rsidR="000C3F07" w:rsidRPr="000C3F07" w14:paraId="2FD3E338" w14:textId="77777777" w:rsidTr="00B45C1E">
        <w:tc>
          <w:tcPr>
            <w:tcW w:w="0" w:type="auto"/>
            <w:hideMark/>
          </w:tcPr>
          <w:p w14:paraId="5A5D1109"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Risk</w:t>
            </w:r>
          </w:p>
        </w:tc>
        <w:tc>
          <w:tcPr>
            <w:tcW w:w="0" w:type="auto"/>
            <w:hideMark/>
          </w:tcPr>
          <w:p w14:paraId="3F63613C"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Potential Impact</w:t>
            </w:r>
          </w:p>
        </w:tc>
        <w:tc>
          <w:tcPr>
            <w:tcW w:w="0" w:type="auto"/>
            <w:hideMark/>
          </w:tcPr>
          <w:p w14:paraId="629601E7"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Response</w:t>
            </w:r>
          </w:p>
        </w:tc>
      </w:tr>
      <w:tr w:rsidR="000C3F07" w:rsidRPr="000C3F07" w14:paraId="0F672D1E" w14:textId="77777777" w:rsidTr="00B45C1E">
        <w:tc>
          <w:tcPr>
            <w:tcW w:w="0" w:type="auto"/>
            <w:hideMark/>
          </w:tcPr>
          <w:p w14:paraId="6EC0AF3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Political instability</w:t>
            </w:r>
          </w:p>
        </w:tc>
        <w:tc>
          <w:tcPr>
            <w:tcW w:w="0" w:type="auto"/>
            <w:hideMark/>
          </w:tcPr>
          <w:p w14:paraId="710DA81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Operational disruption</w:t>
            </w:r>
          </w:p>
        </w:tc>
        <w:tc>
          <w:tcPr>
            <w:tcW w:w="0" w:type="auto"/>
            <w:hideMark/>
          </w:tcPr>
          <w:p w14:paraId="33F66AA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Scenario and contingency planning</w:t>
            </w:r>
          </w:p>
        </w:tc>
      </w:tr>
      <w:tr w:rsidR="000C3F07" w:rsidRPr="000C3F07" w14:paraId="28AFDE99" w14:textId="77777777" w:rsidTr="00B45C1E">
        <w:tc>
          <w:tcPr>
            <w:tcW w:w="0" w:type="auto"/>
            <w:hideMark/>
          </w:tcPr>
          <w:p w14:paraId="043A8935"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Regulatory change</w:t>
            </w:r>
          </w:p>
        </w:tc>
        <w:tc>
          <w:tcPr>
            <w:tcW w:w="0" w:type="auto"/>
            <w:hideMark/>
          </w:tcPr>
          <w:p w14:paraId="54AE574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Compliance costs</w:t>
            </w:r>
          </w:p>
        </w:tc>
        <w:tc>
          <w:tcPr>
            <w:tcW w:w="0" w:type="auto"/>
            <w:hideMark/>
          </w:tcPr>
          <w:p w14:paraId="3F57DC6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Local regulatory monitoring</w:t>
            </w:r>
          </w:p>
        </w:tc>
      </w:tr>
      <w:tr w:rsidR="000C3F07" w:rsidRPr="000C3F07" w14:paraId="52FC8561" w14:textId="77777777" w:rsidTr="00B45C1E">
        <w:tc>
          <w:tcPr>
            <w:tcW w:w="0" w:type="auto"/>
            <w:hideMark/>
          </w:tcPr>
          <w:p w14:paraId="7DFB525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Currency volatility</w:t>
            </w:r>
          </w:p>
        </w:tc>
        <w:tc>
          <w:tcPr>
            <w:tcW w:w="0" w:type="auto"/>
            <w:hideMark/>
          </w:tcPr>
          <w:p w14:paraId="2D93E89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Profitability variation</w:t>
            </w:r>
          </w:p>
        </w:tc>
        <w:tc>
          <w:tcPr>
            <w:tcW w:w="0" w:type="auto"/>
            <w:hideMark/>
          </w:tcPr>
          <w:p w14:paraId="1E4EE03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Hedging</w:t>
            </w:r>
          </w:p>
        </w:tc>
      </w:tr>
      <w:tr w:rsidR="000C3F07" w:rsidRPr="000C3F07" w14:paraId="379FE4EF" w14:textId="77777777" w:rsidTr="00B45C1E">
        <w:tc>
          <w:tcPr>
            <w:tcW w:w="0" w:type="auto"/>
            <w:hideMark/>
          </w:tcPr>
          <w:p w14:paraId="3C95CD8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Cultural differences</w:t>
            </w:r>
          </w:p>
        </w:tc>
        <w:tc>
          <w:tcPr>
            <w:tcW w:w="0" w:type="auto"/>
            <w:hideMark/>
          </w:tcPr>
          <w:p w14:paraId="59FB88F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Customer/employee problems</w:t>
            </w:r>
          </w:p>
        </w:tc>
        <w:tc>
          <w:tcPr>
            <w:tcW w:w="0" w:type="auto"/>
            <w:hideMark/>
          </w:tcPr>
          <w:p w14:paraId="21C2576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Localisation and cultural training</w:t>
            </w:r>
          </w:p>
        </w:tc>
      </w:tr>
      <w:tr w:rsidR="000C3F07" w:rsidRPr="000C3F07" w14:paraId="739BC8E6" w14:textId="77777777" w:rsidTr="00B45C1E">
        <w:tc>
          <w:tcPr>
            <w:tcW w:w="0" w:type="auto"/>
            <w:hideMark/>
          </w:tcPr>
          <w:p w14:paraId="0C1E687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Supply-chain disruption</w:t>
            </w:r>
          </w:p>
        </w:tc>
        <w:tc>
          <w:tcPr>
            <w:tcW w:w="0" w:type="auto"/>
            <w:hideMark/>
          </w:tcPr>
          <w:p w14:paraId="059B37B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Delays and shortages</w:t>
            </w:r>
          </w:p>
        </w:tc>
        <w:tc>
          <w:tcPr>
            <w:tcW w:w="0" w:type="auto"/>
            <w:hideMark/>
          </w:tcPr>
          <w:p w14:paraId="2EB512B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Supplier diversification</w:t>
            </w:r>
          </w:p>
        </w:tc>
      </w:tr>
      <w:tr w:rsidR="000C3F07" w:rsidRPr="000C3F07" w14:paraId="74AD8000" w14:textId="77777777" w:rsidTr="00B45C1E">
        <w:tc>
          <w:tcPr>
            <w:tcW w:w="0" w:type="auto"/>
            <w:hideMark/>
          </w:tcPr>
          <w:p w14:paraId="3A77184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Partner conflict</w:t>
            </w:r>
          </w:p>
        </w:tc>
        <w:tc>
          <w:tcPr>
            <w:tcW w:w="0" w:type="auto"/>
            <w:hideMark/>
          </w:tcPr>
          <w:p w14:paraId="05EAB42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Strategic disruption</w:t>
            </w:r>
          </w:p>
        </w:tc>
        <w:tc>
          <w:tcPr>
            <w:tcW w:w="0" w:type="auto"/>
            <w:hideMark/>
          </w:tcPr>
          <w:p w14:paraId="180E3900"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Strong JV/alliance governance</w:t>
            </w:r>
          </w:p>
        </w:tc>
      </w:tr>
      <w:tr w:rsidR="000C3F07" w:rsidRPr="000C3F07" w14:paraId="0477DA2B" w14:textId="77777777" w:rsidTr="00B45C1E">
        <w:tc>
          <w:tcPr>
            <w:tcW w:w="0" w:type="auto"/>
            <w:hideMark/>
          </w:tcPr>
          <w:p w14:paraId="3F14796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Cyber/data regulation</w:t>
            </w:r>
          </w:p>
        </w:tc>
        <w:tc>
          <w:tcPr>
            <w:tcW w:w="0" w:type="auto"/>
            <w:hideMark/>
          </w:tcPr>
          <w:p w14:paraId="0F81885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Legal and reputational exposure</w:t>
            </w:r>
          </w:p>
        </w:tc>
        <w:tc>
          <w:tcPr>
            <w:tcW w:w="0" w:type="auto"/>
            <w:hideMark/>
          </w:tcPr>
          <w:p w14:paraId="7757F5A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Cybersecurity and local compliance</w:t>
            </w:r>
          </w:p>
        </w:tc>
      </w:tr>
      <w:tr w:rsidR="000C3F07" w:rsidRPr="000C3F07" w14:paraId="1CE895F3" w14:textId="77777777" w:rsidTr="00B45C1E">
        <w:tc>
          <w:tcPr>
            <w:tcW w:w="0" w:type="auto"/>
            <w:hideMark/>
          </w:tcPr>
          <w:p w14:paraId="04F956A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Economic downturn</w:t>
            </w:r>
          </w:p>
        </w:tc>
        <w:tc>
          <w:tcPr>
            <w:tcW w:w="0" w:type="auto"/>
            <w:hideMark/>
          </w:tcPr>
          <w:p w14:paraId="6C7DEC8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Reduced demand</w:t>
            </w:r>
          </w:p>
        </w:tc>
        <w:tc>
          <w:tcPr>
            <w:tcW w:w="0" w:type="auto"/>
            <w:hideMark/>
          </w:tcPr>
          <w:p w14:paraId="35E7E929"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Flexible investment and scenario planning</w:t>
            </w:r>
          </w:p>
        </w:tc>
      </w:tr>
    </w:tbl>
    <w:p w14:paraId="21CD4CC4" w14:textId="77777777" w:rsidR="000C3F07" w:rsidRPr="000C3F07" w:rsidRDefault="000C3F07" w:rsidP="000C3F07">
      <w:pPr>
        <w:rPr>
          <w:rFonts w:ascii="Times New Roman" w:hAnsi="Times New Roman" w:cs="Times New Roman"/>
          <w:b/>
          <w:bCs/>
          <w:szCs w:val="24"/>
        </w:rPr>
      </w:pPr>
      <w:r w:rsidRPr="000C3F07">
        <w:rPr>
          <w:rFonts w:ascii="Times New Roman" w:hAnsi="Times New Roman" w:cs="Times New Roman"/>
          <w:b/>
          <w:bCs/>
          <w:szCs w:val="24"/>
        </w:rPr>
        <w:t>Appendix E: Internationalisation Decision Framework</w:t>
      </w:r>
    </w:p>
    <w:tbl>
      <w:tblPr>
        <w:tblStyle w:val="TableGrid"/>
        <w:tblW w:w="0" w:type="auto"/>
        <w:tblLook w:val="04A0" w:firstRow="1" w:lastRow="0" w:firstColumn="1" w:lastColumn="0" w:noHBand="0" w:noVBand="1"/>
      </w:tblPr>
      <w:tblGrid>
        <w:gridCol w:w="776"/>
        <w:gridCol w:w="2329"/>
        <w:gridCol w:w="5073"/>
      </w:tblGrid>
      <w:tr w:rsidR="000C3F07" w:rsidRPr="000C3F07" w14:paraId="75418343" w14:textId="77777777" w:rsidTr="00B45C1E">
        <w:tc>
          <w:tcPr>
            <w:tcW w:w="0" w:type="auto"/>
            <w:hideMark/>
          </w:tcPr>
          <w:p w14:paraId="5C06CB9A"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Stage</w:t>
            </w:r>
          </w:p>
        </w:tc>
        <w:tc>
          <w:tcPr>
            <w:tcW w:w="0" w:type="auto"/>
            <w:hideMark/>
          </w:tcPr>
          <w:p w14:paraId="0BBDA8F7"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Main Decision</w:t>
            </w:r>
          </w:p>
        </w:tc>
        <w:tc>
          <w:tcPr>
            <w:tcW w:w="0" w:type="auto"/>
            <w:hideMark/>
          </w:tcPr>
          <w:p w14:paraId="0607D34A" w14:textId="77777777" w:rsidR="000C3F07" w:rsidRPr="000C3F07" w:rsidRDefault="000C3F07" w:rsidP="000C3F07">
            <w:pPr>
              <w:spacing w:after="160" w:line="278" w:lineRule="auto"/>
              <w:rPr>
                <w:rFonts w:ascii="Times New Roman" w:hAnsi="Times New Roman" w:cs="Times New Roman"/>
                <w:b/>
                <w:bCs/>
                <w:szCs w:val="24"/>
              </w:rPr>
            </w:pPr>
            <w:r w:rsidRPr="000C3F07">
              <w:rPr>
                <w:rFonts w:ascii="Times New Roman" w:hAnsi="Times New Roman" w:cs="Times New Roman"/>
                <w:b/>
                <w:bCs/>
                <w:szCs w:val="24"/>
              </w:rPr>
              <w:t>Key Considerations</w:t>
            </w:r>
          </w:p>
        </w:tc>
      </w:tr>
      <w:tr w:rsidR="000C3F07" w:rsidRPr="000C3F07" w14:paraId="475039C2" w14:textId="77777777" w:rsidTr="00B45C1E">
        <w:tc>
          <w:tcPr>
            <w:tcW w:w="0" w:type="auto"/>
            <w:hideMark/>
          </w:tcPr>
          <w:p w14:paraId="6D55A92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1</w:t>
            </w:r>
          </w:p>
        </w:tc>
        <w:tc>
          <w:tcPr>
            <w:tcW w:w="0" w:type="auto"/>
            <w:hideMark/>
          </w:tcPr>
          <w:p w14:paraId="0A48560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Why internationalise?</w:t>
            </w:r>
          </w:p>
        </w:tc>
        <w:tc>
          <w:tcPr>
            <w:tcW w:w="0" w:type="auto"/>
            <w:hideMark/>
          </w:tcPr>
          <w:p w14:paraId="141A12C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Growth, efficiency, resources, knowledge</w:t>
            </w:r>
          </w:p>
        </w:tc>
      </w:tr>
      <w:tr w:rsidR="000C3F07" w:rsidRPr="000C3F07" w14:paraId="730FFBD7" w14:textId="77777777" w:rsidTr="00B45C1E">
        <w:tc>
          <w:tcPr>
            <w:tcW w:w="0" w:type="auto"/>
            <w:hideMark/>
          </w:tcPr>
          <w:p w14:paraId="6BC4A7E8"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lastRenderedPageBreak/>
              <w:t>2</w:t>
            </w:r>
          </w:p>
        </w:tc>
        <w:tc>
          <w:tcPr>
            <w:tcW w:w="0" w:type="auto"/>
            <w:hideMark/>
          </w:tcPr>
          <w:p w14:paraId="726A66B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Where to enter?</w:t>
            </w:r>
          </w:p>
        </w:tc>
        <w:tc>
          <w:tcPr>
            <w:tcW w:w="0" w:type="auto"/>
            <w:hideMark/>
          </w:tcPr>
          <w:p w14:paraId="76F368F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Market attractiveness and country risk</w:t>
            </w:r>
          </w:p>
        </w:tc>
      </w:tr>
      <w:tr w:rsidR="000C3F07" w:rsidRPr="000C3F07" w14:paraId="56BCF08F" w14:textId="77777777" w:rsidTr="00B45C1E">
        <w:tc>
          <w:tcPr>
            <w:tcW w:w="0" w:type="auto"/>
            <w:hideMark/>
          </w:tcPr>
          <w:p w14:paraId="473D550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3</w:t>
            </w:r>
          </w:p>
        </w:tc>
        <w:tc>
          <w:tcPr>
            <w:tcW w:w="0" w:type="auto"/>
            <w:hideMark/>
          </w:tcPr>
          <w:p w14:paraId="16F3B30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to enter?</w:t>
            </w:r>
          </w:p>
        </w:tc>
        <w:tc>
          <w:tcPr>
            <w:tcW w:w="0" w:type="auto"/>
            <w:hideMark/>
          </w:tcPr>
          <w:p w14:paraId="1E26EF7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Export, license, franchise, alliance, JV or FDI</w:t>
            </w:r>
          </w:p>
        </w:tc>
      </w:tr>
      <w:tr w:rsidR="000C3F07" w:rsidRPr="000C3F07" w14:paraId="637EF6CD" w14:textId="77777777" w:rsidTr="00B45C1E">
        <w:tc>
          <w:tcPr>
            <w:tcW w:w="0" w:type="auto"/>
            <w:hideMark/>
          </w:tcPr>
          <w:p w14:paraId="2965795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4</w:t>
            </w:r>
          </w:p>
        </w:tc>
        <w:tc>
          <w:tcPr>
            <w:tcW w:w="0" w:type="auto"/>
            <w:hideMark/>
          </w:tcPr>
          <w:p w14:paraId="34EDAF57"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much control?</w:t>
            </w:r>
          </w:p>
        </w:tc>
        <w:tc>
          <w:tcPr>
            <w:tcW w:w="0" w:type="auto"/>
            <w:hideMark/>
          </w:tcPr>
          <w:p w14:paraId="1D6C6C2F"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Strategic assets and risk</w:t>
            </w:r>
          </w:p>
        </w:tc>
      </w:tr>
      <w:tr w:rsidR="000C3F07" w:rsidRPr="000C3F07" w14:paraId="7683865C" w14:textId="77777777" w:rsidTr="00B45C1E">
        <w:tc>
          <w:tcPr>
            <w:tcW w:w="0" w:type="auto"/>
            <w:hideMark/>
          </w:tcPr>
          <w:p w14:paraId="18CF0B5D"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5</w:t>
            </w:r>
          </w:p>
        </w:tc>
        <w:tc>
          <w:tcPr>
            <w:tcW w:w="0" w:type="auto"/>
            <w:hideMark/>
          </w:tcPr>
          <w:p w14:paraId="59F3B00C"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What to standardise?</w:t>
            </w:r>
          </w:p>
        </w:tc>
        <w:tc>
          <w:tcPr>
            <w:tcW w:w="0" w:type="auto"/>
            <w:hideMark/>
          </w:tcPr>
          <w:p w14:paraId="74B59E36"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Scale and global consistency</w:t>
            </w:r>
          </w:p>
        </w:tc>
      </w:tr>
      <w:tr w:rsidR="000C3F07" w:rsidRPr="000C3F07" w14:paraId="01C0274E" w14:textId="77777777" w:rsidTr="00B45C1E">
        <w:tc>
          <w:tcPr>
            <w:tcW w:w="0" w:type="auto"/>
            <w:hideMark/>
          </w:tcPr>
          <w:p w14:paraId="2EC6644B"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6</w:t>
            </w:r>
          </w:p>
        </w:tc>
        <w:tc>
          <w:tcPr>
            <w:tcW w:w="0" w:type="auto"/>
            <w:hideMark/>
          </w:tcPr>
          <w:p w14:paraId="0C02683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What to adapt?</w:t>
            </w:r>
          </w:p>
        </w:tc>
        <w:tc>
          <w:tcPr>
            <w:tcW w:w="0" w:type="auto"/>
            <w:hideMark/>
          </w:tcPr>
          <w:p w14:paraId="5365C194"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Culture, regulation and customer preferences</w:t>
            </w:r>
          </w:p>
        </w:tc>
      </w:tr>
      <w:tr w:rsidR="000C3F07" w:rsidRPr="000C3F07" w14:paraId="37DD4FD3" w14:textId="77777777" w:rsidTr="00B45C1E">
        <w:tc>
          <w:tcPr>
            <w:tcW w:w="0" w:type="auto"/>
            <w:hideMark/>
          </w:tcPr>
          <w:p w14:paraId="43B09B5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7</w:t>
            </w:r>
          </w:p>
        </w:tc>
        <w:tc>
          <w:tcPr>
            <w:tcW w:w="0" w:type="auto"/>
            <w:hideMark/>
          </w:tcPr>
          <w:p w14:paraId="69439DA3"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to manage risk?</w:t>
            </w:r>
          </w:p>
        </w:tc>
        <w:tc>
          <w:tcPr>
            <w:tcW w:w="0" w:type="auto"/>
            <w:hideMark/>
          </w:tcPr>
          <w:p w14:paraId="620368EE"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Political, financial, institutional and operational</w:t>
            </w:r>
          </w:p>
        </w:tc>
      </w:tr>
      <w:tr w:rsidR="000C3F07" w:rsidRPr="000C3F07" w14:paraId="655A1EE7" w14:textId="77777777" w:rsidTr="00B45C1E">
        <w:tc>
          <w:tcPr>
            <w:tcW w:w="0" w:type="auto"/>
            <w:hideMark/>
          </w:tcPr>
          <w:p w14:paraId="404C119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8</w:t>
            </w:r>
          </w:p>
        </w:tc>
        <w:tc>
          <w:tcPr>
            <w:tcW w:w="0" w:type="auto"/>
            <w:hideMark/>
          </w:tcPr>
          <w:p w14:paraId="414ABF31"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How to evaluate?</w:t>
            </w:r>
          </w:p>
        </w:tc>
        <w:tc>
          <w:tcPr>
            <w:tcW w:w="0" w:type="auto"/>
            <w:hideMark/>
          </w:tcPr>
          <w:p w14:paraId="6B959AA2" w14:textId="77777777" w:rsidR="000C3F07" w:rsidRPr="000C3F07" w:rsidRDefault="000C3F07" w:rsidP="000C3F07">
            <w:pPr>
              <w:spacing w:after="160" w:line="278" w:lineRule="auto"/>
              <w:rPr>
                <w:rFonts w:ascii="Times New Roman" w:hAnsi="Times New Roman" w:cs="Times New Roman"/>
                <w:szCs w:val="24"/>
              </w:rPr>
            </w:pPr>
            <w:r w:rsidRPr="000C3F07">
              <w:rPr>
                <w:rFonts w:ascii="Times New Roman" w:hAnsi="Times New Roman" w:cs="Times New Roman"/>
                <w:szCs w:val="24"/>
              </w:rPr>
              <w:t>Revenue, profitability, learning and strategic value</w:t>
            </w:r>
          </w:p>
        </w:tc>
      </w:tr>
    </w:tbl>
    <w:p w14:paraId="1508F3B1" w14:textId="77777777" w:rsidR="000C3F07" w:rsidRPr="000C3F07" w:rsidRDefault="000C3F07">
      <w:pPr>
        <w:rPr>
          <w:rFonts w:ascii="Times New Roman" w:hAnsi="Times New Roman" w:cs="Times New Roman"/>
          <w:szCs w:val="24"/>
          <w:lang w:val="en-US"/>
        </w:rPr>
      </w:pPr>
    </w:p>
    <w:sectPr w:rsidR="000C3F07" w:rsidRPr="000C3F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27F38"/>
    <w:multiLevelType w:val="multilevel"/>
    <w:tmpl w:val="B626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5A53A7"/>
    <w:multiLevelType w:val="multilevel"/>
    <w:tmpl w:val="0C66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A5930"/>
    <w:multiLevelType w:val="multilevel"/>
    <w:tmpl w:val="C382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0A3241"/>
    <w:multiLevelType w:val="multilevel"/>
    <w:tmpl w:val="656C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539295">
    <w:abstractNumId w:val="1"/>
  </w:num>
  <w:num w:numId="2" w16cid:durableId="1408109454">
    <w:abstractNumId w:val="2"/>
  </w:num>
  <w:num w:numId="3" w16cid:durableId="471365283">
    <w:abstractNumId w:val="3"/>
  </w:num>
  <w:num w:numId="4" w16cid:durableId="1138037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F07"/>
    <w:rsid w:val="000C3F07"/>
    <w:rsid w:val="00B45C1E"/>
    <w:rsid w:val="00C4004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9130A"/>
  <w15:chartTrackingRefBased/>
  <w15:docId w15:val="{1FB9F2FC-0164-45F3-B30D-018A4090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F0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C3F0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C3F0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C3F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F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F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F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F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F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F0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C3F0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C3F0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C3F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F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F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F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F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F07"/>
    <w:rPr>
      <w:rFonts w:eastAsiaTheme="majorEastAsia" w:cstheme="majorBidi"/>
      <w:color w:val="272727" w:themeColor="text1" w:themeTint="D8"/>
    </w:rPr>
  </w:style>
  <w:style w:type="paragraph" w:styleId="Title">
    <w:name w:val="Title"/>
    <w:basedOn w:val="Normal"/>
    <w:next w:val="Normal"/>
    <w:link w:val="TitleChar"/>
    <w:uiPriority w:val="10"/>
    <w:qFormat/>
    <w:rsid w:val="000C3F0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C3F0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C3F0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C3F0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C3F07"/>
    <w:pPr>
      <w:spacing w:before="160"/>
      <w:jc w:val="center"/>
    </w:pPr>
    <w:rPr>
      <w:i/>
      <w:iCs/>
      <w:color w:val="404040" w:themeColor="text1" w:themeTint="BF"/>
    </w:rPr>
  </w:style>
  <w:style w:type="character" w:customStyle="1" w:styleId="QuoteChar">
    <w:name w:val="Quote Char"/>
    <w:basedOn w:val="DefaultParagraphFont"/>
    <w:link w:val="Quote"/>
    <w:uiPriority w:val="29"/>
    <w:rsid w:val="000C3F07"/>
    <w:rPr>
      <w:i/>
      <w:iCs/>
      <w:color w:val="404040" w:themeColor="text1" w:themeTint="BF"/>
    </w:rPr>
  </w:style>
  <w:style w:type="paragraph" w:styleId="ListParagraph">
    <w:name w:val="List Paragraph"/>
    <w:basedOn w:val="Normal"/>
    <w:uiPriority w:val="34"/>
    <w:qFormat/>
    <w:rsid w:val="000C3F07"/>
    <w:pPr>
      <w:ind w:left="720"/>
      <w:contextualSpacing/>
    </w:pPr>
  </w:style>
  <w:style w:type="character" w:styleId="IntenseEmphasis">
    <w:name w:val="Intense Emphasis"/>
    <w:basedOn w:val="DefaultParagraphFont"/>
    <w:uiPriority w:val="21"/>
    <w:qFormat/>
    <w:rsid w:val="000C3F07"/>
    <w:rPr>
      <w:i/>
      <w:iCs/>
      <w:color w:val="0F4761" w:themeColor="accent1" w:themeShade="BF"/>
    </w:rPr>
  </w:style>
  <w:style w:type="paragraph" w:styleId="IntenseQuote">
    <w:name w:val="Intense Quote"/>
    <w:basedOn w:val="Normal"/>
    <w:next w:val="Normal"/>
    <w:link w:val="IntenseQuoteChar"/>
    <w:uiPriority w:val="30"/>
    <w:qFormat/>
    <w:rsid w:val="000C3F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F07"/>
    <w:rPr>
      <w:i/>
      <w:iCs/>
      <w:color w:val="0F4761" w:themeColor="accent1" w:themeShade="BF"/>
    </w:rPr>
  </w:style>
  <w:style w:type="character" w:styleId="IntenseReference">
    <w:name w:val="Intense Reference"/>
    <w:basedOn w:val="DefaultParagraphFont"/>
    <w:uiPriority w:val="32"/>
    <w:qFormat/>
    <w:rsid w:val="000C3F07"/>
    <w:rPr>
      <w:b/>
      <w:bCs/>
      <w:smallCaps/>
      <w:color w:val="0F4761" w:themeColor="accent1" w:themeShade="BF"/>
      <w:spacing w:val="5"/>
    </w:rPr>
  </w:style>
  <w:style w:type="character" w:styleId="Hyperlink">
    <w:name w:val="Hyperlink"/>
    <w:basedOn w:val="DefaultParagraphFont"/>
    <w:uiPriority w:val="99"/>
    <w:unhideWhenUsed/>
    <w:rsid w:val="000C3F07"/>
    <w:rPr>
      <w:color w:val="467886" w:themeColor="hyperlink"/>
      <w:u w:val="single"/>
    </w:rPr>
  </w:style>
  <w:style w:type="character" w:styleId="UnresolvedMention">
    <w:name w:val="Unresolved Mention"/>
    <w:basedOn w:val="DefaultParagraphFont"/>
    <w:uiPriority w:val="99"/>
    <w:semiHidden/>
    <w:unhideWhenUsed/>
    <w:rsid w:val="000C3F07"/>
    <w:rPr>
      <w:color w:val="605E5C"/>
      <w:shd w:val="clear" w:color="auto" w:fill="E1DFDD"/>
    </w:rPr>
  </w:style>
  <w:style w:type="table" w:styleId="TableGrid">
    <w:name w:val="Table Grid"/>
    <w:basedOn w:val="TableNormal"/>
    <w:uiPriority w:val="39"/>
    <w:rsid w:val="000C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wb.2025.101695?utm_source=chatgpt.com" TargetMode="External"/><Relationship Id="rId13" Type="http://schemas.openxmlformats.org/officeDocument/2006/relationships/hyperlink" Target="https://www.sciencedirect.com/science/article/pii/S0148296311002761?utm_source=chatgpt.com" TargetMode="External"/><Relationship Id="rId18" Type="http://schemas.openxmlformats.org/officeDocument/2006/relationships/hyperlink" Target="https://doi.org/10.1111/emre.12486" TargetMode="External"/><Relationship Id="rId26" Type="http://schemas.openxmlformats.org/officeDocument/2006/relationships/hyperlink" Target="https://doi.org/10.1002/tie.22442" TargetMode="External"/><Relationship Id="rId3" Type="http://schemas.openxmlformats.org/officeDocument/2006/relationships/settings" Target="settings.xml"/><Relationship Id="rId21" Type="http://schemas.openxmlformats.org/officeDocument/2006/relationships/hyperlink" Target="https://www.sciencedirect.com/science/article/abs/pii/S0148296312001348?utm_source=chatgpt.com" TargetMode="External"/><Relationship Id="rId7" Type="http://schemas.openxmlformats.org/officeDocument/2006/relationships/hyperlink" Target="https://doi.org/10.1016/j.jwb.2025.101695?utm_source=chatgpt.com" TargetMode="External"/><Relationship Id="rId12" Type="http://schemas.openxmlformats.org/officeDocument/2006/relationships/hyperlink" Target="https://doi.org/10.1016/j.jbusres.2011.07.033" TargetMode="External"/><Relationship Id="rId17" Type="http://schemas.openxmlformats.org/officeDocument/2006/relationships/hyperlink" Target="https://www.sciencedirect.com/science/article/pii/S0969593110000351?utm_source=chatgpt.com" TargetMode="External"/><Relationship Id="rId25" Type="http://schemas.openxmlformats.org/officeDocument/2006/relationships/hyperlink" Target="https://www.sciencedirect.com/science/article/pii/S1075425322000655?utm_source=chatgpt.com" TargetMode="External"/><Relationship Id="rId2" Type="http://schemas.openxmlformats.org/officeDocument/2006/relationships/styles" Target="styles.xml"/><Relationship Id="rId16" Type="http://schemas.openxmlformats.org/officeDocument/2006/relationships/hyperlink" Target="https://doi.org/10.1016/j.ibusrev.2010.03.007" TargetMode="External"/><Relationship Id="rId20" Type="http://schemas.openxmlformats.org/officeDocument/2006/relationships/hyperlink" Target="https://doi.org/10.1016/j.jbusres.2012.04.019" TargetMode="External"/><Relationship Id="rId29" Type="http://schemas.openxmlformats.org/officeDocument/2006/relationships/hyperlink" Target="https://journals.sagepub.com/doi/10.1177/03128962261425511?utm_source=chatgpt.com" TargetMode="External"/><Relationship Id="rId1" Type="http://schemas.openxmlformats.org/officeDocument/2006/relationships/numbering" Target="numbering.xml"/><Relationship Id="rId6" Type="http://schemas.openxmlformats.org/officeDocument/2006/relationships/hyperlink" Target="https://www.sciencedirect.com/science/article/pii/S0148296311002761?utm_source=chatgpt.com" TargetMode="External"/><Relationship Id="rId11" Type="http://schemas.openxmlformats.org/officeDocument/2006/relationships/hyperlink" Target="https://sms.onlinelibrary.wiley.com/doi/10.1002/%28SICI%291097-0266%28199602%2917%3A2%3C151%3A%3AAID-SMJ799%3E3.0.CO%3B2-Z?utm_source=chatgpt.com" TargetMode="External"/><Relationship Id="rId24" Type="http://schemas.openxmlformats.org/officeDocument/2006/relationships/hyperlink" Target="https://doi.org/10.1016/j.intman.2022.100990" TargetMode="External"/><Relationship Id="rId5" Type="http://schemas.openxmlformats.org/officeDocument/2006/relationships/image" Target="media/image1.png"/><Relationship Id="rId15" Type="http://schemas.openxmlformats.org/officeDocument/2006/relationships/hyperlink" Target="https://doi.org/10.1016/j.intman.2009.09.002?utm_source=chatgpt.com" TargetMode="External"/><Relationship Id="rId23" Type="http://schemas.openxmlformats.org/officeDocument/2006/relationships/hyperlink" Target="https://doi.org/10.1016/j.jwb.2025.101695?utm_source=chatgpt.com" TargetMode="External"/><Relationship Id="rId28" Type="http://schemas.openxmlformats.org/officeDocument/2006/relationships/hyperlink" Target="https://doi.org/10.1177/03128962261425511" TargetMode="External"/><Relationship Id="rId10" Type="http://schemas.openxmlformats.org/officeDocument/2006/relationships/hyperlink" Target="https://doi.org/10.1002/(SICI)1097-0266(199602)17:2%3C151::AID-SMJ799%3E3.0.CO;2-Z" TargetMode="External"/><Relationship Id="rId19" Type="http://schemas.openxmlformats.org/officeDocument/2006/relationships/hyperlink" Target="https://onlinelibrary.wiley.com/doi/10.1111/emre.12486?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jik.2021.04.001?utm_source=chatgpt.com" TargetMode="External"/><Relationship Id="rId14" Type="http://schemas.openxmlformats.org/officeDocument/2006/relationships/hyperlink" Target="https://doi.org/10.1016/j.intman.2009.09.002?utm_source=chatgpt.com" TargetMode="External"/><Relationship Id="rId22" Type="http://schemas.openxmlformats.org/officeDocument/2006/relationships/hyperlink" Target="https://doi.org/10.1016/j.jwb.2025.101695?utm_source=chatgpt.com" TargetMode="External"/><Relationship Id="rId27" Type="http://schemas.openxmlformats.org/officeDocument/2006/relationships/hyperlink" Target="https://onlinelibrary.wiley.com/doi/10.1002/tie.22442?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6468</Words>
  <Characters>36868</Characters>
  <Application>Microsoft Office Word</Application>
  <DocSecurity>0</DocSecurity>
  <Lines>307</Lines>
  <Paragraphs>86</Paragraphs>
  <ScaleCrop>false</ScaleCrop>
  <Company/>
  <LinksUpToDate>false</LinksUpToDate>
  <CharactersWithSpaces>43250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2026-09-28T04:13:00Z</dcterms:created>
  <dcterms:modified xsi:type="dcterms:W3CDTF">2026-09-28T04:20:00Z</dcterms:modified>
</cp:coreProperties>
</file>